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60" w:before="160"/>
        <w:jc w:val="center"/>
      </w:pPr>
      <w:r>
        <w:drawing>
          <wp:inline distT="0" distB="0" distL="0" distR="0">
            <wp:extent cx="18288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2C2C2A"/>
          <w:sz w:val="52"/>
          <w:szCs w:val="52"/>
        </w:rPr>
        <w:t xml:space="preserve">Manual de marca</w:t>
      </w:r>
    </w:p>
    <w:p>
      <w:pPr>
        <w:spacing w:after="60"/>
        <w:jc w:val="center"/>
      </w:pPr>
      <w:r>
        <w:rPr>
          <w:color w:val="5F5E5A"/>
          <w:sz w:val="24"/>
          <w:szCs w:val="24"/>
        </w:rPr>
        <w:t xml:space="preserve">Sistema de gestión y ventas para negocios de café</w:t>
      </w:r>
    </w:p>
    <w:p>
      <w:pPr>
        <w:spacing w:after="500"/>
        <w:jc w:val="center"/>
      </w:pPr>
      <w:r>
        <w:rPr>
          <w:color w:val="5F5E5A"/>
          <w:sz w:val="20"/>
          <w:szCs w:val="20"/>
        </w:rPr>
        <w:t xml:space="preserve">PWA · Android · iOS</w:t>
      </w:r>
    </w:p>
    <w:p>
      <w:pPr>
        <w:jc w:val="center"/>
      </w:pPr>
      <w:r>
        <w:rPr>
          <w:i/>
          <w:iCs/>
          <w:color w:val="5F5E5A"/>
          <w:sz w:val="19"/>
          <w:szCs w:val="19"/>
        </w:rPr>
        <w:t xml:space="preserve">Edición 1 · Septiembre de 2026</w:t>
      </w:r>
    </w:p>
    <w:p>
      <w:r>
        <w:br w:type="page"/>
      </w:r>
    </w:p>
    <w:p>
      <w:pPr>
        <w:pStyle w:val="Heading1"/>
        <w:spacing w:after="200" w:before="12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  <w:jc w:val="left"/>
      </w:pPr>
      <w:r>
        <w:rPr>
          <w:b w:val="false"/>
          <w:bCs w:val="false"/>
          <w:i/>
          <w:iCs/>
          <w:color w:val="5F5E5A"/>
          <w:sz w:val="21"/>
          <w:szCs w:val="21"/>
        </w:rPr>
        <w:t xml:space="preserve">(Si el índice no se actualiza automáticamente al abrir el documento: clic derecho sobre él → Actualizar campo.)</w:t>
      </w:r>
    </w:p>
    <w:p>
      <w:r>
        <w:br w:type="page"/>
      </w:r>
    </w:p>
    <w:p>
      <w:pPr>
        <w:pStyle w:val="Heading1"/>
        <w:spacing w:after="200" w:before="120"/>
      </w:pPr>
      <w:r>
        <w:t xml:space="preserve">1. Introducción a la marca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Cafexis es el sistema de gestión y ventas para negocios de café: cafeterías, tostadoras y tiendas de café en grano o molido. Este manual reúne las reglas visuales que mantienen la marca consistente en la plataforma web (PWA), la aplicación Android y la aplicación iOS, así como en materiales de comunicación.</w:t>
      </w:r>
    </w:p>
    <w:p>
      <w:pPr>
        <w:pStyle w:val="Heading2"/>
        <w:spacing w:after="140" w:before="280"/>
      </w:pPr>
      <w:r>
        <w:t xml:space="preserve">1.1 Personalidad de marca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Cafexis se presenta como una marca moderna y tecnológica, pero cercana: un sistema serio para gestionar un negocio, sin perder la calidez de la cultura cafetera a la que sirve.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Moderna: formas geométricas simples, tipografía contemporánea.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Tecnológica: color teal como acento de datos, reportes y confianza.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Cercana: color naranja cálido, tono de voz claro y sin tecnicismos para quienes no son técnicos.</w:t>
      </w:r>
    </w:p>
    <w:p>
      <w:pPr>
        <w:pStyle w:val="Heading2"/>
        <w:spacing w:after="140" w:before="280"/>
      </w:pPr>
      <w:r>
        <w:t xml:space="preserve">1.2 El nombre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“Cafexis” combina la raíz “café” con una terminación que evoca gestión y sistema, dando como resultado un nombre distintivo, fácil de pronunciar en español e inglés y sin significado de diccionario que compita por atención de marca.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2. Isotipo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El isotipo de Cafexis combina un hexágono de contorno —que representa el sistema y la estructura tecnológica— con un grano de café en su interior, dividido por una línea que evoca tanto el corte natural del grano como el flujo de datos y ventas.</w:t>
      </w:r>
    </w:p>
    <w:p>
      <w:pPr>
        <w:pStyle w:val="Heading2"/>
        <w:spacing w:after="140" w:before="280"/>
      </w:pPr>
      <w:r>
        <w:t xml:space="preserve">2.1 Versión principal</w:t>
      </w:r>
    </w:p>
    <w:p>
      <w:pPr>
        <w:spacing w:after="160" w:before="160"/>
        <w:jc w:val="center"/>
      </w:pPr>
      <w:r>
        <w:drawing>
          <wp:inline distT="0" distB="0" distL="0" distR="0">
            <wp:extent cx="146685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18"/>
          <w:szCs w:val="18"/>
        </w:rPr>
        <w:t xml:space="preserve">Uso general: interfaz, encabezados, materiales impresos a tamaño mediano o grande.</w:t>
      </w:r>
    </w:p>
    <w:p>
      <w:pPr>
        <w:pStyle w:val="Heading2"/>
        <w:spacing w:after="140" w:before="280"/>
      </w:pPr>
      <w:r>
        <w:t xml:space="preserve">2.2 Versión compacta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A tamaños pequeños, el contorno del hexágono pierde presencia. Para íconos de app, favicons y cualquier uso por debajo de 32 px, se utiliza la versión compacta de relleno sólido:</w:t>
      </w:r>
    </w:p>
    <w:p>
      <w:pPr>
        <w:spacing w:after="160" w:before="160"/>
        <w:jc w:val="center"/>
      </w:pPr>
      <w:r>
        <w:drawing>
          <wp:inline distT="0" distB="0" distL="0" distR="0">
            <wp:extent cx="146685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18"/>
          <w:szCs w:val="18"/>
        </w:rPr>
        <w:t xml:space="preserve">Uso recomendado: íconos de aplicación, favicon, avatares, notificaciones.</w:t>
      </w:r>
    </w:p>
    <w:p>
      <w:pPr>
        <w:pStyle w:val="Heading2"/>
        <w:spacing w:after="140" w:before="280"/>
      </w:pPr>
      <w:r>
        <w:t xml:space="preserve">2.3 Versión monocromática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Para reproducción a un solo color (grabado, sellos, fax, impresión económica o marcas de agua):</w:t>
      </w:r>
    </w:p>
    <w:p>
      <w:pPr>
        <w:spacing w:after="160" w:before="160"/>
        <w:jc w:val="center"/>
      </w:pPr>
      <w:r>
        <w:drawing>
          <wp:inline distT="0" distB="0" distL="0" distR="0">
            <wp:extent cx="146685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t xml:space="preserve">2.4 Versión para fondo oscuro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Sobre fondos oscuros o fotografías, el contorno cambia a color crema para mantener el contraste:</w:t>
      </w:r>
    </w:p>
    <w:p>
      <w:pPr>
        <w:spacing w:after="160" w:before="160"/>
        <w:jc w:val="center"/>
      </w:pPr>
      <w:r>
        <w:drawing>
          <wp:inline distT="0" distB="0" distL="0" distR="0">
            <wp:extent cx="1647825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t xml:space="preserve">2.5 Área de protección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Alrededor del isotipo debe respetarse un espacio libre de al menos “X”, donde X equivale a la distancia entre el borde del hexágono y el centro de una de sus caras. Ningún otro elemento —texto, bordes, otros logos— debe invadir esta área.</w:t>
      </w:r>
    </w:p>
    <w:p>
      <w:pPr>
        <w:spacing w:after="160" w:before="160"/>
        <w:jc w:val="center"/>
      </w:pPr>
      <w:r>
        <w:drawing>
          <wp:inline distT="0" distB="0" distL="0" distR="0">
            <wp:extent cx="2924175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t xml:space="preserve">2.6 Tamaño mínimo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Por debajo de 32 px se recomienda cambiar automáticamente a la versión compacta; por debajo de 20 px, evaluar si el isotipo sigue siendo necesario o si basta con la inicial de marca.</w:t>
      </w:r>
    </w:p>
    <w:p>
      <w:pPr>
        <w:spacing w:after="160" w:before="160"/>
        <w:jc w:val="center"/>
      </w:pPr>
      <w:r>
        <w:drawing>
          <wp:inline distT="0" distB="0" distL="0" distR="0">
            <wp:extent cx="493395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120"/>
      </w:pPr>
      <w:r>
        <w:t xml:space="preserve">3. Logotipo (wordmark)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El logotipo es la palabra “cafexis” en minúsculas, tipografía Poppins Bold. El tratamiento de color separa la raíz “cafe” (carbón) de la terminación distintiva “xis” (naranja), y una barra teal debajo actúa como firma de marca.</w:t>
      </w:r>
    </w:p>
    <w:p>
      <w:pPr>
        <w:pStyle w:val="Heading2"/>
        <w:spacing w:after="140" w:before="280"/>
      </w:pPr>
      <w:r>
        <w:t xml:space="preserve">3.1 Versión a color</w:t>
      </w:r>
    </w:p>
    <w:p>
      <w:pPr>
        <w:spacing w:after="160" w:before="160"/>
        <w:jc w:val="center"/>
      </w:pPr>
      <w:r>
        <w:drawing>
          <wp:inline distT="0" distB="0" distL="0" distR="0">
            <wp:extent cx="292417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t xml:space="preserve">3.2 Versión monocromática</w:t>
      </w:r>
    </w:p>
    <w:p>
      <w:pPr>
        <w:spacing w:after="160" w:before="160"/>
        <w:jc w:val="center"/>
      </w:pPr>
      <w:r>
        <w:drawing>
          <wp:inline distT="0" distB="0" distL="0" distR="0">
            <wp:extent cx="292417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t xml:space="preserve">3.3 Versión para fondo oscuro</w:t>
      </w:r>
    </w:p>
    <w:p>
      <w:pPr>
        <w:spacing w:after="160" w:before="160"/>
        <w:jc w:val="center"/>
      </w:pPr>
      <w:r>
        <w:drawing>
          <wp:inline distT="0" distB="0" distL="0" distR="0">
            <wp:extent cx="31051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t xml:space="preserve">3.4 Tamaño mínimo y espaciado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Ancho mínimo recomendado: 80 px en pantalla / 2 cm en impresión.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Espacio de protección mínimo alrededor del logotipo: la altura de la letra “c” minúscula.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No usar el logotipo por debajo del ancho mínimo; a esos tamaños, usar solo el isotipo.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4. Logotipo combinado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La combinación de isotipo y logotipo (lockup) es la forma preferida de firmar la marca cuando el espacio lo permite.</w:t>
      </w:r>
    </w:p>
    <w:p>
      <w:pPr>
        <w:pStyle w:val="Heading2"/>
        <w:spacing w:after="140" w:before="280"/>
      </w:pPr>
      <w:r>
        <w:t xml:space="preserve">4.1 Horizontal (uso principal)</w:t>
      </w:r>
    </w:p>
    <w:p>
      <w:pPr>
        <w:spacing w:after="160" w:before="160"/>
        <w:jc w:val="center"/>
      </w:pPr>
      <w:r>
        <w:drawing>
          <wp:inline distT="0" distB="0" distL="0" distR="0">
            <wp:extent cx="401955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18"/>
          <w:szCs w:val="18"/>
        </w:rPr>
        <w:t xml:space="preserve">Encabezados, membretes, pie de página, materiales impresos horizontales.</w:t>
      </w:r>
    </w:p>
    <w:p>
      <w:pPr>
        <w:pStyle w:val="Heading2"/>
        <w:spacing w:after="140" w:before="280"/>
      </w:pPr>
      <w:r>
        <w:t xml:space="preserve">4.2 Vertical / apilado</w:t>
      </w:r>
    </w:p>
    <w:p>
      <w:pPr>
        <w:spacing w:after="160" w:before="160"/>
        <w:jc w:val="center"/>
      </w:pPr>
      <w:r>
        <w:drawing>
          <wp:inline distT="0" distB="0" distL="0" distR="0">
            <wp:extent cx="192405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18"/>
          <w:szCs w:val="18"/>
        </w:rPr>
        <w:t xml:space="preserve">Formatos cuadrados o verticales: publicaciones en redes sociales, splash screen de la app, empaques angostos.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5. Paleta de colores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El naranja transmite calidez y energía (llamados a la acción); el teal aporta la lectura tecnológica (datos, reportes, estados completados); crema y carbón forman la base neutra que evita que la interfaz se sienta fría.</w:t>
      </w:r>
    </w:p>
    <w:p>
      <w:pPr>
        <w:spacing w:after="160" w:before="160"/>
        <w:jc w:val="center"/>
      </w:pPr>
      <w:r>
        <w:drawing>
          <wp:inline distT="0" distB="0" distL="0" distR="0">
            <wp:extent cx="512445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t xml:space="preserve">5.1 Valores exactos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600"/>
        <w:gridCol w:w="2360"/>
      </w:tblGrid>
      <w:tr>
        <w:tc>
          <w:tcPr>
            <w:tcW w:type="dxa" w:w="260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Color</w:t>
            </w:r>
          </w:p>
        </w:tc>
        <w:tc>
          <w:tcPr>
            <w:tcW w:type="dxa" w:w="180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HEX</w:t>
            </w:r>
          </w:p>
        </w:tc>
        <w:tc>
          <w:tcPr>
            <w:tcW w:type="dxa" w:w="260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RGB</w:t>
            </w:r>
          </w:p>
        </w:tc>
        <w:tc>
          <w:tcPr>
            <w:tcW w:type="dxa" w:w="236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CMYK aprox.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Naranja tueste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#D85A30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216, 90, 48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0, 58, 78, 15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Teal tecnológico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#1D9E75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29, 158, 117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82, 0, 26, 38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Crema cálido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#F1EFE8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241, 239, 232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0, 1, 4, 5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Carbón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#2C2C2A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44, 44, 42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0, 0, 5, 83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Éxito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#3F9142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63, 145, 66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57, 0, 54, 43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Alerta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#E8A33D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232, 163, 61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0, 30, 74, 9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Error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#D64545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214, 69, 69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0, 68, 68, 16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5.2 Reglas de uso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El naranja se reserva para acciones y elementos que requieren atención: botones primarios, alertas de pedidos nuevos.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El teal se usa en datos, gráficos y estados de proceso (“completado”, “en inventario”).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Los colores funcionales (éxito, alerta, error) solo se usan para su significado semántico en la interfaz — nunca de forma decorativa.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Evitar combinar naranja y error (rojo) en el mismo componente: ambos son cálidos y compiten por atención.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6. Tipografía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Poppins construye el logotipo y los encabezados; Manrope se usa en cuerpo de texto e interfaz por su legibilidad en pantallas pequeñas.</w:t>
      </w:r>
    </w:p>
    <w:p>
      <w:pPr>
        <w:spacing w:after="160" w:before="160"/>
        <w:jc w:val="center"/>
      </w:pPr>
      <w:r>
        <w:drawing>
          <wp:inline distT="0" distB="0" distL="0" distR="0">
            <wp:extent cx="521017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t xml:space="preserve">6.1 Familias y pesos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c>
          <w:tcPr>
            <w:tcW w:type="dxa" w:w="260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Familia</w:t>
            </w:r>
          </w:p>
        </w:tc>
        <w:tc>
          <w:tcPr>
            <w:tcW w:type="dxa" w:w="240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Uso</w:t>
            </w:r>
          </w:p>
        </w:tc>
        <w:tc>
          <w:tcPr>
            <w:tcW w:type="dxa" w:w="236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Pesos</w:t>
            </w:r>
          </w:p>
        </w:tc>
        <w:tc>
          <w:tcPr>
            <w:tcW w:type="dxa" w:w="200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Licencia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Poppins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Logotipo, H1, H2, H3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Medium / SemiBold / Bold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SIL Open Font License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Manrope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Cuerpo, UI, botones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Regular / Medium / Bold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SIL Open Font License</w:t>
            </w:r>
          </w:p>
        </w:tc>
      </w:tr>
    </w:tbl>
    <w:p>
      <w:r>
        <w:br w:type="page"/>
      </w:r>
    </w:p>
    <w:p>
      <w:pPr>
        <w:pStyle w:val="Heading1"/>
        <w:spacing w:after="200" w:before="120"/>
      </w:pPr>
      <w:r>
        <w:t xml:space="preserve">7. Usos incorrectos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Estos son los errores más comunes al aplicar la marca. Evitarlos mantiene a Cafexis reconocible en cualquier contexto.</w:t>
      </w:r>
    </w:p>
    <w:p>
      <w:pPr>
        <w:spacing w:after="160" w:before="160"/>
        <w:jc w:val="center"/>
      </w:pPr>
      <w:r>
        <w:drawing>
          <wp:inline distT="0" distB="0" distL="0" distR="0">
            <wp:extent cx="5124450" cy="640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120"/>
      </w:pPr>
      <w:r>
        <w:t xml:space="preserve">8. Aplicación en plataformas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Cafexis se distribuye como PWA, aplicación Android e iPhone. Cada plataforma exige su propia forma y conjunto de tamaños de ícono; el isotipo compacto (sección 2.2) es la base de todos ellos, sobre fondo crema.</w:t>
      </w:r>
    </w:p>
    <w:p>
      <w:pPr>
        <w:spacing w:after="160" w:before="160"/>
        <w:jc w:val="center"/>
      </w:pPr>
      <w:r>
        <w:drawing>
          <wp:inline distT="0" distB="0" distL="0" distR="0">
            <wp:extent cx="54864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t xml:space="preserve">8.1 PWA — manifest.json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80"/>
        <w:gridCol w:w="3880"/>
      </w:tblGrid>
      <w:tr>
        <w:tc>
          <w:tcPr>
            <w:tcW w:type="dxa" w:w="320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Uso</w:t>
            </w:r>
          </w:p>
        </w:tc>
        <w:tc>
          <w:tcPr>
            <w:tcW w:type="dxa" w:w="228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Tamaño</w:t>
            </w:r>
          </w:p>
        </w:tc>
        <w:tc>
          <w:tcPr>
            <w:tcW w:type="dxa" w:w="388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Ícono estándar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192 × 192 px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purpose: "any"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Ícono estándar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512 × 512 px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purpose: "any"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Ícono adaptable (maskable)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512 × 512 px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Contenido dentro del 80% central — purpose: "maskable"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Favicon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32 × 32 y 16 × 16 px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Usar versión compacta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Apple touch icon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180 × 180 px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Sin transparencia, esquinas cuadradas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8.2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80"/>
        <w:gridCol w:w="3880"/>
      </w:tblGrid>
      <w:tr>
        <w:tc>
          <w:tcPr>
            <w:tcW w:type="dxa" w:w="320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Densidad</w:t>
            </w:r>
          </w:p>
        </w:tc>
        <w:tc>
          <w:tcPr>
            <w:tcW w:type="dxa" w:w="228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Tamaño</w:t>
            </w:r>
          </w:p>
        </w:tc>
        <w:tc>
          <w:tcPr>
            <w:tcW w:type="dxa" w:w="388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Carpeta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mdpi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48 × 48 px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mipmap-mdpi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hdpi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72 × 72 px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mipmap-hdpi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xhdpi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96 × 96 px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mipmap-xhdpi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xxhdpi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144 × 144 px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mipmap-xxhdpi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xxxhdpi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192 × 192 px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mipmap-xxxhdpi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Ícono adaptativo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432 × 432 px (108dp)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Zona segura: círculo central de 66%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Google Play Store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512 × 512 px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Ficha de la app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8.3 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80"/>
        <w:gridCol w:w="3880"/>
      </w:tblGrid>
      <w:tr>
        <w:tc>
          <w:tcPr>
            <w:tcW w:type="dxa" w:w="320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Contexto</w:t>
            </w:r>
          </w:p>
        </w:tc>
        <w:tc>
          <w:tcPr>
            <w:tcW w:type="dxa" w:w="228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Tamaño (pt)</w:t>
            </w:r>
          </w:p>
        </w:tc>
        <w:tc>
          <w:tcPr>
            <w:tcW w:type="dxa" w:w="388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Escalas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Pantalla de inicio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60 pt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@2x (120 px) / @3x (180 px)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29 pt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@2x (58 px) / @3x (87 px)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Spotlight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40 pt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@2x (80 px) / @3x (120 px)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20 pt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@2x (40 px) / @3x (60 px)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App Store</w:t>
            </w:r>
          </w:p>
        </w:tc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1024 × 1024 px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@1x, sin transparencia ni esquinas redondeadas</w:t>
            </w:r>
          </w:p>
        </w:tc>
      </w:tr>
    </w:tbl>
    <w:p>
      <w:pPr>
        <w:spacing w:after="160"/>
      </w:pPr>
    </w:p>
    <w:p>
      <w:pPr>
        <w:spacing w:after="160"/>
        <w:jc w:val="left"/>
      </w:pPr>
      <w:r>
        <w:rPr>
          <w:b w:val="false"/>
          <w:bCs w:val="false"/>
          <w:i/>
          <w:iCs/>
          <w:color w:val="5F5E5A"/>
          <w:sz w:val="21"/>
          <w:szCs w:val="21"/>
        </w:rPr>
        <w:t xml:space="preserve">Recomendación: generar todos los tamaños derivados de forma automática (Xcode Asset Catalog, Android Studio Image Asset Studio o PWA Builder) a partir de un maestro de 1024 × 1024 px, en lugar de exportar cada tamaño manualmente.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9. Anexo técnico</w:t>
      </w:r>
    </w:p>
    <w:p>
      <w:pPr>
        <w:pStyle w:val="Heading2"/>
        <w:spacing w:after="140" w:before="280"/>
      </w:pPr>
      <w:r>
        <w:t xml:space="preserve">9.1 Archivos de fuente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Poppins — https://fonts.google.com/specimen/Poppins (Google Fonts, SIL OFL)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Manrope — https://fonts.google.com/specimen/Manrope (Google Fonts, SIL OFL)</w:t>
      </w:r>
    </w:p>
    <w:p>
      <w:pPr>
        <w:pStyle w:val="Heading2"/>
        <w:spacing w:after="140" w:before="280"/>
      </w:pPr>
      <w:r>
        <w:t xml:space="preserve">9.2 Unidad de espaciado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La unidad “X” usada en el área de protección del isotipo (sección 2.5) corresponde a 0.22 × el ancho total del hexágono. Para un isotipo de 100 px de ancho, X = 22 px.</w:t>
      </w:r>
    </w:p>
    <w:p>
      <w:pPr>
        <w:pStyle w:val="Heading2"/>
        <w:spacing w:after="140" w:before="280"/>
      </w:pPr>
      <w:r>
        <w:t xml:space="preserve">9.3 Convención de nombres de archivo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Formato sugerido para exportación de assets: cafexis_[elemento]_[variante]_[tamaño].[formato]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cafexis_isotipo_principal_512.png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cafexis_isotipo_compacto_192.png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cafexis_wordmark_color.svg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cafexis_lockup_horizontal_color.svg</w:t>
      </w:r>
    </w:p>
    <w:p>
      <w:pPr>
        <w:pStyle w:val="Heading2"/>
        <w:spacing w:after="140" w:before="280"/>
      </w:pPr>
      <w:r>
        <w:t xml:space="preserve">9.4 Formatos maestros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Conservar siempre un maestro vectorial (SVG o AI) de cada elemento (isotipo, wordmark, lockup) en sus 4 tratamientos de color. Los PNG de este manual son de referencia visual, no maestros de producción.</w:t>
      </w:r>
    </w:p>
    <w:p>
      <w:pPr>
        <w:pStyle w:val="Heading2"/>
        <w:spacing w:after="140" w:before="280"/>
      </w:pPr>
      <w:r>
        <w:t xml:space="preserve">9.5 Control de versiones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Versión</w:t>
            </w:r>
          </w:p>
        </w:tc>
        <w:tc>
          <w:tcPr>
            <w:tcW w:type="dxa" w:w="240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Fecha</w:t>
            </w:r>
          </w:p>
        </w:tc>
        <w:tc>
          <w:tcPr>
            <w:tcW w:type="dxa" w:w="5160"/>
            <w:shd w:fill="EFED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8"/>
                <w:sz w:val="19"/>
                <w:szCs w:val="19"/>
              </w:rPr>
              <w:t xml:space="preserve">Cambios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1.0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Septiembre 2026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Primera edición: nombre, isotipo, logotipo, paleta, tipografía, usos incorrectos y especificaciones de plataforma.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Cafexis — Manual de marca   ·  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Calibri" w:cs="Calibri" w:eastAsia="Calibri" w:hAnsi="Calibri"/>
      <w:b/>
      <w:bCs/>
      <w:color w:val="2C2C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1D9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265540cec622cd1d8847e02035897cdce9fd2f1.png"/><Relationship Id="rId9" Type="http://schemas.openxmlformats.org/officeDocument/2006/relationships/image" Target="media/3cefe841e8e91b7fe69c993b402d04a243b02ea9.png"/><Relationship Id="rId10" Type="http://schemas.openxmlformats.org/officeDocument/2006/relationships/image" Target="media/f2a78b4e56b801aa1141d9e13ba894877f81053f.png"/><Relationship Id="rId11" Type="http://schemas.openxmlformats.org/officeDocument/2006/relationships/image" Target="media/6251c9998e7a39168e640940d794f5dd3aaab223.png"/><Relationship Id="rId12" Type="http://schemas.openxmlformats.org/officeDocument/2006/relationships/image" Target="media/b976aed6fa0acfd459bb60cd088edd972f3a98d1.png"/><Relationship Id="rId13" Type="http://schemas.openxmlformats.org/officeDocument/2006/relationships/image" Target="media/ee13696ba54e353938eb2ae31c285e70ed6ba445.png"/><Relationship Id="rId14" Type="http://schemas.openxmlformats.org/officeDocument/2006/relationships/image" Target="media/61fca840c823b477807f0c7211c8ae6e78382521.png"/><Relationship Id="rId15" Type="http://schemas.openxmlformats.org/officeDocument/2006/relationships/image" Target="media/f07a55beb70d84daf9c64e7f3e2cba957de1e957.png"/><Relationship Id="rId16" Type="http://schemas.openxmlformats.org/officeDocument/2006/relationships/image" Target="media/e0d4338fafd6b5a651a3908194dc0835b6c049ad.png"/><Relationship Id="rId17" Type="http://schemas.openxmlformats.org/officeDocument/2006/relationships/image" Target="media/74c3a6dfd320e66e52650452aee734c72de8a505.png"/><Relationship Id="rId18" Type="http://schemas.openxmlformats.org/officeDocument/2006/relationships/image" Target="media/cce92f35b3b1a10c12dd444c7b8f84dd47da664a.png"/><Relationship Id="rId19" Type="http://schemas.openxmlformats.org/officeDocument/2006/relationships/image" Target="media/d72d6e3df502b893792593a8a59ebe09f47a3c54.png"/><Relationship Id="rId20" Type="http://schemas.openxmlformats.org/officeDocument/2006/relationships/image" Target="media/e3d1d1729aa912194c2e3220d263c4d460a3875c.png"/><Relationship Id="rId21" Type="http://schemas.openxmlformats.org/officeDocument/2006/relationships/image" Target="media/3c2a50cf57d4cf3f97e4bbf9d10da9858f3952f8.png"/><Relationship Id="rId22" Type="http://schemas.openxmlformats.org/officeDocument/2006/relationships/image" Target="media/efe9e05e2c852140956e453000a8633769deca9a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2026-09-13T17:09:11.473Z</dcterms:created>
  <dcterms:modified xsi:type="dcterms:W3CDTF">2026-09-13T17:09:11.483Z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