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ANAND SHRIVASTAVA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hyperlink r:id="rId6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anand.shrivastava@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563c1"/>
          <w:sz w:val="24"/>
          <w:szCs w:val="24"/>
          <w:u w:val="single"/>
          <w:shd w:fill="auto" w:val="clear"/>
          <w:vertAlign w:val="baseline"/>
          <w:rtl w:val="0"/>
        </w:rPr>
        <w:t xml:space="preserve">apu.edu.in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color w:val="0563c1"/>
          <w:sz w:val="24"/>
          <w:szCs w:val="24"/>
          <w:u w:val="single"/>
          <w:rtl w:val="0"/>
        </w:rPr>
        <w:t xml:space="preserve">anandshrivastava.in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8415" distT="0" distL="114300" distR="133350" hidden="0" layoutInCell="1" locked="0" relativeHeight="0" simplePos="0">
                <wp:simplePos x="0" y="0"/>
                <wp:positionH relativeFrom="column">
                  <wp:posOffset>12701</wp:posOffset>
                </wp:positionH>
                <wp:positionV relativeFrom="paragraph">
                  <wp:posOffset>266700</wp:posOffset>
                </wp:positionV>
                <wp:extent cx="571881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86880" y="3780000"/>
                          <a:ext cx="571824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8415" distT="0" distL="114300" distR="133350" hidden="0" layoutInCell="1" locked="0" relativeHeight="0" simplePos="0">
                <wp:simplePos x="0" y="0"/>
                <wp:positionH relativeFrom="column">
                  <wp:posOffset>12701</wp:posOffset>
                </wp:positionH>
                <wp:positionV relativeFrom="paragraph">
                  <wp:posOffset>266700</wp:posOffset>
                </wp:positionV>
                <wp:extent cx="571881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188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spacing w:after="0" w:before="0" w:lineRule="auto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36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Positions</w:t>
      </w:r>
    </w:p>
    <w:p w:rsidR="00000000" w:rsidDel="00000000" w:rsidP="00000000" w:rsidRDefault="00000000" w:rsidRPr="00000000" w14:paraId="00000006">
      <w:pPr>
        <w:spacing w:after="0" w:before="0" w:line="276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Associate Director (Academic Office) and Associate Professor, </w:t>
      </w:r>
    </w:p>
    <w:p w:rsidR="00000000" w:rsidDel="00000000" w:rsidP="00000000" w:rsidRDefault="00000000" w:rsidRPr="00000000" w14:paraId="00000007">
      <w:pPr>
        <w:spacing w:after="0" w:before="0" w:line="276" w:lineRule="auto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Azim Premji University, Bangalore (present)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240" w:lineRule="auto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36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Visiting Professor, University of Western Australia, Perth (Nov-Dec 2019)</w:t>
      </w:r>
    </w:p>
    <w:p w:rsidR="00000000" w:rsidDel="00000000" w:rsidP="00000000" w:rsidRDefault="00000000" w:rsidRPr="00000000" w14:paraId="0000000A">
      <w:pPr>
        <w:spacing w:after="0" w:before="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PODER fellow at Université de Namur (2014-15)</w:t>
      </w:r>
    </w:p>
    <w:p w:rsidR="00000000" w:rsidDel="00000000" w:rsidP="00000000" w:rsidRDefault="00000000" w:rsidRPr="00000000" w14:paraId="0000000B">
      <w:pPr>
        <w:spacing w:after="57" w:before="297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PhD in Economics, University of Cambridge (2012-16)</w:t>
      </w:r>
    </w:p>
    <w:p w:rsidR="00000000" w:rsidDel="00000000" w:rsidP="00000000" w:rsidRDefault="00000000" w:rsidRPr="00000000" w14:paraId="0000000D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MPhil in Economic Research, University of Cambridge (2011-12)</w:t>
      </w:r>
    </w:p>
    <w:p w:rsidR="00000000" w:rsidDel="00000000" w:rsidP="00000000" w:rsidRDefault="00000000" w:rsidRPr="00000000" w14:paraId="0000000E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Graduate Diploma in Economics, University of Cambridge (2010-11)</w:t>
      </w:r>
    </w:p>
    <w:p w:rsidR="00000000" w:rsidDel="00000000" w:rsidP="00000000" w:rsidRDefault="00000000" w:rsidRPr="00000000" w14:paraId="0000000F">
      <w:pPr>
        <w:spacing w:line="360" w:lineRule="auto"/>
        <w:ind w:left="2160" w:right="0" w:hanging="21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B.Tech Mechanical Engineering, Indian Institute of Technology, Madras (2001-05)</w:t>
      </w:r>
    </w:p>
    <w:p w:rsidR="00000000" w:rsidDel="00000000" w:rsidP="00000000" w:rsidRDefault="00000000" w:rsidRPr="00000000" w14:paraId="00000010">
      <w:pPr>
        <w:spacing w:after="57" w:before="57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Previous employment</w:t>
      </w:r>
    </w:p>
    <w:p w:rsidR="00000000" w:rsidDel="00000000" w:rsidP="00000000" w:rsidRDefault="00000000" w:rsidRPr="00000000" w14:paraId="00000011">
      <w:pPr>
        <w:spacing w:after="120" w:before="0" w:lineRule="auto"/>
        <w:ind w:left="2160" w:right="0" w:hanging="21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Manufacturing Manager, Hindustan Unilever Limited, India (2006-09)</w:t>
      </w:r>
    </w:p>
    <w:p w:rsidR="00000000" w:rsidDel="00000000" w:rsidP="00000000" w:rsidRDefault="00000000" w:rsidRPr="00000000" w14:paraId="00000012">
      <w:pPr>
        <w:spacing w:after="0" w:before="0" w:lineRule="auto"/>
        <w:ind w:left="2160" w:right="0" w:hanging="21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Business Leadership Trainee, Hindustan Unilever Limited, India (2005-06)</w:t>
      </w:r>
    </w:p>
    <w:p w:rsidR="00000000" w:rsidDel="00000000" w:rsidP="00000000" w:rsidRDefault="00000000" w:rsidRPr="00000000" w14:paraId="00000013">
      <w:pPr>
        <w:spacing w:after="114" w:before="114" w:lineRule="auto"/>
        <w:ind w:left="2160" w:right="0" w:hanging="21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Rule="auto"/>
        <w:ind w:left="2160" w:right="0" w:hanging="21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Publications</w:t>
      </w:r>
    </w:p>
    <w:p w:rsidR="00000000" w:rsidDel="00000000" w:rsidP="00000000" w:rsidRDefault="00000000" w:rsidRPr="00000000" w14:paraId="00000015">
      <w:pPr>
        <w:spacing w:after="114" w:before="114" w:lineRule="auto"/>
        <w:ind w:left="2160" w:right="0" w:hanging="216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Peer reviewed journal articles</w:t>
      </w:r>
    </w:p>
    <w:p w:rsidR="00000000" w:rsidDel="00000000" w:rsidP="00000000" w:rsidRDefault="00000000" w:rsidRPr="00000000" w14:paraId="00000016">
      <w:pPr>
        <w:spacing w:after="200" w:before="0" w:line="276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‘Religious riots and electoral politics in India’,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 with Sriya Iyer,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2018,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Journal of Development Economics, 131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104-122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. - </w:t>
      </w:r>
      <w:hyperlink r:id="rId8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before="0" w:line="276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‘Culture and colonial legacy: Evidence from public goods games’ w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ith Latika Chaudhary, Jared Rubin and Sriya Iyer,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2020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Journal of Economic Behavior and Organization, 173,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107-129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- </w:t>
      </w:r>
      <w:hyperlink r:id="rId9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before="0" w:line="276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‘Supply variabilities in public workfares’,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Girish Bahal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2021,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Journal of Development Economics, 150 - </w:t>
      </w:r>
      <w:hyperlink r:id="rId10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before="0" w:line="276" w:lineRule="auto"/>
        <w:rPr>
          <w:rFonts w:ascii="Cambria" w:cs="Cambria" w:eastAsia="Cambria" w:hAnsi="Cambria"/>
          <w:i w:val="1"/>
          <w:i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‘Fiscal transfers and inflation: Evidence from India’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Girish Bahal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2022,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Empirical Economics - </w:t>
      </w:r>
      <w:hyperlink r:id="rId11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before="0" w:line="276" w:lineRule="auto"/>
        <w:rPr>
          <w:rFonts w:ascii="Cambria" w:cs="Cambria" w:eastAsia="Cambria" w:hAnsi="Cambria"/>
          <w:i w:val="1"/>
          <w:i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‘How comparable are India's labour market surveys?’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Rosa Abraham,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2022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, Indian Journal of Labour Economics - </w:t>
      </w:r>
      <w:hyperlink r:id="rId12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0" w:before="0" w:line="276" w:lineRule="auto"/>
        <w:rPr>
          <w:rFonts w:ascii="Cambria" w:cs="Cambria" w:eastAsia="Cambria" w:hAnsi="Cambria"/>
          <w:i w:val="1"/>
          <w:i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‘Religion, Covid-19 and mental health’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Girish Bahal, Sriya Iyer and Kishen Shastry,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2023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, European Economic Review, 160 - </w:t>
      </w:r>
      <w:hyperlink r:id="rId13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240" w:line="240" w:lineRule="auto"/>
        <w:jc w:val="both"/>
        <w:rPr>
          <w:rFonts w:ascii="Cambria" w:cs="Cambria" w:eastAsia="Cambria" w:hAnsi="Cambria"/>
          <w:i w:val="1"/>
          <w:i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’Social networks and experienced inequality’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Sai Madhurika Mamunuru and Arjun Jayadev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2025,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  Journal of Economic Behavior &amp; Organization, 229 - </w:t>
      </w:r>
      <w:hyperlink r:id="rId14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>
        <w:rPr>
          <w:rFonts w:ascii="Cambria" w:hAnsi="Cambria" w:cs="Cambria"/>
          <w:sz w:val="24"/>
          <w:szCs w:val="24"/>
        </w:rPr>
        <w:t xml:space="preserve">‘Regressive income shocks during India’s Covid-19 lockdown: evidence from two surveys’, </w:t>
      </w:r>
      <w:r>
        <w:rPr>
          <w:rFonts w:ascii="Cambria" w:hAnsi="Cambria" w:cs="Cambria"/>
          <w:i/>
          <w:sz w:val="24"/>
          <w:szCs w:val="24"/>
        </w:rPr>
        <w:t xml:space="preserve">with Amit Basole, Jay Kulkarni and Akshit Arora</w:t>
      </w:r>
      <w:r>
        <w:rPr>
          <w:rFonts w:ascii="Cambria" w:hAnsi="Cambria" w:cs="Cambria"/>
          <w:sz w:val="24"/>
          <w:szCs w:val="24"/>
        </w:rPr>
        <w:t xml:space="preserve">, 2026, </w:t>
      </w:r>
      <w:r>
        <w:rPr>
          <w:rFonts w:ascii="Cambria" w:hAnsi="Cambria" w:cs="Cambria"/>
          <w:i/>
          <w:sz w:val="24"/>
          <w:szCs w:val="24"/>
        </w:rPr>
        <w:t xml:space="preserve">Applied Economics Letters</w:t>
      </w:r>
      <w:r>
        <w:rPr>
          <w:rFonts w:ascii="Cambria" w:hAnsi="Cambria" w:cs="Cambria"/>
          <w:sz w:val="24"/>
          <w:szCs w:val="24"/>
        </w:rPr>
        <w:t xml:space="preserve"> - </w:t>
      </w:r>
      <w:hyperlink r:id="rId24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</w:p>
    <w:p w:rsidR="00000000" w:rsidDel="00000000" w:rsidP="00000000" w:rsidRDefault="00000000" w:rsidRPr="00000000" w14:paraId="0000001D">
      <w:pPr>
        <w:spacing w:after="0" w:before="240" w:line="240" w:lineRule="auto"/>
        <w:jc w:val="both"/>
        <w:rPr>
          <w:rFonts w:ascii="Cambria" w:cs="Cambria" w:eastAsia="Cambria" w:hAnsi="Cambria"/>
          <w:i w:val="1"/>
          <w:iCs w:val="1"/>
          <w:color w:val="0563c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240" w:line="240" w:lineRule="auto"/>
        <w:jc w:val="both"/>
        <w:rPr>
          <w:rFonts w:ascii="Cambria" w:cs="Cambria" w:eastAsia="Cambria" w:hAnsi="Cambria"/>
          <w:i w:val="1"/>
          <w:iCs w:val="1"/>
          <w:color w:val="0563c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Rule="auto"/>
        <w:ind w:left="2160" w:right="0" w:hanging="216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Reports and Book Chapters</w:t>
      </w:r>
    </w:p>
    <w:p w:rsidR="00000000" w:rsidDel="00000000" w:rsidP="00000000" w:rsidRDefault="00000000" w:rsidRPr="00000000" w14:paraId="00000020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‘State of working India’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 with Amit Basole, Arun Jayadev and Rosa Abraham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2018, Centre for Sustainable Employment, Azim Premji University – </w:t>
      </w:r>
      <w:hyperlink r:id="rId15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‘What do Household Surveys Reveal about Employment in India since 2016?’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Rosa Abraham and Amit Basole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in State of Working India, 2019, Centre for Sustainable Employment, Azim Premji University – </w:t>
      </w:r>
      <w:hyperlink r:id="rId16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4" w:before="114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‘State of working India 2021: One year of Covid-19’ 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With Amit Basole, Rosa Abraham, Rahul Lahoti, Surbhi Kesar, Mrinalini Jha, Paaritosh Nath, Radhicka Kapoor, S Nelson Mandela, Zico Dasgupta, Gaurav Gupta and Rajendran Narayanan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14" w:before="114" w:line="240" w:lineRule="auto"/>
        <w:jc w:val="both"/>
        <w:rPr>
          <w:rFonts w:ascii="Cambria" w:cs="Cambria" w:eastAsia="Cambria" w:hAnsi="Cambria"/>
          <w:i w:val="1"/>
          <w:i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‘State of working India 2023: Social identities and labour market outcomes’ 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Amit Basole, Rosa Abraham, Angarika Rakshit, R. Vijayamba and Tamoghna Halder</w:t>
      </w:r>
    </w:p>
    <w:p w:rsidR="00000000" w:rsidDel="00000000" w:rsidP="00000000" w:rsidRDefault="00000000" w:rsidRPr="00000000" w14:paraId="00000020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>
        <w:rPr>
          <w:rFonts w:ascii="Cambria" w:hAnsi="Cambria" w:cs="Cambria"/>
          <w:sz w:val="24"/>
          <w:szCs w:val="24"/>
        </w:rPr>
        <w:t xml:space="preserve">‘State of working India 2026: Youth in the labour market – Pathways from learning to earning’</w:t>
      </w:r>
      <w:r>
        <w:rPr>
          <w:rFonts w:ascii="Cambria" w:hAnsi="Cambria" w:cs="Cambria"/>
          <w:i/>
          <w:sz w:val="24"/>
          <w:szCs w:val="24"/>
        </w:rPr>
        <w:t xml:space="preserve"> with Rosa Abraham, Tamoghna Halder, Amit Basole and Anand Kumar</w:t>
      </w:r>
      <w:r>
        <w:rPr>
          <w:rFonts w:ascii="Cambria" w:hAnsi="Cambria" w:cs="Cambria"/>
          <w:sz w:val="24"/>
          <w:szCs w:val="24"/>
        </w:rPr>
        <w:t xml:space="preserve">, 2026, Centre for the Study of the Indian Economy, Azim Premji University – </w:t>
      </w:r>
      <w:hyperlink r:id="rId25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</w:p>
    <w:p w:rsidR="00000000" w:rsidDel="00000000" w:rsidP="00000000" w:rsidRDefault="00000000" w:rsidRPr="00000000" w14:paraId="00000024">
      <w:pPr>
        <w:spacing w:after="114" w:before="114" w:line="240" w:lineRule="auto"/>
        <w:jc w:val="both"/>
        <w:rPr>
          <w:rFonts w:ascii="Cambria" w:cs="Cambria" w:eastAsia="Cambria" w:hAnsi="Cambria"/>
          <w:i w:val="1"/>
          <w:i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‘Religion and Employment in India’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 With Girish Bahal, Ujaan Chandra and Sriya Iyer, in ed. Farhana Ibrahim, Studies in Religion and the Everyday. 2024. Oxford University Press.</w:t>
      </w:r>
    </w:p>
    <w:p w:rsidR="00000000" w:rsidDel="00000000" w:rsidP="00000000" w:rsidRDefault="00000000" w:rsidRPr="00000000" w14:paraId="00000025">
      <w:pPr>
        <w:spacing w:after="171" w:before="171" w:lineRule="auto"/>
        <w:ind w:left="2160" w:right="0" w:hanging="216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Others</w:t>
      </w:r>
    </w:p>
    <w:p w:rsidR="00000000" w:rsidDel="00000000" w:rsidP="00000000" w:rsidRDefault="00000000" w:rsidRPr="00000000" w14:paraId="00000026">
      <w:pPr>
        <w:spacing w:after="171" w:before="171" w:line="240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‘Why behavioural economics will not save the world’, 2017,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Economic and Political Weekly,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Vol LII, No. 46. - </w:t>
      </w:r>
      <w:hyperlink r:id="rId17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40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‘An argument without any basis’, 2012,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Economic and Political Weekly,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Vol XLVII, No. 38. - </w:t>
      </w:r>
      <w:hyperlink r:id="rId18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28" w:before="228" w:line="240" w:lineRule="auto"/>
        <w:jc w:val="both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Online</w:t>
      </w:r>
    </w:p>
    <w:p w:rsidR="00000000" w:rsidDel="00000000" w:rsidP="00000000" w:rsidRDefault="00000000" w:rsidRPr="00000000" w14:paraId="00000029">
      <w:pPr>
        <w:spacing w:after="171" w:before="171" w:line="240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‘Holy Wars? Temple desecrations in Medieval India’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2017,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 Ideas for India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- </w:t>
      </w:r>
      <w:hyperlink r:id="rId19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71" w:before="171" w:line="240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‘Economic Development and Maoist Insurgency’, 2015,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Ideas for India – </w:t>
      </w:r>
      <w:hyperlink r:id="rId20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40" w:lineRule="auto"/>
        <w:jc w:val="both"/>
        <w:rPr>
          <w:rFonts w:ascii="Cambria" w:cs="Cambria" w:eastAsia="Cambria" w:hAnsi="Cambria"/>
          <w:i w:val="1"/>
          <w:iCs w:val="1"/>
          <w:color w:val="0563c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14" w:before="114" w:lineRule="auto"/>
        <w:ind w:left="2160" w:right="0" w:hanging="21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Working papers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14" w:before="114" w:lineRule="auto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</w:t>
      </w:r>
      <w:hyperlink r:id="rId21">
        <w:r w:rsidDel="00000000" w:rsidR="00000000" w:rsidRPr="00000000">
          <w:rPr>
            <w:rFonts w:ascii="Cambria" w:cs="Cambria" w:eastAsia="Cambria" w:hAnsi="Cambria"/>
            <w:sz w:val="24"/>
            <w:szCs w:val="24"/>
            <w:rtl w:val="0"/>
          </w:rPr>
          <w:t xml:space="preserve">Economic shocks and religious conflict in medieval India</w:t>
        </w:r>
      </w:hyperlink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Sriya Iyer and Rohit Ticku </w:t>
      </w:r>
      <w:r>
        <w:rPr>
          <w:rFonts w:ascii="Cambria" w:hAnsi="Cambria" w:cs="Cambria"/>
          <w:sz w:val="24"/>
          <w:szCs w:val="24"/>
        </w:rPr>
        <w:t xml:space="preserve">(accepted, Journal of Economic History) – </w:t>
      </w:r>
      <w:hyperlink r:id="rId22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>
        <w:rPr>
          <w:rFonts w:ascii="Cambria" w:hAnsi="Cambria" w:cs="Cambria"/>
          <w:sz w:val="24"/>
          <w:szCs w:val="24"/>
        </w:rPr>
        <w:t xml:space="preserve">‘Influential ties, caste networks, and distress borrowing’</w:t>
      </w:r>
      <w:r>
        <w:rPr>
          <w:rFonts w:ascii="Cambria" w:hAnsi="Cambria" w:cs="Cambria"/>
          <w:i/>
          <w:sz w:val="24"/>
          <w:szCs w:val="24"/>
        </w:rPr>
        <w:t xml:space="preserve"> with Girish Bahal and Zaeen de Souza</w:t>
      </w:r>
      <w:r>
        <w:rPr>
          <w:rFonts w:ascii="Cambria" w:hAnsi="Cambria" w:cs="Cambria"/>
          <w:sz w:val="24"/>
          <w:szCs w:val="24"/>
        </w:rPr>
        <w:t xml:space="preserve">, under review at World Development – </w:t>
      </w:r>
      <w:hyperlink r:id="rId26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</w:p>
    <w:p w:rsidR="00000000" w:rsidDel="00000000" w:rsidP="00000000" w:rsidRDefault="00000000" w:rsidRPr="00000000" w14:paraId="00000020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>
        <w:rPr>
          <w:rFonts w:ascii="Cambria" w:hAnsi="Cambria" w:cs="Cambria"/>
          <w:sz w:val="24"/>
          <w:szCs w:val="24"/>
        </w:rPr>
        <w:t xml:space="preserve">‘The Economic Costs of Religious Riots in India’</w:t>
      </w:r>
      <w:r>
        <w:rPr>
          <w:rFonts w:ascii="Cambria" w:hAnsi="Cambria" w:cs="Cambria"/>
          <w:i/>
          <w:sz w:val="24"/>
          <w:szCs w:val="24"/>
        </w:rPr>
        <w:t xml:space="preserve"> with Sriya Iyer and Dmitri Petrukhin</w:t>
      </w:r>
      <w:r>
        <w:rPr>
          <w:rFonts w:ascii="Cambria" w:hAnsi="Cambria" w:cs="Cambria"/>
          <w:sz w:val="24"/>
          <w:szCs w:val="24"/>
        </w:rPr>
        <w:t xml:space="preserve">, CEPR Discussion Paper, 2026 – </w:t>
      </w:r>
      <w:hyperlink r:id="rId27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</w:p>
    <w:p w:rsidR="00000000" w:rsidDel="00000000" w:rsidP="00000000" w:rsidRDefault="00000000" w:rsidRPr="00000000" w14:paraId="00000020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>
        <w:rPr>
          <w:rFonts w:ascii="Cambria" w:hAnsi="Cambria" w:cs="Cambria"/>
          <w:sz w:val="24"/>
          <w:szCs w:val="24"/>
        </w:rPr>
        <w:t xml:space="preserve">‘Second-stage stratification in India’s labour force surveys: a simulation study’</w:t>
      </w:r>
      <w:r>
        <w:rPr>
          <w:rFonts w:ascii="Cambria" w:hAnsi="Cambria" w:cs="Cambria"/>
          <w:i/>
          <w:sz w:val="24"/>
          <w:szCs w:val="24"/>
        </w:rPr>
        <w:t xml:space="preserve"> with Pratyush Priyadarshi and Amit Basole</w:t>
      </w:r>
      <w:r>
        <w:rPr>
          <w:rFonts w:ascii="Cambria" w:hAnsi="Cambria" w:cs="Cambria"/>
          <w:sz w:val="24"/>
          <w:szCs w:val="24"/>
        </w:rPr>
        <w:t xml:space="preserve">, Centre for the Study of the Indian Economy, Azim Premji University, 2026 – </w:t>
      </w:r>
      <w:hyperlink r:id="rId28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4" w:before="114" w:line="276" w:lineRule="auto"/>
        <w:ind w:left="0" w:right="0" w:firstLine="0"/>
        <w:jc w:val="left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‘Civil conflict with rising wages and increasing state capacity: Theory and application to the Maoist insurgency in India’ – </w:t>
      </w:r>
      <w:hyperlink r:id="rId23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Grants</w:t>
      </w:r>
    </w:p>
    <w:p w:rsidR="00000000" w:rsidDel="00000000" w:rsidP="00000000" w:rsidRDefault="00000000" w:rsidRPr="00000000" w14:paraId="00000031">
      <w:pPr>
        <w:spacing w:after="114" w:before="114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Keynes Fund, University of Cambridge, for Covid-19 and Religion, 2020-21</w:t>
      </w:r>
    </w:p>
    <w:p w:rsidR="00000000" w:rsidDel="00000000" w:rsidP="00000000" w:rsidRDefault="00000000" w:rsidRPr="00000000" w14:paraId="00000032">
      <w:pPr>
        <w:spacing w:after="114" w:before="114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Bill and Melinda Gates Foundation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IWWAGE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grant for the India Working Survey, 2019-20,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Rahul Lahoti, Rosa Abraham, Amit Basole, Hema Swaminathan, Deepti Goel and Girish Bahal.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3">
      <w:pPr>
        <w:spacing w:after="114" w:before="114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37" w:before="57" w:lineRule="auto"/>
        <w:ind w:left="2160" w:right="0" w:hanging="21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Other activities</w:t>
      </w:r>
    </w:p>
    <w:p w:rsidR="00000000" w:rsidDel="00000000" w:rsidP="00000000" w:rsidRDefault="00000000" w:rsidRPr="00000000" w14:paraId="00000035">
      <w:pPr>
        <w:spacing w:after="137" w:before="57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Co-organiser for the Advanced Graduate Workshop for Globalisation, Poverty and Development in Bangalore, 2018, 2019 and 2022.</w:t>
      </w:r>
    </w:p>
    <w:p w:rsidR="00000000" w:rsidDel="00000000" w:rsidP="00000000" w:rsidRDefault="00000000" w:rsidRPr="00000000" w14:paraId="00000036">
      <w:pPr>
        <w:spacing w:after="137" w:before="57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Programme coordinator for the undergraduate programme at School of Arts and Sciences Azim Premji University from 2018-19</w:t>
      </w:r>
    </w:p>
    <w:p w:rsidR="00000000" w:rsidDel="00000000" w:rsidP="00000000" w:rsidRDefault="00000000" w:rsidRPr="00000000" w14:paraId="00000037">
      <w:pPr>
        <w:spacing w:after="137" w:before="57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Placement coordinator for the undergraduate programme at APU, 2017-18</w:t>
      </w:r>
    </w:p>
    <w:p w:rsidR="00000000" w:rsidDel="00000000" w:rsidP="00000000" w:rsidRDefault="00000000" w:rsidRPr="00000000" w14:paraId="00000038">
      <w:pPr>
        <w:spacing w:after="137" w:before="57" w:lineRule="auto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Referee for World Development, Journal of Economic Behavior &amp; Organization, European Journal of Political Economy, the Economics of Peace and Security Journal, B.E. Journal of Economic Analysis and Policy, Journal of Globalization and Development, PloSOne, Politics and Religion.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37" w:before="57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Co-organised the Political Economy Reading Group at Faculty of Economics, Cambridge</w:t>
      </w:r>
    </w:p>
    <w:p w:rsidR="00000000" w:rsidDel="00000000" w:rsidP="00000000" w:rsidRDefault="00000000" w:rsidRPr="00000000" w14:paraId="0000003A">
      <w:pPr>
        <w:spacing w:after="0" w:before="0" w:lineRule="auto"/>
        <w:ind w:left="2160" w:right="0" w:hanging="2160"/>
        <w:rPr>
          <w:rFonts w:ascii="Cambria" w:cs="Cambria" w:eastAsia="Cambria" w:hAnsi="Cambria"/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0" w:lineRule="auto"/>
        <w:ind w:left="2160" w:right="0" w:hanging="21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Awards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7848"/>
        <w:gridCol w:w="1181"/>
      </w:tblGrid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PODER research fellowship from the European Commission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2014-15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Gates Cambridge Scholarship (for PhD in Economics)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2012– 15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Cambridge International Scholarship (for PhD in Economics, declined)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2012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Claydon Prize at St. Edmunds College (academic performance in MPhil)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2012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Gates Cambridge Scholarship (for MPhil in Economic Research)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2011–12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Stevenson Prize at Faculty of Economics (academic performance in Diploma)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2011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Claydon Prize at St. Edmunds College (academic performance in Diploma)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2011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Inlaks Scholarship (for Diploma in Economics at Cambridge)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2010–11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Institute Merit Prize at IIT Madras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2003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National Talent Search Examination Scholarship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1999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National Scholarship, Government of West Bengal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1999</w:t>
            </w:r>
          </w:p>
        </w:tc>
      </w:tr>
    </w:tbl>
    <w:p w:rsidR="00000000" w:rsidDel="00000000" w:rsidP="00000000" w:rsidRDefault="00000000" w:rsidRPr="00000000" w14:paraId="00000047">
      <w:pPr>
        <w:spacing w:after="0" w:before="0" w:lineRule="auto"/>
        <w:rPr>
          <w:rFonts w:ascii="Cambria" w:cs="Cambria" w:eastAsia="Cambria" w:hAnsi="Cambria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40" w:before="0" w:lineRule="auto"/>
        <w:ind w:left="2160" w:right="0" w:hanging="21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40" w:before="0" w:lineRule="auto"/>
        <w:ind w:left="2160" w:right="0" w:hanging="21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Selected conference presentations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7848"/>
        <w:gridCol w:w="1181"/>
      </w:tblGrid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Invited seminar, IIM, Bangalore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2023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SAMVAAD seminar, online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2022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Microeconomics Revolutions Workshop, Santa Fe Instiute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2022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Research seminar, University of Western Australia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2019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Dynamics of Complex Systems workshop, ICTS, Bangalore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2019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Political Economy Workshop, IIM, Bangalore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2017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International Economics Association World Congress, Mexico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2017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Invited seminar, Delhi School of Economics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2017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Annual Conference on Economic Growth and Development, ISI Delhi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2016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Political economy workshop, University of Cambridge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2015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India research group workshop, Paris School of Economics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2015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ASREC annual conference, Boston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2015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Doctoral workshop, Université catholique de Louvain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2015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European Public Choice Society Annual Conference, Cambridge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International Economic Association World Congress, Amman, Jordan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Barcelona Summer Forum, GSE Barcelona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PODER Summer School, University of Cape Town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Oxford Development Economics Workshop, Oxford University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Doctoral workshop, University of Namur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Empirical Microeconomics workshop, University of Cambridge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2013</w:t>
            </w:r>
          </w:p>
        </w:tc>
      </w:tr>
    </w:tbl>
    <w:sectPr>
      <w:pgSz w:h="16838" w:w="11906" w:orient="portrait"/>
      <w:pgMar w:bottom="1134" w:top="1134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://ideasforindia.in/article.aspx?article=Economic-development-and-Maoist-insurgency" TargetMode="External"/><Relationship Id="rId11" Type="http://schemas.openxmlformats.org/officeDocument/2006/relationships/hyperlink" Target="https://link.springer.com/article/10.1007/s00181-021-02195-0" TargetMode="External"/><Relationship Id="rId22" Type="http://schemas.openxmlformats.org/officeDocument/2006/relationships/hyperlink" Target="https://www.inet.econ.cam.ac.uk/working-paper-pdfs/wp1816.pdf" TargetMode="External"/><Relationship Id="rId10" Type="http://schemas.openxmlformats.org/officeDocument/2006/relationships/hyperlink" Target="https://www.sciencedirect.com/science/article/pii/S0304387820301838" TargetMode="External"/><Relationship Id="rId21" Type="http://schemas.openxmlformats.org/officeDocument/2006/relationships/hyperlink" Target="https://www.google.com/url?q=https%3A%2F%2Fwww.inet.econ.cam.ac.uk%2Fworking-paper-pdfs%2Fwp1816.pdf&amp;sa=D&amp;sntz=1&amp;usg=AFQjCNFS7OuH-JKhVubQq80_ZAD0tiQIUQ" TargetMode="External"/><Relationship Id="rId13" Type="http://schemas.openxmlformats.org/officeDocument/2006/relationships/hyperlink" Target="https://www.sciencedirect.com/science/article/pii/S0014292123002490" TargetMode="External"/><Relationship Id="rId12" Type="http://schemas.openxmlformats.org/officeDocument/2006/relationships/hyperlink" Target="https://www.google.com/url?q=https%3A%2F%2Frdcu.be%2FcRRT9&amp;sa=D&amp;sntz=1&amp;usg=AOvVaw0LZntvgakiKdmFOyE06PYT" TargetMode="External"/><Relationship Id="rId23" Type="http://schemas.openxmlformats.org/officeDocument/2006/relationships/hyperlink" Target="https://drive.google.com/file/d/0Bxm4uHpF91EoMWk4c0I4MmJNT1U/view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ciencedirect.com/science/article/abs/pii/S0167268120300718" TargetMode="External"/><Relationship Id="rId15" Type="http://schemas.openxmlformats.org/officeDocument/2006/relationships/hyperlink" Target="https://cse.azimpremjiuniversity.edu.in/state-of-working-india/" TargetMode="External"/><Relationship Id="rId14" Type="http://schemas.openxmlformats.org/officeDocument/2006/relationships/hyperlink" Target="https://www.sciencedirect.com/science/article/abs/pii/S016726812400413X" TargetMode="External"/><Relationship Id="rId17" Type="http://schemas.openxmlformats.org/officeDocument/2006/relationships/hyperlink" Target="http://www.epw.in/journal/2017/46/commentary/why-behavioural-economics-will-not-save-world.html" TargetMode="External"/><Relationship Id="rId16" Type="http://schemas.openxmlformats.org/officeDocument/2006/relationships/hyperlink" Target="https://cse.azimpremjiuniversity.edu.in/wp-content/uploads/2019/04/SWI2019_Employment_Trends.pdf" TargetMode="External"/><Relationship Id="rId5" Type="http://schemas.openxmlformats.org/officeDocument/2006/relationships/styles" Target="styles.xml"/><Relationship Id="rId19" Type="http://schemas.openxmlformats.org/officeDocument/2006/relationships/hyperlink" Target="http://ideasforindia.in/article.aspx?article=Holy-wars-Temple-desecrations-in-medieval-India" TargetMode="External"/><Relationship Id="rId6" Type="http://schemas.openxmlformats.org/officeDocument/2006/relationships/hyperlink" Target="about:blank" TargetMode="External"/><Relationship Id="rId18" Type="http://schemas.openxmlformats.org/officeDocument/2006/relationships/hyperlink" Target="http://www.epw.in/journal/2012/38/discussion/child-sex-ratio-and-sex-selection.html" TargetMode="External"/><Relationship Id="rId7" Type="http://schemas.openxmlformats.org/officeDocument/2006/relationships/image" Target="media/image1.png"/><Relationship Id="rId8" Type="http://schemas.openxmlformats.org/officeDocument/2006/relationships/hyperlink" Target="https://www.sciencedirect.com/science/article/pii/S0304387817301025" TargetMode="External"/><Relationship Id="rId24" Type="http://schemas.openxmlformats.org/officeDocument/2006/relationships/hyperlink" Target="https://doi.org/10.1080/13504851.2026.2685216" TargetMode="External"/><Relationship Id="rId25" Type="http://schemas.openxmlformats.org/officeDocument/2006/relationships/hyperlink" Target="https://azimpremjiuniversity.edu.in/publications/2026/report/swi-2026" TargetMode="External"/><Relationship Id="rId26" Type="http://schemas.openxmlformats.org/officeDocument/2006/relationships/hyperlink" Target="https://papers.ssrn.com/sol3/papers.cfm?abstract_id=4843958" TargetMode="External"/><Relationship Id="rId27" Type="http://schemas.openxmlformats.org/officeDocument/2006/relationships/hyperlink" Target="https://cepr.org/publications/dp21638" TargetMode="External"/><Relationship Id="rId28" Type="http://schemas.openxmlformats.org/officeDocument/2006/relationships/hyperlink" Target="https://publications.azimpremjiuniversity.edu.in/762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