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ANAND SHRIVASTAVA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anand.shrivastava@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apu.edu.in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563c1"/>
          <w:sz w:val="24"/>
          <w:szCs w:val="24"/>
          <w:u w:val="single"/>
          <w:rtl w:val="0"/>
        </w:rPr>
        <w:t xml:space="preserve">anandshrivastava.in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8415" distT="0" distL="114300" distR="13335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266700</wp:posOffset>
                </wp:positionV>
                <wp:extent cx="571881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6880" y="3780000"/>
                          <a:ext cx="57182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8415" distT="0" distL="114300" distR="13335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266700</wp:posOffset>
                </wp:positionV>
                <wp:extent cx="571881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88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Positions</w:t>
      </w:r>
    </w:p>
    <w:p w:rsidR="00000000" w:rsidDel="00000000" w:rsidP="00000000" w:rsidRDefault="00000000" w:rsidRPr="00000000" w14:paraId="00000006">
      <w:pPr>
        <w:spacing w:after="0" w:before="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Associate Director (Academic Office) and Associate Professor, </w:t>
      </w:r>
    </w:p>
    <w:p w:rsidR="00000000" w:rsidDel="00000000" w:rsidP="00000000" w:rsidRDefault="00000000" w:rsidRPr="00000000" w14:paraId="00000007">
      <w:pPr>
        <w:spacing w:after="0" w:before="0" w:line="276" w:lineRule="auto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Azim Premji University, Bangalore (present)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Visiting Professor, University of Western Australia, Perth (Nov-Dec 2019)</w:t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PODER fellow at Université de Namur (2014-15)</w:t>
      </w:r>
    </w:p>
    <w:p w:rsidR="00000000" w:rsidDel="00000000" w:rsidP="00000000" w:rsidRDefault="00000000" w:rsidRPr="00000000" w14:paraId="0000000B">
      <w:pPr>
        <w:spacing w:after="57" w:before="297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PhD in Economics, University of Cambridge (2012-16)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MPhil in Economic Research, University of Cambridge (2011-12)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Graduate Diploma in Economics, University of Cambridge (2010-11)</w:t>
      </w:r>
    </w:p>
    <w:p w:rsidR="00000000" w:rsidDel="00000000" w:rsidP="00000000" w:rsidRDefault="00000000" w:rsidRPr="00000000" w14:paraId="0000000F">
      <w:pPr>
        <w:spacing w:line="360" w:lineRule="auto"/>
        <w:ind w:left="2160" w:right="0" w:hanging="21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B.Tech Mechanical Engineering, Indian Institute of Technology, Madras (2001-05)</w:t>
      </w:r>
    </w:p>
    <w:p w:rsidR="00000000" w:rsidDel="00000000" w:rsidP="00000000" w:rsidRDefault="00000000" w:rsidRPr="00000000" w14:paraId="00000010">
      <w:pPr>
        <w:spacing w:after="57" w:before="57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Previous employment</w:t>
      </w:r>
    </w:p>
    <w:p w:rsidR="00000000" w:rsidDel="00000000" w:rsidP="00000000" w:rsidRDefault="00000000" w:rsidRPr="00000000" w14:paraId="00000011">
      <w:pPr>
        <w:spacing w:after="120" w:before="0" w:lineRule="auto"/>
        <w:ind w:left="2160" w:right="0" w:hanging="21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Manufacturing Manager, Hindustan Unilever Limited, India (2006-09)</w:t>
      </w:r>
    </w:p>
    <w:p w:rsidR="00000000" w:rsidDel="00000000" w:rsidP="00000000" w:rsidRDefault="00000000" w:rsidRPr="00000000" w14:paraId="00000012">
      <w:pPr>
        <w:spacing w:after="0" w:before="0" w:lineRule="auto"/>
        <w:ind w:left="2160" w:right="0" w:hanging="21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Business Leadership Trainee, Hindustan Unilever Limited, India (2005-06)</w:t>
      </w:r>
    </w:p>
    <w:p w:rsidR="00000000" w:rsidDel="00000000" w:rsidP="00000000" w:rsidRDefault="00000000" w:rsidRPr="00000000" w14:paraId="00000013">
      <w:pPr>
        <w:spacing w:after="114" w:before="114" w:lineRule="auto"/>
        <w:ind w:left="2160" w:right="0" w:hanging="21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2160" w:right="0" w:hanging="21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Publications</w:t>
      </w:r>
    </w:p>
    <w:p w:rsidR="00000000" w:rsidDel="00000000" w:rsidP="00000000" w:rsidRDefault="00000000" w:rsidRPr="00000000" w14:paraId="00000015">
      <w:pPr>
        <w:spacing w:after="114" w:before="114" w:lineRule="auto"/>
        <w:ind w:left="2160" w:right="0" w:hanging="21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Peer reviewed journal articles</w:t>
      </w:r>
    </w:p>
    <w:p w:rsidR="00000000" w:rsidDel="00000000" w:rsidP="00000000" w:rsidRDefault="00000000" w:rsidRPr="00000000" w14:paraId="00000016">
      <w:pPr>
        <w:spacing w:after="200" w:before="0" w:line="276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‘Religious riots and electoral politics in India’,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with Sriya Iyer,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2018,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Journal of Development Economics, 131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104-122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. - </w:t>
      </w:r>
      <w:hyperlink r:id="rId8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0" w:line="276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‘Culture and colonial legacy: Evidence from public goods games’ w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ith Latika Chaudhary, Jared Rubin and Sriya Iyer,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2020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Journal of Economic Behavior and Organization, 173,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107-129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- </w:t>
      </w:r>
      <w:hyperlink r:id="rId9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0" w:line="276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‘Supply variabilities in public workfares’,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with Girish Bahal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2021,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Journal of Development Economics, 150 - </w:t>
      </w:r>
      <w:hyperlink r:id="rId10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0" w:line="276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‘Fiscal transfers and inflation: Evidence from India’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With Girish Bahal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2022,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Empirical Economics - </w:t>
      </w:r>
      <w:hyperlink r:id="rId11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0" w:line="276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‘How comparable are India's labour market surveys?’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With Rosa Abraham,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2022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, Indian Journal of Labour Economics - </w:t>
      </w:r>
      <w:hyperlink r:id="rId12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0" w:line="276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‘Religion, Covid-19 and mental health’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With Girish Bahal, Sriya Iyer and Kishen Shastry,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2023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, European Economic Review, 160 - </w:t>
      </w:r>
      <w:hyperlink r:id="rId13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40" w:line="240" w:lineRule="auto"/>
        <w:jc w:val="both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’Social networks and experienced inequality’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With Sai Madhurika Mamunuru and Arjun Jayadev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2025,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 Journal of Economic Behavior &amp; Organization, 229 - </w:t>
      </w:r>
      <w:hyperlink r:id="rId14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14" w:before="114" w:line="240" w:lineRule="auto"/>
        <w:jc w:val="both"/>
        <w:rPr>
          <w:rFonts w:ascii="Cambria" w:cs="Cambria" w:eastAsia="Cambria" w:hAnsi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‘Regressive income shocks during India’s Covid-19 lockdown: evidence from two surveys’, </w:t>
      </w:r>
      <w:r>
        <w:rPr>
          <w:rFonts w:ascii="Cambria" w:hAnsi="Cambria" w:cs="Cambria"/>
          <w:i/>
          <w:sz w:val="24"/>
          <w:szCs w:val="24"/>
        </w:rPr>
        <w:t xml:space="preserve">with Amit Basole, Jay Kulkarni and Akshit Arora</w:t>
      </w:r>
      <w:r>
        <w:rPr>
          <w:rFonts w:ascii="Cambria" w:hAnsi="Cambria" w:cs="Cambria"/>
          <w:sz w:val="24"/>
          <w:szCs w:val="24"/>
        </w:rPr>
        <w:t xml:space="preserve">, 2026, </w:t>
      </w:r>
      <w:r>
        <w:rPr>
          <w:rFonts w:ascii="Cambria" w:hAnsi="Cambria" w:cs="Cambria"/>
          <w:i/>
          <w:sz w:val="24"/>
          <w:szCs w:val="24"/>
        </w:rPr>
        <w:t xml:space="preserve">Applied Economics Letters</w:t>
      </w:r>
      <w:r>
        <w:rPr>
          <w:rFonts w:ascii="Cambria" w:hAnsi="Cambria" w:cs="Cambria"/>
          <w:sz w:val="24"/>
          <w:szCs w:val="24"/>
        </w:rPr>
        <w:t xml:space="preserve"> - </w:t>
      </w:r>
      <w:hyperlink r:id="rId24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Cambria" w:cs="Cambria" w:eastAsia="Cambria" w:hAnsi="Cambria"/>
          <w:i w:val="1"/>
          <w:iCs w:val="1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240" w:line="240" w:lineRule="auto"/>
        <w:jc w:val="both"/>
        <w:rPr>
          <w:rFonts w:ascii="Cambria" w:cs="Cambria" w:eastAsia="Cambria" w:hAnsi="Cambria"/>
          <w:i w:val="1"/>
          <w:iCs w:val="1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ind w:left="2160" w:right="0" w:hanging="21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Reports and Book Chapters</w:t>
      </w:r>
    </w:p>
    <w:p w:rsidR="00000000" w:rsidDel="00000000" w:rsidP="00000000" w:rsidRDefault="00000000" w:rsidRPr="00000000" w14:paraId="00000020">
      <w:pPr>
        <w:spacing w:after="114" w:before="114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‘State of working India’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with Amit Basole, Arun Jayadev and Rosa Abraham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2018, Centre for Sustainable Employment, Azim Premji University – </w:t>
      </w:r>
      <w:hyperlink r:id="rId15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14" w:before="114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‘What do Household Surveys Reveal about Employment in India since 2016?’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With Rosa Abraham and Amit Basole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in State of Working India, 2019, Centre for Sustainable Employment, Azim Premji University – </w:t>
      </w:r>
      <w:hyperlink r:id="rId16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4" w:before="114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‘State of working India 2021: One year of Covid-19’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Amit Basole, Rosa Abraham, Rahul Lahoti, Surbhi Kesar, Mrinalini Jha, Paaritosh Nath, Radhicka Kapoor, S Nelson Mandela, Zico Dasgupta, Gaurav Gupta and Rajendran Narayanan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14" w:before="114" w:line="240" w:lineRule="auto"/>
        <w:jc w:val="both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‘State of working India 2023: Social identities and labour market outcomes’ 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With Amit Basole, Rosa Abraham, Angarika Rakshit, R. Vijayamba and Tamoghna Halder</w:t>
      </w:r>
    </w:p>
    <w:p w:rsidR="00000000" w:rsidDel="00000000" w:rsidP="00000000" w:rsidRDefault="00000000" w:rsidRPr="00000000" w14:paraId="00000020">
      <w:pPr>
        <w:spacing w:after="114" w:before="114" w:line="240" w:lineRule="auto"/>
        <w:jc w:val="both"/>
        <w:rPr>
          <w:rFonts w:ascii="Cambria" w:cs="Cambria" w:eastAsia="Cambria" w:hAnsi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‘State of working India 2026: Youth in the labour market – Pathways from learning to earning’</w:t>
      </w:r>
      <w:r>
        <w:rPr>
          <w:rFonts w:ascii="Cambria" w:hAnsi="Cambria" w:cs="Cambria"/>
          <w:i/>
          <w:sz w:val="24"/>
          <w:szCs w:val="24"/>
        </w:rPr>
        <w:t xml:space="preserve"> with Rosa Abraham, Tamoghna Halder, Amit Basole and Anand Kumar</w:t>
      </w:r>
      <w:r>
        <w:rPr>
          <w:rFonts w:ascii="Cambria" w:hAnsi="Cambria" w:cs="Cambria"/>
          <w:sz w:val="24"/>
          <w:szCs w:val="24"/>
        </w:rPr>
        <w:t xml:space="preserve">, 2026, Centre for the Study of the Indian Economy, Azim Premji University – </w:t>
      </w:r>
      <w:hyperlink r:id="rId25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</w:p>
    <w:p w:rsidR="00000000" w:rsidDel="00000000" w:rsidP="00000000" w:rsidRDefault="00000000" w:rsidRPr="00000000" w14:paraId="00000024">
      <w:pPr>
        <w:spacing w:after="114" w:before="114" w:line="240" w:lineRule="auto"/>
        <w:jc w:val="both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‘Religion and Employment in India’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With Girish Bahal, Ujaan Chandra and Sriya Iyer, in ed. Farhana Ibrahim, Studies in Religion and the Everyday. 2024. Oxford University Press.</w:t>
      </w:r>
    </w:p>
    <w:p w:rsidR="00000000" w:rsidDel="00000000" w:rsidP="00000000" w:rsidRDefault="00000000" w:rsidRPr="00000000" w14:paraId="00000025">
      <w:pPr>
        <w:spacing w:after="171" w:before="171" w:lineRule="auto"/>
        <w:ind w:left="2160" w:right="0" w:hanging="21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Others</w:t>
      </w:r>
    </w:p>
    <w:p w:rsidR="00000000" w:rsidDel="00000000" w:rsidP="00000000" w:rsidRDefault="00000000" w:rsidRPr="00000000" w14:paraId="00000026">
      <w:pPr>
        <w:spacing w:after="171" w:before="171" w:line="240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‘Why behavioural economics will not save the world’, 2017,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Economic and Political Weekly,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Vol LII, No. 46. - </w:t>
      </w:r>
      <w:hyperlink r:id="rId17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‘An argument without any basis’, 2012,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Economic and Political Weekly,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Vol XLVII, No. 38. - </w:t>
      </w:r>
      <w:hyperlink r:id="rId18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28" w:before="228" w:line="24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Online</w:t>
      </w:r>
    </w:p>
    <w:p w:rsidR="00000000" w:rsidDel="00000000" w:rsidP="00000000" w:rsidRDefault="00000000" w:rsidRPr="00000000" w14:paraId="00000029">
      <w:pPr>
        <w:spacing w:after="171" w:before="171" w:line="240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‘Holy Wars? Temple desecrations in Medieval India’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2017,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Ideas for India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- </w:t>
      </w:r>
      <w:hyperlink r:id="rId19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71" w:before="171" w:line="240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‘Economic Development and Maoist Insurgency’, 2015,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Ideas for India – </w:t>
      </w:r>
      <w:hyperlink r:id="rId20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rFonts w:ascii="Cambria" w:cs="Cambria" w:eastAsia="Cambria" w:hAnsi="Cambria"/>
          <w:i w:val="1"/>
          <w:iCs w:val="1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14" w:before="114" w:lineRule="auto"/>
        <w:ind w:left="2160" w:right="0" w:hanging="21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Working papers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14" w:before="114" w:lineRule="auto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</w:t>
      </w:r>
      <w:hyperlink r:id="rId21">
        <w:r w:rsidDel="00000000" w:rsidR="00000000" w:rsidRPr="00000000">
          <w:rPr>
            <w:rFonts w:ascii="Cambria" w:cs="Cambria" w:eastAsia="Cambria" w:hAnsi="Cambria"/>
            <w:sz w:val="24"/>
            <w:szCs w:val="24"/>
            <w:rtl w:val="0"/>
          </w:rPr>
          <w:t xml:space="preserve">Economic shocks and religious conflict in medieval India</w:t>
        </w:r>
      </w:hyperlink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With Sriya Iyer and Rohit Ticku </w:t>
      </w:r>
      <w:r>
        <w:rPr>
          <w:rFonts w:ascii="Cambria" w:hAnsi="Cambria" w:cs="Cambria"/>
          <w:sz w:val="24"/>
          <w:szCs w:val="24"/>
        </w:rPr>
        <w:t xml:space="preserve">(accepted, Journal of Economic History) – </w:t>
      </w:r>
      <w:hyperlink r:id="rId22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14" w:before="114" w:line="240" w:lineRule="auto"/>
        <w:jc w:val="both"/>
        <w:rPr>
          <w:rFonts w:ascii="Cambria" w:cs="Cambria" w:eastAsia="Cambria" w:hAnsi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‘Influential ties, caste networks, and distress borrowing’</w:t>
      </w:r>
      <w:r>
        <w:rPr>
          <w:rFonts w:ascii="Cambria" w:hAnsi="Cambria" w:cs="Cambria"/>
          <w:i/>
          <w:sz w:val="24"/>
          <w:szCs w:val="24"/>
        </w:rPr>
        <w:t xml:space="preserve"> with Girish Bahal and Zaeen de Souza</w:t>
      </w:r>
      <w:r>
        <w:rPr>
          <w:rFonts w:ascii="Cambria" w:hAnsi="Cambria" w:cs="Cambria"/>
          <w:sz w:val="24"/>
          <w:szCs w:val="24"/>
        </w:rPr>
        <w:t xml:space="preserve">, under review at World Development – </w:t>
      </w:r>
      <w:hyperlink r:id="rId26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</w:p>
    <w:p w:rsidR="00000000" w:rsidDel="00000000" w:rsidP="00000000" w:rsidRDefault="00000000" w:rsidRPr="00000000" w14:paraId="00000020">
      <w:pPr>
        <w:spacing w:after="114" w:before="114" w:line="240" w:lineRule="auto"/>
        <w:jc w:val="both"/>
        <w:rPr>
          <w:rFonts w:ascii="Cambria" w:cs="Cambria" w:eastAsia="Cambria" w:hAnsi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‘The Economic Costs of Religious Riots in India’</w:t>
      </w:r>
      <w:r>
        <w:rPr>
          <w:rFonts w:ascii="Cambria" w:hAnsi="Cambria" w:cs="Cambria"/>
          <w:i/>
          <w:sz w:val="24"/>
          <w:szCs w:val="24"/>
        </w:rPr>
        <w:t xml:space="preserve"> with Sriya Iyer and Dmitri Petrukhin</w:t>
      </w:r>
      <w:r>
        <w:rPr>
          <w:rFonts w:ascii="Cambria" w:hAnsi="Cambria" w:cs="Cambria"/>
          <w:sz w:val="24"/>
          <w:szCs w:val="24"/>
        </w:rPr>
        <w:t xml:space="preserve">, CEPR Discussion Paper, 2026 – </w:t>
      </w:r>
      <w:hyperlink r:id="rId27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</w:p>
    <w:p w:rsidR="00000000" w:rsidDel="00000000" w:rsidP="00000000" w:rsidRDefault="00000000" w:rsidRPr="00000000" w14:paraId="00000020">
      <w:pPr>
        <w:spacing w:after="114" w:before="114" w:line="240" w:lineRule="auto"/>
        <w:jc w:val="both"/>
        <w:rPr>
          <w:rFonts w:ascii="Cambria" w:cs="Cambria" w:eastAsia="Cambria" w:hAnsi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‘Preferences, discrimination, and occupational segregation’</w:t>
      </w:r>
      <w:r>
        <w:rPr>
          <w:rFonts w:ascii="Cambria" w:hAnsi="Cambria" w:cs="Cambria"/>
          <w:i/>
          <w:sz w:val="24"/>
          <w:szCs w:val="24"/>
        </w:rPr>
        <w:t xml:space="preserve"> with Girish Bahal and Jan Feld</w:t>
      </w:r>
      <w:r>
        <w:rPr>
          <w:rFonts w:ascii="Cambria" w:hAnsi="Cambria" w:cs="Cambria"/>
          <w:sz w:val="24"/>
          <w:szCs w:val="24"/>
        </w:rPr>
        <w:t xml:space="preserve">, IZA Discussion Paper, 2026 – </w:t>
      </w:r>
      <w:hyperlink r:id="rId29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</w:p>
    <w:p w:rsidR="00000000" w:rsidDel="00000000" w:rsidP="00000000" w:rsidRDefault="00000000" w:rsidRPr="00000000" w14:paraId="00000020">
      <w:pPr>
        <w:spacing w:after="114" w:before="114" w:line="240" w:lineRule="auto"/>
        <w:jc w:val="both"/>
        <w:rPr>
          <w:rFonts w:ascii="Cambria" w:cs="Cambria" w:eastAsia="Cambria" w:hAnsi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‘Second-stage stratification in India’s labour force surveys: a simulation study’</w:t>
      </w:r>
      <w:r>
        <w:rPr>
          <w:rFonts w:ascii="Cambria" w:hAnsi="Cambria" w:cs="Cambria"/>
          <w:i/>
          <w:sz w:val="24"/>
          <w:szCs w:val="24"/>
        </w:rPr>
        <w:t xml:space="preserve"> with Pratyush Priyadarshi and Amit Basole</w:t>
      </w:r>
      <w:r>
        <w:rPr>
          <w:rFonts w:ascii="Cambria" w:hAnsi="Cambria" w:cs="Cambria"/>
          <w:sz w:val="24"/>
          <w:szCs w:val="24"/>
        </w:rPr>
        <w:t xml:space="preserve">, Centre for the Study of the Indian Economy, Azim Premji University, 2026 – </w:t>
      </w:r>
      <w:hyperlink r:id="rId28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4" w:before="114" w:line="276" w:lineRule="auto"/>
        <w:ind w:left="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‘Civil conflict with rising wages and increasing state capacity: Theory and application to the Maoist insurgency in India’ – </w:t>
      </w:r>
      <w:hyperlink r:id="rId23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Grants</w:t>
      </w:r>
    </w:p>
    <w:p w:rsidR="00000000" w:rsidDel="00000000" w:rsidP="00000000" w:rsidRDefault="00000000" w:rsidRPr="00000000" w14:paraId="00000031">
      <w:pPr>
        <w:spacing w:after="114" w:before="114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Keynes Fund, University of Cambridge, for Covid-19 and Religion, 2020-21</w:t>
      </w:r>
    </w:p>
    <w:p w:rsidR="00000000" w:rsidDel="00000000" w:rsidP="00000000" w:rsidRDefault="00000000" w:rsidRPr="00000000" w14:paraId="00000032">
      <w:pPr>
        <w:spacing w:after="114" w:before="114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Bill and Melinda Gates Foundation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IWWAGE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grant for the India Working Survey, 2019-20,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With Rahul Lahoti, Rosa Abraham, Amit Basole, Hema Swaminathan, Deepti Goel and Girish Bahal.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14" w:before="114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37" w:before="57" w:lineRule="auto"/>
        <w:ind w:left="2160" w:right="0" w:hanging="21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Other activities</w:t>
      </w:r>
    </w:p>
    <w:p w:rsidR="00000000" w:rsidDel="00000000" w:rsidP="00000000" w:rsidRDefault="00000000" w:rsidRPr="00000000" w14:paraId="00000035">
      <w:pPr>
        <w:spacing w:after="137" w:before="57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Co-organiser for the Advanced Graduate Workshop for Globalisation, Poverty and Development in Bangalore, 2018, 2019 and 2022.</w:t>
      </w:r>
    </w:p>
    <w:p w:rsidR="00000000" w:rsidDel="00000000" w:rsidP="00000000" w:rsidRDefault="00000000" w:rsidRPr="00000000" w14:paraId="00000036">
      <w:pPr>
        <w:spacing w:after="137" w:before="57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Programme coordinator for the undergraduate programme at School of Arts and Sciences Azim Premji University from 2018-19</w:t>
      </w:r>
    </w:p>
    <w:p w:rsidR="00000000" w:rsidDel="00000000" w:rsidP="00000000" w:rsidRDefault="00000000" w:rsidRPr="00000000" w14:paraId="00000037">
      <w:pPr>
        <w:spacing w:after="137" w:before="57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Placement coordinator for the undergraduate programme at APU, 2017-18</w:t>
      </w:r>
    </w:p>
    <w:p w:rsidR="00000000" w:rsidDel="00000000" w:rsidP="00000000" w:rsidRDefault="00000000" w:rsidRPr="00000000" w14:paraId="00000038">
      <w:pPr>
        <w:spacing w:after="137" w:before="57" w:lineRule="auto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Referee for World Development, Journal of Economic Behavior &amp; Organization, European Journal of Political Economy, the Economics of Peace and Security Journal, B.E. Journal of Economic Analysis and Policy, Journal of Globalization and Development, PloSOne, Politics and Religion.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37" w:before="57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Co-organised the Political Economy Reading Group at Faculty of Economics, Cambridge</w:t>
      </w:r>
    </w:p>
    <w:p w:rsidR="00000000" w:rsidDel="00000000" w:rsidP="00000000" w:rsidRDefault="00000000" w:rsidRPr="00000000" w14:paraId="0000003A">
      <w:pPr>
        <w:spacing w:after="0" w:before="0" w:lineRule="auto"/>
        <w:ind w:left="2160" w:right="0" w:hanging="2160"/>
        <w:rPr>
          <w:rFonts w:ascii="Cambria" w:cs="Cambria" w:eastAsia="Cambria" w:hAnsi="Cambria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2160" w:right="0" w:hanging="21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Awards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left w:w="0" w:type="dxa"/>
          <w:right w:w="0" w:type="dxa"/>
          <w:top w:w="0" w:type="dxa"/>
          <w:bottom w:w="0" w:type="dxa"/>
        </w:tblCellMar>
      </w:tblPr>
      <w:tblGrid>
        <w:gridCol w:w="7848"/>
        <w:gridCol w:w="1181"/>
      </w:tblGrid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PODER research fellowship from the European Commission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2014-15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Gates Cambridge Scholarship (for PhD in Economics)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2012– 15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Cambridge International Scholarship (for PhD in Economics, declined)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2012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Claydon Prize at St. Edmunds College (academic performance in MPhil)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2012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Gates Cambridge Scholarship (for MPhil in Economic Research)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2011–12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Stevenson Prize at Faculty of Economics (academic performance in Diploma)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2011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Claydon Prize at St. Edmunds College (academic performance in Diploma)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2011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Inlaks Scholarship (for Diploma in Economics at Cambridge)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2010–11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Institute Merit Prize at IIT Madras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2003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National Talent Search Examination Scholarship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1999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National Scholarship, Government of West Bengal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1999</w:t>
            </w:r>
          </w:p>
        </w:tc>
      </w:tr>
    </w:tbl>
    <w:p w:rsidR="00000000" w:rsidDel="00000000" w:rsidP="00000000" w:rsidRDefault="00000000" w:rsidRPr="00000000" w14:paraId="00000047">
      <w:pPr>
        <w:spacing w:after="0" w:before="0" w:lineRule="auto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0" w:lineRule="auto"/>
        <w:ind w:left="2160" w:right="0" w:hanging="21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0" w:lineRule="auto"/>
        <w:ind w:left="2160" w:right="0" w:hanging="21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Selected conference presentations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left w:w="0" w:type="dxa"/>
          <w:right w:w="0" w:type="dxa"/>
          <w:top w:w="0" w:type="dxa"/>
          <w:bottom w:w="0" w:type="dxa"/>
        </w:tblCellMar>
      </w:tblPr>
      <w:tblGrid>
        <w:gridCol w:w="7848"/>
        <w:gridCol w:w="1181"/>
      </w:tblGrid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Invited seminar, IIM, Bangalore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2023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SAMVAAD seminar, online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2022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Microeconomics Revolutions Workshop, Santa Fe Instiute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2022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Research seminar, University of Western Australia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2019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Dynamics of Complex Systems workshop, ICTS, Bangalore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2019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Political Economy Workshop, IIM, Bangalore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2017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International Economics Association World Congress, Mexico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2017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Invited seminar, Delhi School of Economics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2017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Annual Conference on Economic Growth and Development, ISI Delhi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2016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Political economy workshop, University of Cambridge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2015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India research group workshop, Paris School of Economics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2015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ASREC annual conference, Boston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2015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Doctoral workshop, Université catholique de Louvain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2015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European Public Choice Society Annual Conference, Cambridge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2014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International Economic Association World Congress, Amman, Jordan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2014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Barcelona Summer Forum, GSE Barcelona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2014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PODER Summer School, University of Cape Town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2014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Oxford Development Economics Workshop, Oxford University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2014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Doctoral workshop, University of Namur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2014</w:t>
            </w:r>
          </w:p>
        </w:tc>
      </w:tr>
      <w:tr>
        <w:tc>
          <w:tcPr>
            <w:tcW w:type="dxa" w:w="7848"/>
          </w:tcPr>
          <w:p>
            <w:pPr>
              <w:spacing w:before="0" w:after="40" w:line="240" w:lineRule="auto"/>
            </w:pPr>
            <w:r>
              <w:rPr>
                <w:rFonts w:ascii="Cambria" w:hAnsi="Cambria" w:cs="Cambria"/>
                <w:sz w:val="24"/>
              </w:rPr>
              <w:t>Empirical Microeconomics workshop, University of Cambridge</w:t>
            </w:r>
          </w:p>
        </w:tc>
        <w:tc>
          <w:tcPr>
            <w:tcW w:type="dxa" w:w="1181"/>
          </w:tcPr>
          <w:p>
            <w:pPr>
              <w:spacing w:before="0" w:after="40" w:line="240" w:lineRule="auto"/>
              <w:jc w:val="right"/>
            </w:pPr>
            <w:r>
              <w:rPr>
                <w:rFonts w:ascii="Cambria" w:hAnsi="Cambria" w:cs="Cambria"/>
                <w:sz w:val="24"/>
              </w:rPr>
              <w:t>2013</w:t>
            </w:r>
          </w:p>
        </w:tc>
      </w:tr>
    </w:tbl>
    <w:sectPr>
      <w:pgSz w:h="16838" w:w="11906" w:orient="portrait"/>
      <w:pgMar w:bottom="1134" w:top="1134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://ideasforindia.in/article.aspx?article=Economic-development-and-Maoist-insurgency" TargetMode="External"/><Relationship Id="rId11" Type="http://schemas.openxmlformats.org/officeDocument/2006/relationships/hyperlink" Target="https://link.springer.com/article/10.1007/s00181-021-02195-0" TargetMode="External"/><Relationship Id="rId22" Type="http://schemas.openxmlformats.org/officeDocument/2006/relationships/hyperlink" Target="https://www.inet.econ.cam.ac.uk/working-paper-pdfs/wp1816.pdf" TargetMode="External"/><Relationship Id="rId10" Type="http://schemas.openxmlformats.org/officeDocument/2006/relationships/hyperlink" Target="https://www.sciencedirect.com/science/article/pii/S0304387820301838" TargetMode="External"/><Relationship Id="rId21" Type="http://schemas.openxmlformats.org/officeDocument/2006/relationships/hyperlink" Target="https://www.google.com/url?q=https%3A%2F%2Fwww.inet.econ.cam.ac.uk%2Fworking-paper-pdfs%2Fwp1816.pdf&amp;sa=D&amp;sntz=1&amp;usg=AFQjCNFS7OuH-JKhVubQq80_ZAD0tiQIUQ" TargetMode="External"/><Relationship Id="rId13" Type="http://schemas.openxmlformats.org/officeDocument/2006/relationships/hyperlink" Target="https://www.sciencedirect.com/science/article/pii/S0014292123002490" TargetMode="External"/><Relationship Id="rId12" Type="http://schemas.openxmlformats.org/officeDocument/2006/relationships/hyperlink" Target="https://www.google.com/url?q=https%3A%2F%2Frdcu.be%2FcRRT9&amp;sa=D&amp;sntz=1&amp;usg=AOvVaw0LZntvgakiKdmFOyE06PYT" TargetMode="External"/><Relationship Id="rId23" Type="http://schemas.openxmlformats.org/officeDocument/2006/relationships/hyperlink" Target="https://drive.google.com/file/d/0Bxm4uHpF91EoMWk4c0I4MmJNT1U/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iencedirect.com/science/article/abs/pii/S0167268120300718" TargetMode="External"/><Relationship Id="rId15" Type="http://schemas.openxmlformats.org/officeDocument/2006/relationships/hyperlink" Target="https://cse.azimpremjiuniversity.edu.in/state-of-working-india/" TargetMode="External"/><Relationship Id="rId14" Type="http://schemas.openxmlformats.org/officeDocument/2006/relationships/hyperlink" Target="https://www.sciencedirect.com/science/article/abs/pii/S016726812400413X" TargetMode="External"/><Relationship Id="rId17" Type="http://schemas.openxmlformats.org/officeDocument/2006/relationships/hyperlink" Target="http://www.epw.in/journal/2017/46/commentary/why-behavioural-economics-will-not-save-world.html" TargetMode="External"/><Relationship Id="rId16" Type="http://schemas.openxmlformats.org/officeDocument/2006/relationships/hyperlink" Target="https://cse.azimpremjiuniversity.edu.in/wp-content/uploads/2019/04/SWI2019_Employment_Trends.pdf" TargetMode="External"/><Relationship Id="rId5" Type="http://schemas.openxmlformats.org/officeDocument/2006/relationships/styles" Target="styles.xml"/><Relationship Id="rId19" Type="http://schemas.openxmlformats.org/officeDocument/2006/relationships/hyperlink" Target="http://ideasforindia.in/article.aspx?article=Holy-wars-Temple-desecrations-in-medieval-India" TargetMode="External"/><Relationship Id="rId6" Type="http://schemas.openxmlformats.org/officeDocument/2006/relationships/hyperlink" Target="about:blank" TargetMode="External"/><Relationship Id="rId18" Type="http://schemas.openxmlformats.org/officeDocument/2006/relationships/hyperlink" Target="http://www.epw.in/journal/2012/38/discussion/child-sex-ratio-and-sex-selection.html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sciencedirect.com/science/article/pii/S0304387817301025" TargetMode="External"/><Relationship Id="rId24" Type="http://schemas.openxmlformats.org/officeDocument/2006/relationships/hyperlink" Target="https://doi.org/10.1080/13504851.2026.2685216" TargetMode="External"/><Relationship Id="rId25" Type="http://schemas.openxmlformats.org/officeDocument/2006/relationships/hyperlink" Target="https://azimpremjiuniversity.edu.in/publications/2026/report/swi-2026" TargetMode="External"/><Relationship Id="rId26" Type="http://schemas.openxmlformats.org/officeDocument/2006/relationships/hyperlink" Target="https://papers.ssrn.com/sol3/papers.cfm?abstract_id=4843958" TargetMode="External"/><Relationship Id="rId27" Type="http://schemas.openxmlformats.org/officeDocument/2006/relationships/hyperlink" Target="https://cepr.org/publications/dp21638" TargetMode="External"/><Relationship Id="rId28" Type="http://schemas.openxmlformats.org/officeDocument/2006/relationships/hyperlink" Target="https://publications.azimpremjiuniversity.edu.in/7626/" TargetMode="External"/><Relationship Id="rId29" Type="http://schemas.openxmlformats.org/officeDocument/2006/relationships/hyperlink" Target="https://docs.iza.org/dp1884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