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F8650" w14:textId="5E7DF132" w:rsidR="00C05C90" w:rsidRPr="00937737" w:rsidRDefault="00937737" w:rsidP="00C05C90">
      <w:pPr>
        <w:spacing w:line="360" w:lineRule="auto"/>
        <w:jc w:val="both"/>
        <w:rPr>
          <w:rFonts w:ascii="Arial" w:hAnsi="Arial" w:cs="Arial"/>
          <w:b/>
          <w:bCs/>
          <w:sz w:val="24"/>
          <w:szCs w:val="24"/>
        </w:rPr>
      </w:pPr>
      <w:r>
        <w:rPr>
          <w:rFonts w:ascii="Arial" w:hAnsi="Arial" w:cs="Arial"/>
          <w:b/>
          <w:bCs/>
          <w:sz w:val="24"/>
          <w:szCs w:val="24"/>
        </w:rPr>
        <w:t>Anexo</w:t>
      </w:r>
    </w:p>
    <w:p w14:paraId="6BC9A946" w14:textId="0E47DC97" w:rsidR="00937737" w:rsidRDefault="00937737" w:rsidP="00C05C90">
      <w:pPr>
        <w:spacing w:line="360" w:lineRule="auto"/>
        <w:jc w:val="both"/>
        <w:rPr>
          <w:rFonts w:ascii="Arial" w:hAnsi="Arial" w:cs="Arial"/>
          <w:sz w:val="24"/>
          <w:szCs w:val="24"/>
        </w:rPr>
      </w:pPr>
      <w:r>
        <w:rPr>
          <w:rFonts w:ascii="Arial" w:hAnsi="Arial" w:cs="Arial"/>
          <w:sz w:val="24"/>
          <w:szCs w:val="24"/>
        </w:rPr>
        <w:t xml:space="preserve">Este anexo será composto de </w:t>
      </w:r>
      <w:r w:rsidR="00413E73">
        <w:rPr>
          <w:rFonts w:ascii="Arial" w:hAnsi="Arial" w:cs="Arial"/>
          <w:sz w:val="24"/>
          <w:szCs w:val="24"/>
        </w:rPr>
        <w:t>2</w:t>
      </w:r>
      <w:r>
        <w:rPr>
          <w:rFonts w:ascii="Arial" w:hAnsi="Arial" w:cs="Arial"/>
          <w:sz w:val="24"/>
          <w:szCs w:val="24"/>
        </w:rPr>
        <w:t xml:space="preserve"> seções. A primeira irá mostrar a tabela completa da classificação dos produtos em tipo de consumo utilizada na metodologia do Monitor da FGV. A segunda irá listar os teste de cointegração feitos para o Capítulo 2, a fim de mostrar </w:t>
      </w:r>
      <w:r w:rsidR="00413E73">
        <w:rPr>
          <w:rFonts w:ascii="Arial" w:hAnsi="Arial" w:cs="Arial"/>
          <w:sz w:val="24"/>
          <w:szCs w:val="24"/>
        </w:rPr>
        <w:t xml:space="preserve">se há </w:t>
      </w:r>
      <w:r>
        <w:rPr>
          <w:rFonts w:ascii="Arial" w:hAnsi="Arial" w:cs="Arial"/>
          <w:sz w:val="24"/>
          <w:szCs w:val="24"/>
        </w:rPr>
        <w:t xml:space="preserve">uma relação de longo prazo entre as séries do Monitor e </w:t>
      </w:r>
      <w:r w:rsidR="007E1FCA">
        <w:rPr>
          <w:rFonts w:ascii="Arial" w:hAnsi="Arial" w:cs="Arial"/>
          <w:sz w:val="24"/>
          <w:szCs w:val="24"/>
        </w:rPr>
        <w:t>das Pesquisas Mensais de Comércio e Serviços do IBGE.</w:t>
      </w:r>
    </w:p>
    <w:p w14:paraId="08845C1E" w14:textId="3E1BE1FB" w:rsidR="00937737" w:rsidRDefault="00937737" w:rsidP="00C05C90">
      <w:pPr>
        <w:spacing w:line="360" w:lineRule="auto"/>
        <w:jc w:val="both"/>
        <w:rPr>
          <w:rFonts w:ascii="Arial" w:hAnsi="Arial" w:cs="Arial"/>
          <w:sz w:val="24"/>
          <w:szCs w:val="24"/>
        </w:rPr>
      </w:pPr>
    </w:p>
    <w:p w14:paraId="4EB93C0A" w14:textId="771C7B66" w:rsidR="007E1FCA" w:rsidRPr="007E1FCA" w:rsidRDefault="007E1FCA" w:rsidP="00C05C90">
      <w:pPr>
        <w:spacing w:line="360" w:lineRule="auto"/>
        <w:jc w:val="both"/>
        <w:rPr>
          <w:rFonts w:ascii="Arial" w:hAnsi="Arial" w:cs="Arial"/>
          <w:b/>
          <w:bCs/>
          <w:sz w:val="24"/>
          <w:szCs w:val="24"/>
        </w:rPr>
      </w:pPr>
      <w:r w:rsidRPr="007E1FCA">
        <w:rPr>
          <w:rFonts w:ascii="Arial" w:hAnsi="Arial" w:cs="Arial"/>
          <w:b/>
          <w:bCs/>
          <w:sz w:val="24"/>
          <w:szCs w:val="24"/>
        </w:rPr>
        <w:t>4.1 Classificação dos produtos em tipos de consumo</w:t>
      </w:r>
    </w:p>
    <w:p w14:paraId="1B9DAB75" w14:textId="313CB877" w:rsidR="00343FC7" w:rsidRDefault="007E1FCA" w:rsidP="00C05C90">
      <w:pPr>
        <w:spacing w:line="360" w:lineRule="auto"/>
        <w:jc w:val="both"/>
        <w:rPr>
          <w:rFonts w:ascii="Arial" w:hAnsi="Arial" w:cs="Arial"/>
          <w:sz w:val="24"/>
          <w:szCs w:val="24"/>
        </w:rPr>
      </w:pPr>
      <w:r>
        <w:rPr>
          <w:rFonts w:ascii="Arial" w:hAnsi="Arial" w:cs="Arial"/>
          <w:sz w:val="24"/>
          <w:szCs w:val="24"/>
        </w:rPr>
        <w:t>A tabela abaixo indica como os produtos utilizados no consumo das famílias é classificado dentro das Grandes Categorias Econômicas, segundo a metodologia do Monitor. A tabela</w:t>
      </w:r>
      <w:r w:rsidR="00883CBA">
        <w:rPr>
          <w:rFonts w:ascii="Arial" w:hAnsi="Arial" w:cs="Arial"/>
          <w:sz w:val="24"/>
          <w:szCs w:val="24"/>
        </w:rPr>
        <w:t xml:space="preserve"> foi construída à partir da TRU e</w:t>
      </w:r>
      <w:r>
        <w:rPr>
          <w:rFonts w:ascii="Arial" w:hAnsi="Arial" w:cs="Arial"/>
          <w:sz w:val="24"/>
          <w:szCs w:val="24"/>
        </w:rPr>
        <w:t xml:space="preserve"> é conveniente para analisarmos com mais cuidado qual seria o melhor proxy de quantidade a ser utilizado para cada grupo (e.g. qual subgrupo das pesquisas do IBGE utilizar).</w:t>
      </w:r>
    </w:p>
    <w:p w14:paraId="017D8833" w14:textId="77777777" w:rsidR="00D77C04" w:rsidRDefault="00D77C04" w:rsidP="00C05C90">
      <w:pPr>
        <w:spacing w:line="360" w:lineRule="auto"/>
        <w:jc w:val="both"/>
        <w:rPr>
          <w:rFonts w:ascii="Arial" w:hAnsi="Arial" w:cs="Arial"/>
          <w:sz w:val="24"/>
          <w:szCs w:val="24"/>
        </w:rPr>
      </w:pPr>
    </w:p>
    <w:p w14:paraId="03F56CEE" w14:textId="0FC6A996" w:rsidR="00343FC7" w:rsidRPr="00FD7A18" w:rsidRDefault="00343FC7" w:rsidP="00343FC7">
      <w:pPr>
        <w:pStyle w:val="Caption"/>
        <w:keepNext/>
        <w:jc w:val="center"/>
        <w:rPr>
          <w:rFonts w:ascii="Arial" w:hAnsi="Arial" w:cs="Arial"/>
          <w:b/>
          <w:bCs/>
          <w:i w:val="0"/>
          <w:iCs w:val="0"/>
          <w:color w:val="auto"/>
          <w:sz w:val="24"/>
          <w:szCs w:val="24"/>
        </w:rPr>
      </w:pPr>
      <w:bookmarkStart w:id="0" w:name="_Ref75029499"/>
      <w:r w:rsidRPr="00FD7A18">
        <w:rPr>
          <w:rFonts w:ascii="Arial" w:hAnsi="Arial" w:cs="Arial"/>
          <w:b/>
          <w:bCs/>
          <w:i w:val="0"/>
          <w:iCs w:val="0"/>
          <w:color w:val="auto"/>
          <w:sz w:val="24"/>
          <w:szCs w:val="24"/>
        </w:rPr>
        <w:t xml:space="preserve">Tabela </w:t>
      </w:r>
      <w:r w:rsidRPr="00FD7A18">
        <w:rPr>
          <w:rFonts w:ascii="Arial" w:hAnsi="Arial" w:cs="Arial"/>
          <w:b/>
          <w:bCs/>
          <w:i w:val="0"/>
          <w:iCs w:val="0"/>
          <w:color w:val="auto"/>
          <w:sz w:val="24"/>
          <w:szCs w:val="24"/>
        </w:rPr>
        <w:fldChar w:fldCharType="begin"/>
      </w:r>
      <w:r w:rsidRPr="00FD7A18">
        <w:rPr>
          <w:rFonts w:ascii="Arial" w:hAnsi="Arial" w:cs="Arial"/>
          <w:b/>
          <w:bCs/>
          <w:i w:val="0"/>
          <w:iCs w:val="0"/>
          <w:color w:val="auto"/>
          <w:sz w:val="24"/>
          <w:szCs w:val="24"/>
        </w:rPr>
        <w:instrText xml:space="preserve"> SEQ Tabela \* ARABIC </w:instrText>
      </w:r>
      <w:r w:rsidRPr="00FD7A18">
        <w:rPr>
          <w:rFonts w:ascii="Arial" w:hAnsi="Arial" w:cs="Arial"/>
          <w:b/>
          <w:bCs/>
          <w:i w:val="0"/>
          <w:iCs w:val="0"/>
          <w:color w:val="auto"/>
          <w:sz w:val="24"/>
          <w:szCs w:val="24"/>
        </w:rPr>
        <w:fldChar w:fldCharType="separate"/>
      </w:r>
      <w:r w:rsidRPr="00FD7A18">
        <w:rPr>
          <w:rFonts w:ascii="Arial" w:hAnsi="Arial" w:cs="Arial"/>
          <w:b/>
          <w:bCs/>
          <w:i w:val="0"/>
          <w:iCs w:val="0"/>
          <w:noProof/>
          <w:color w:val="auto"/>
          <w:sz w:val="24"/>
          <w:szCs w:val="24"/>
        </w:rPr>
        <w:t>1</w:t>
      </w:r>
      <w:r w:rsidRPr="00FD7A18">
        <w:rPr>
          <w:rFonts w:ascii="Arial" w:hAnsi="Arial" w:cs="Arial"/>
          <w:b/>
          <w:bCs/>
          <w:i w:val="0"/>
          <w:iCs w:val="0"/>
          <w:color w:val="auto"/>
          <w:sz w:val="24"/>
          <w:szCs w:val="24"/>
        </w:rPr>
        <w:fldChar w:fldCharType="end"/>
      </w:r>
      <w:bookmarkEnd w:id="0"/>
      <w:r w:rsidRPr="00FD7A18">
        <w:rPr>
          <w:rFonts w:ascii="Arial" w:hAnsi="Arial" w:cs="Arial"/>
          <w:b/>
          <w:bCs/>
          <w:i w:val="0"/>
          <w:iCs w:val="0"/>
          <w:color w:val="auto"/>
          <w:sz w:val="24"/>
          <w:szCs w:val="24"/>
        </w:rPr>
        <w:t xml:space="preserve">: </w:t>
      </w:r>
      <w:r>
        <w:rPr>
          <w:rFonts w:ascii="Arial" w:hAnsi="Arial" w:cs="Arial"/>
          <w:b/>
          <w:bCs/>
          <w:i w:val="0"/>
          <w:iCs w:val="0"/>
          <w:color w:val="auto"/>
          <w:sz w:val="24"/>
          <w:szCs w:val="24"/>
        </w:rPr>
        <w:t>Classificação dos produtos em tipos de consumo</w:t>
      </w:r>
    </w:p>
    <w:tbl>
      <w:tblPr>
        <w:tblW w:w="7800" w:type="dxa"/>
        <w:tblCellMar>
          <w:left w:w="70" w:type="dxa"/>
          <w:right w:w="70" w:type="dxa"/>
        </w:tblCellMar>
        <w:tblLook w:val="04A0" w:firstRow="1" w:lastRow="0" w:firstColumn="1" w:lastColumn="0" w:noHBand="0" w:noVBand="1"/>
      </w:tblPr>
      <w:tblGrid>
        <w:gridCol w:w="7800"/>
      </w:tblGrid>
      <w:tr w:rsidR="00343FC7" w:rsidRPr="00343FC7" w14:paraId="184FE978" w14:textId="77777777" w:rsidTr="005546F0">
        <w:trPr>
          <w:trHeight w:val="300"/>
        </w:trPr>
        <w:tc>
          <w:tcPr>
            <w:tcW w:w="7800" w:type="dxa"/>
            <w:tcBorders>
              <w:top w:val="nil"/>
              <w:left w:val="nil"/>
              <w:bottom w:val="nil"/>
              <w:right w:val="nil"/>
            </w:tcBorders>
            <w:shd w:val="clear" w:color="auto" w:fill="auto"/>
            <w:noWrap/>
            <w:vAlign w:val="bottom"/>
          </w:tcPr>
          <w:tbl>
            <w:tblPr>
              <w:tblW w:w="7660" w:type="dxa"/>
              <w:tblCellMar>
                <w:left w:w="70" w:type="dxa"/>
                <w:right w:w="70" w:type="dxa"/>
              </w:tblCellMar>
              <w:tblLook w:val="04A0" w:firstRow="1" w:lastRow="0" w:firstColumn="1" w:lastColumn="0" w:noHBand="0" w:noVBand="1"/>
            </w:tblPr>
            <w:tblGrid>
              <w:gridCol w:w="7660"/>
            </w:tblGrid>
            <w:tr w:rsidR="005546F0" w:rsidRPr="005546F0" w14:paraId="0B7717FF" w14:textId="77777777" w:rsidTr="005546F0">
              <w:trPr>
                <w:trHeight w:val="300"/>
              </w:trPr>
              <w:tc>
                <w:tcPr>
                  <w:tcW w:w="7660" w:type="dxa"/>
                  <w:tcBorders>
                    <w:top w:val="single" w:sz="4" w:space="0" w:color="auto"/>
                    <w:left w:val="nil"/>
                    <w:bottom w:val="single" w:sz="4" w:space="0" w:color="auto"/>
                    <w:right w:val="nil"/>
                  </w:tcBorders>
                  <w:shd w:val="clear" w:color="auto" w:fill="auto"/>
                  <w:noWrap/>
                  <w:vAlign w:val="center"/>
                  <w:hideMark/>
                </w:tcPr>
                <w:p w14:paraId="19A93586" w14:textId="77777777" w:rsidR="005546F0" w:rsidRPr="005546F0" w:rsidRDefault="005546F0" w:rsidP="005546F0">
                  <w:pPr>
                    <w:spacing w:after="0" w:line="240" w:lineRule="auto"/>
                    <w:rPr>
                      <w:rFonts w:ascii="Arial" w:eastAsia="Times New Roman" w:hAnsi="Arial" w:cs="Arial"/>
                      <w:b/>
                      <w:bCs/>
                      <w:color w:val="000000"/>
                      <w:lang w:eastAsia="pt-BR"/>
                    </w:rPr>
                  </w:pPr>
                  <w:r w:rsidRPr="005546F0">
                    <w:rPr>
                      <w:rFonts w:ascii="Arial" w:eastAsia="Times New Roman" w:hAnsi="Arial" w:cs="Arial"/>
                      <w:b/>
                      <w:bCs/>
                      <w:color w:val="000000"/>
                      <w:lang w:eastAsia="pt-BR"/>
                    </w:rPr>
                    <w:t>Consumo de não-duráveis</w:t>
                  </w:r>
                </w:p>
              </w:tc>
            </w:tr>
            <w:tr w:rsidR="005546F0" w:rsidRPr="005546F0" w14:paraId="1F5B2BA2" w14:textId="77777777" w:rsidTr="005546F0">
              <w:trPr>
                <w:trHeight w:val="300"/>
              </w:trPr>
              <w:tc>
                <w:tcPr>
                  <w:tcW w:w="7660" w:type="dxa"/>
                  <w:tcBorders>
                    <w:top w:val="nil"/>
                    <w:left w:val="nil"/>
                    <w:bottom w:val="nil"/>
                    <w:right w:val="nil"/>
                  </w:tcBorders>
                  <w:shd w:val="clear" w:color="auto" w:fill="auto"/>
                  <w:noWrap/>
                  <w:vAlign w:val="center"/>
                  <w:hideMark/>
                </w:tcPr>
                <w:p w14:paraId="72E03B98"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Arroz, trigo e outros cereais</w:t>
                  </w:r>
                </w:p>
              </w:tc>
            </w:tr>
            <w:tr w:rsidR="005546F0" w:rsidRPr="005546F0" w14:paraId="7A9B5348" w14:textId="77777777" w:rsidTr="005546F0">
              <w:trPr>
                <w:trHeight w:val="300"/>
              </w:trPr>
              <w:tc>
                <w:tcPr>
                  <w:tcW w:w="7660" w:type="dxa"/>
                  <w:tcBorders>
                    <w:top w:val="nil"/>
                    <w:left w:val="nil"/>
                    <w:bottom w:val="nil"/>
                    <w:right w:val="nil"/>
                  </w:tcBorders>
                  <w:shd w:val="clear" w:color="auto" w:fill="auto"/>
                  <w:noWrap/>
                  <w:vAlign w:val="center"/>
                  <w:hideMark/>
                </w:tcPr>
                <w:p w14:paraId="07A5B19C"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Milho em grão</w:t>
                  </w:r>
                </w:p>
              </w:tc>
            </w:tr>
            <w:tr w:rsidR="005546F0" w:rsidRPr="005546F0" w14:paraId="59045C03" w14:textId="77777777" w:rsidTr="005546F0">
              <w:trPr>
                <w:trHeight w:val="300"/>
              </w:trPr>
              <w:tc>
                <w:tcPr>
                  <w:tcW w:w="7660" w:type="dxa"/>
                  <w:tcBorders>
                    <w:top w:val="nil"/>
                    <w:left w:val="nil"/>
                    <w:bottom w:val="nil"/>
                    <w:right w:val="nil"/>
                  </w:tcBorders>
                  <w:shd w:val="clear" w:color="auto" w:fill="auto"/>
                  <w:noWrap/>
                  <w:vAlign w:val="center"/>
                  <w:hideMark/>
                </w:tcPr>
                <w:p w14:paraId="33D6F867"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Algodão herbáceo, outras fibras da lav. temporária</w:t>
                  </w:r>
                </w:p>
              </w:tc>
            </w:tr>
            <w:tr w:rsidR="005546F0" w:rsidRPr="005546F0" w14:paraId="290FAF59" w14:textId="77777777" w:rsidTr="005546F0">
              <w:trPr>
                <w:trHeight w:val="300"/>
              </w:trPr>
              <w:tc>
                <w:tcPr>
                  <w:tcW w:w="7660" w:type="dxa"/>
                  <w:tcBorders>
                    <w:top w:val="nil"/>
                    <w:left w:val="nil"/>
                    <w:bottom w:val="nil"/>
                    <w:right w:val="nil"/>
                  </w:tcBorders>
                  <w:shd w:val="clear" w:color="auto" w:fill="auto"/>
                  <w:noWrap/>
                  <w:vAlign w:val="center"/>
                  <w:hideMark/>
                </w:tcPr>
                <w:p w14:paraId="174ABBB4"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Cana-de-açúcar</w:t>
                  </w:r>
                </w:p>
              </w:tc>
            </w:tr>
            <w:tr w:rsidR="005546F0" w:rsidRPr="005546F0" w14:paraId="394E5FC0" w14:textId="77777777" w:rsidTr="005546F0">
              <w:trPr>
                <w:trHeight w:val="300"/>
              </w:trPr>
              <w:tc>
                <w:tcPr>
                  <w:tcW w:w="7660" w:type="dxa"/>
                  <w:tcBorders>
                    <w:top w:val="nil"/>
                    <w:left w:val="nil"/>
                    <w:bottom w:val="nil"/>
                    <w:right w:val="nil"/>
                  </w:tcBorders>
                  <w:shd w:val="clear" w:color="auto" w:fill="auto"/>
                  <w:noWrap/>
                  <w:vAlign w:val="center"/>
                  <w:hideMark/>
                </w:tcPr>
                <w:p w14:paraId="59C6C3B2"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Soja em grão</w:t>
                  </w:r>
                </w:p>
              </w:tc>
            </w:tr>
            <w:tr w:rsidR="005546F0" w:rsidRPr="005546F0" w14:paraId="63E39CE1" w14:textId="77777777" w:rsidTr="005546F0">
              <w:trPr>
                <w:trHeight w:val="300"/>
              </w:trPr>
              <w:tc>
                <w:tcPr>
                  <w:tcW w:w="7660" w:type="dxa"/>
                  <w:tcBorders>
                    <w:top w:val="nil"/>
                    <w:left w:val="nil"/>
                    <w:bottom w:val="nil"/>
                    <w:right w:val="nil"/>
                  </w:tcBorders>
                  <w:shd w:val="clear" w:color="auto" w:fill="auto"/>
                  <w:noWrap/>
                  <w:vAlign w:val="center"/>
                  <w:hideMark/>
                </w:tcPr>
                <w:p w14:paraId="0EBC2BA9"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Outros produtos e serviços da lavoura</w:t>
                  </w:r>
                </w:p>
              </w:tc>
            </w:tr>
            <w:tr w:rsidR="005546F0" w:rsidRPr="005546F0" w14:paraId="4066C916" w14:textId="77777777" w:rsidTr="005546F0">
              <w:trPr>
                <w:trHeight w:val="300"/>
              </w:trPr>
              <w:tc>
                <w:tcPr>
                  <w:tcW w:w="7660" w:type="dxa"/>
                  <w:tcBorders>
                    <w:top w:val="nil"/>
                    <w:left w:val="nil"/>
                    <w:bottom w:val="nil"/>
                    <w:right w:val="nil"/>
                  </w:tcBorders>
                  <w:shd w:val="clear" w:color="auto" w:fill="auto"/>
                  <w:noWrap/>
                  <w:vAlign w:val="center"/>
                  <w:hideMark/>
                </w:tcPr>
                <w:p w14:paraId="2E063D34"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Laranja</w:t>
                  </w:r>
                </w:p>
              </w:tc>
            </w:tr>
            <w:tr w:rsidR="005546F0" w:rsidRPr="005546F0" w14:paraId="3CE67E7A" w14:textId="77777777" w:rsidTr="005546F0">
              <w:trPr>
                <w:trHeight w:val="300"/>
              </w:trPr>
              <w:tc>
                <w:tcPr>
                  <w:tcW w:w="7660" w:type="dxa"/>
                  <w:tcBorders>
                    <w:top w:val="nil"/>
                    <w:left w:val="nil"/>
                    <w:bottom w:val="nil"/>
                    <w:right w:val="nil"/>
                  </w:tcBorders>
                  <w:shd w:val="clear" w:color="auto" w:fill="auto"/>
                  <w:noWrap/>
                  <w:vAlign w:val="center"/>
                  <w:hideMark/>
                </w:tcPr>
                <w:p w14:paraId="423D18A0"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Café em grão</w:t>
                  </w:r>
                </w:p>
              </w:tc>
            </w:tr>
            <w:tr w:rsidR="005546F0" w:rsidRPr="005546F0" w14:paraId="12F4587E" w14:textId="77777777" w:rsidTr="005546F0">
              <w:trPr>
                <w:trHeight w:val="300"/>
              </w:trPr>
              <w:tc>
                <w:tcPr>
                  <w:tcW w:w="7660" w:type="dxa"/>
                  <w:tcBorders>
                    <w:top w:val="nil"/>
                    <w:left w:val="nil"/>
                    <w:bottom w:val="nil"/>
                    <w:right w:val="nil"/>
                  </w:tcBorders>
                  <w:shd w:val="clear" w:color="auto" w:fill="auto"/>
                  <w:noWrap/>
                  <w:vAlign w:val="center"/>
                  <w:hideMark/>
                </w:tcPr>
                <w:p w14:paraId="718EEBAE"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Bovinos e outros animais vivos, prods. animal, caça e serv.</w:t>
                  </w:r>
                </w:p>
              </w:tc>
            </w:tr>
            <w:tr w:rsidR="005546F0" w:rsidRPr="005546F0" w14:paraId="142865CE" w14:textId="77777777" w:rsidTr="005546F0">
              <w:trPr>
                <w:trHeight w:val="300"/>
              </w:trPr>
              <w:tc>
                <w:tcPr>
                  <w:tcW w:w="7660" w:type="dxa"/>
                  <w:tcBorders>
                    <w:top w:val="nil"/>
                    <w:left w:val="nil"/>
                    <w:bottom w:val="nil"/>
                    <w:right w:val="nil"/>
                  </w:tcBorders>
                  <w:shd w:val="clear" w:color="auto" w:fill="auto"/>
                  <w:noWrap/>
                  <w:vAlign w:val="center"/>
                  <w:hideMark/>
                </w:tcPr>
                <w:p w14:paraId="42F38B00"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Leite de vaca e de outros animais</w:t>
                  </w:r>
                </w:p>
              </w:tc>
            </w:tr>
            <w:tr w:rsidR="005546F0" w:rsidRPr="005546F0" w14:paraId="741797C4" w14:textId="77777777" w:rsidTr="005546F0">
              <w:trPr>
                <w:trHeight w:val="300"/>
              </w:trPr>
              <w:tc>
                <w:tcPr>
                  <w:tcW w:w="7660" w:type="dxa"/>
                  <w:tcBorders>
                    <w:top w:val="nil"/>
                    <w:left w:val="nil"/>
                    <w:bottom w:val="nil"/>
                    <w:right w:val="nil"/>
                  </w:tcBorders>
                  <w:shd w:val="clear" w:color="auto" w:fill="auto"/>
                  <w:noWrap/>
                  <w:vAlign w:val="center"/>
                  <w:hideMark/>
                </w:tcPr>
                <w:p w14:paraId="6CD64B67"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Suínos</w:t>
                  </w:r>
                </w:p>
              </w:tc>
            </w:tr>
            <w:tr w:rsidR="005546F0" w:rsidRPr="005546F0" w14:paraId="7A1AA1E0" w14:textId="77777777" w:rsidTr="005546F0">
              <w:trPr>
                <w:trHeight w:val="300"/>
              </w:trPr>
              <w:tc>
                <w:tcPr>
                  <w:tcW w:w="7660" w:type="dxa"/>
                  <w:tcBorders>
                    <w:top w:val="nil"/>
                    <w:left w:val="nil"/>
                    <w:bottom w:val="nil"/>
                    <w:right w:val="nil"/>
                  </w:tcBorders>
                  <w:shd w:val="clear" w:color="auto" w:fill="auto"/>
                  <w:noWrap/>
                  <w:vAlign w:val="center"/>
                  <w:hideMark/>
                </w:tcPr>
                <w:p w14:paraId="48262307"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Aves e ovos</w:t>
                  </w:r>
                </w:p>
              </w:tc>
            </w:tr>
            <w:tr w:rsidR="005546F0" w:rsidRPr="005546F0" w14:paraId="098A4A6A" w14:textId="77777777" w:rsidTr="005546F0">
              <w:trPr>
                <w:trHeight w:val="300"/>
              </w:trPr>
              <w:tc>
                <w:tcPr>
                  <w:tcW w:w="7660" w:type="dxa"/>
                  <w:tcBorders>
                    <w:top w:val="nil"/>
                    <w:left w:val="nil"/>
                    <w:bottom w:val="nil"/>
                    <w:right w:val="nil"/>
                  </w:tcBorders>
                  <w:shd w:val="clear" w:color="auto" w:fill="auto"/>
                  <w:noWrap/>
                  <w:vAlign w:val="center"/>
                  <w:hideMark/>
                </w:tcPr>
                <w:p w14:paraId="6AC10283"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Produtos da exploração florestal e da silvicultura</w:t>
                  </w:r>
                </w:p>
              </w:tc>
            </w:tr>
            <w:tr w:rsidR="005546F0" w:rsidRPr="005546F0" w14:paraId="7CE087A0" w14:textId="77777777" w:rsidTr="005546F0">
              <w:trPr>
                <w:trHeight w:val="300"/>
              </w:trPr>
              <w:tc>
                <w:tcPr>
                  <w:tcW w:w="7660" w:type="dxa"/>
                  <w:tcBorders>
                    <w:top w:val="nil"/>
                    <w:left w:val="nil"/>
                    <w:bottom w:val="nil"/>
                    <w:right w:val="nil"/>
                  </w:tcBorders>
                  <w:shd w:val="clear" w:color="auto" w:fill="auto"/>
                  <w:noWrap/>
                  <w:vAlign w:val="center"/>
                  <w:hideMark/>
                </w:tcPr>
                <w:p w14:paraId="19556A6D"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Pesca e aquicultura (peixe, crustáceos e moluscos)</w:t>
                  </w:r>
                </w:p>
              </w:tc>
            </w:tr>
            <w:tr w:rsidR="005546F0" w:rsidRPr="005546F0" w14:paraId="7A54BED1" w14:textId="77777777" w:rsidTr="005546F0">
              <w:trPr>
                <w:trHeight w:val="300"/>
              </w:trPr>
              <w:tc>
                <w:tcPr>
                  <w:tcW w:w="7660" w:type="dxa"/>
                  <w:tcBorders>
                    <w:top w:val="nil"/>
                    <w:left w:val="nil"/>
                    <w:bottom w:val="nil"/>
                    <w:right w:val="nil"/>
                  </w:tcBorders>
                  <w:shd w:val="clear" w:color="auto" w:fill="auto"/>
                  <w:noWrap/>
                  <w:vAlign w:val="center"/>
                  <w:hideMark/>
                </w:tcPr>
                <w:p w14:paraId="4CBFEF86"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Carne de bovinos e outros prod. de carne</w:t>
                  </w:r>
                </w:p>
              </w:tc>
            </w:tr>
            <w:tr w:rsidR="005546F0" w:rsidRPr="005546F0" w14:paraId="6E93CB62" w14:textId="77777777" w:rsidTr="005546F0">
              <w:trPr>
                <w:trHeight w:val="300"/>
              </w:trPr>
              <w:tc>
                <w:tcPr>
                  <w:tcW w:w="7660" w:type="dxa"/>
                  <w:tcBorders>
                    <w:top w:val="nil"/>
                    <w:left w:val="nil"/>
                    <w:bottom w:val="nil"/>
                    <w:right w:val="nil"/>
                  </w:tcBorders>
                  <w:shd w:val="clear" w:color="auto" w:fill="auto"/>
                  <w:noWrap/>
                  <w:vAlign w:val="center"/>
                  <w:hideMark/>
                </w:tcPr>
                <w:p w14:paraId="202961A5"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Carne de suíno</w:t>
                  </w:r>
                </w:p>
              </w:tc>
            </w:tr>
            <w:tr w:rsidR="005546F0" w:rsidRPr="005546F0" w14:paraId="727159ED" w14:textId="77777777" w:rsidTr="005546F0">
              <w:trPr>
                <w:trHeight w:val="300"/>
              </w:trPr>
              <w:tc>
                <w:tcPr>
                  <w:tcW w:w="7660" w:type="dxa"/>
                  <w:tcBorders>
                    <w:top w:val="nil"/>
                    <w:left w:val="nil"/>
                    <w:bottom w:val="nil"/>
                    <w:right w:val="nil"/>
                  </w:tcBorders>
                  <w:shd w:val="clear" w:color="auto" w:fill="auto"/>
                  <w:noWrap/>
                  <w:vAlign w:val="center"/>
                  <w:hideMark/>
                </w:tcPr>
                <w:p w14:paraId="36EE63A4"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Carne de aves</w:t>
                  </w:r>
                </w:p>
              </w:tc>
            </w:tr>
            <w:tr w:rsidR="005546F0" w:rsidRPr="005546F0" w14:paraId="1C527B58" w14:textId="77777777" w:rsidTr="005546F0">
              <w:trPr>
                <w:trHeight w:val="300"/>
              </w:trPr>
              <w:tc>
                <w:tcPr>
                  <w:tcW w:w="7660" w:type="dxa"/>
                  <w:tcBorders>
                    <w:top w:val="nil"/>
                    <w:left w:val="nil"/>
                    <w:bottom w:val="nil"/>
                    <w:right w:val="nil"/>
                  </w:tcBorders>
                  <w:shd w:val="clear" w:color="auto" w:fill="auto"/>
                  <w:noWrap/>
                  <w:vAlign w:val="center"/>
                  <w:hideMark/>
                </w:tcPr>
                <w:p w14:paraId="0193C0A7"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Pescado industrializado</w:t>
                  </w:r>
                </w:p>
              </w:tc>
            </w:tr>
            <w:tr w:rsidR="005546F0" w:rsidRPr="005546F0" w14:paraId="35C56EAD" w14:textId="77777777" w:rsidTr="005546F0">
              <w:trPr>
                <w:trHeight w:val="300"/>
              </w:trPr>
              <w:tc>
                <w:tcPr>
                  <w:tcW w:w="7660" w:type="dxa"/>
                  <w:tcBorders>
                    <w:top w:val="nil"/>
                    <w:left w:val="nil"/>
                    <w:bottom w:val="nil"/>
                    <w:right w:val="nil"/>
                  </w:tcBorders>
                  <w:shd w:val="clear" w:color="auto" w:fill="auto"/>
                  <w:noWrap/>
                  <w:vAlign w:val="center"/>
                  <w:hideMark/>
                </w:tcPr>
                <w:p w14:paraId="2352AD0C"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Leite resfriado, esterilizado e pasteurizado</w:t>
                  </w:r>
                </w:p>
              </w:tc>
            </w:tr>
            <w:tr w:rsidR="005546F0" w:rsidRPr="005546F0" w14:paraId="4734DDFD" w14:textId="77777777" w:rsidTr="005546F0">
              <w:trPr>
                <w:trHeight w:val="300"/>
              </w:trPr>
              <w:tc>
                <w:tcPr>
                  <w:tcW w:w="7660" w:type="dxa"/>
                  <w:tcBorders>
                    <w:top w:val="nil"/>
                    <w:left w:val="nil"/>
                    <w:bottom w:val="nil"/>
                    <w:right w:val="nil"/>
                  </w:tcBorders>
                  <w:shd w:val="clear" w:color="auto" w:fill="auto"/>
                  <w:noWrap/>
                  <w:vAlign w:val="center"/>
                  <w:hideMark/>
                </w:tcPr>
                <w:p w14:paraId="7233C5B6"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Outros produtos do laticínio</w:t>
                  </w:r>
                </w:p>
              </w:tc>
            </w:tr>
            <w:tr w:rsidR="005546F0" w:rsidRPr="005546F0" w14:paraId="57F1F686" w14:textId="77777777" w:rsidTr="005546F0">
              <w:trPr>
                <w:trHeight w:val="300"/>
              </w:trPr>
              <w:tc>
                <w:tcPr>
                  <w:tcW w:w="7660" w:type="dxa"/>
                  <w:tcBorders>
                    <w:top w:val="nil"/>
                    <w:left w:val="nil"/>
                    <w:bottom w:val="nil"/>
                    <w:right w:val="nil"/>
                  </w:tcBorders>
                  <w:shd w:val="clear" w:color="auto" w:fill="auto"/>
                  <w:noWrap/>
                  <w:vAlign w:val="center"/>
                  <w:hideMark/>
                </w:tcPr>
                <w:p w14:paraId="52350AF3"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lastRenderedPageBreak/>
                    <w:t>Açúcar</w:t>
                  </w:r>
                </w:p>
              </w:tc>
            </w:tr>
            <w:tr w:rsidR="005546F0" w:rsidRPr="005546F0" w14:paraId="1644F67D" w14:textId="77777777" w:rsidTr="005546F0">
              <w:trPr>
                <w:trHeight w:val="300"/>
              </w:trPr>
              <w:tc>
                <w:tcPr>
                  <w:tcW w:w="7660" w:type="dxa"/>
                  <w:tcBorders>
                    <w:top w:val="nil"/>
                    <w:left w:val="nil"/>
                    <w:bottom w:val="nil"/>
                    <w:right w:val="nil"/>
                  </w:tcBorders>
                  <w:shd w:val="clear" w:color="auto" w:fill="auto"/>
                  <w:noWrap/>
                  <w:vAlign w:val="center"/>
                  <w:hideMark/>
                </w:tcPr>
                <w:p w14:paraId="788B623F"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Conservas de frutas, legumes, outros vegetais e sucos de frutas</w:t>
                  </w:r>
                </w:p>
              </w:tc>
            </w:tr>
            <w:tr w:rsidR="005546F0" w:rsidRPr="005546F0" w14:paraId="0EBF7D01" w14:textId="77777777" w:rsidTr="005546F0">
              <w:trPr>
                <w:trHeight w:val="300"/>
              </w:trPr>
              <w:tc>
                <w:tcPr>
                  <w:tcW w:w="7660" w:type="dxa"/>
                  <w:tcBorders>
                    <w:top w:val="nil"/>
                    <w:left w:val="nil"/>
                    <w:bottom w:val="nil"/>
                    <w:right w:val="nil"/>
                  </w:tcBorders>
                  <w:shd w:val="clear" w:color="auto" w:fill="auto"/>
                  <w:noWrap/>
                  <w:vAlign w:val="center"/>
                  <w:hideMark/>
                </w:tcPr>
                <w:p w14:paraId="6EB0C697"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Outros óleos e gordura vegetal e animal exclusive milho</w:t>
                  </w:r>
                </w:p>
              </w:tc>
            </w:tr>
            <w:tr w:rsidR="005546F0" w:rsidRPr="005546F0" w14:paraId="0DC702BF" w14:textId="77777777" w:rsidTr="005546F0">
              <w:trPr>
                <w:trHeight w:val="300"/>
              </w:trPr>
              <w:tc>
                <w:tcPr>
                  <w:tcW w:w="7660" w:type="dxa"/>
                  <w:tcBorders>
                    <w:top w:val="nil"/>
                    <w:left w:val="nil"/>
                    <w:bottom w:val="nil"/>
                    <w:right w:val="nil"/>
                  </w:tcBorders>
                  <w:shd w:val="clear" w:color="auto" w:fill="auto"/>
                  <w:noWrap/>
                  <w:vAlign w:val="center"/>
                  <w:hideMark/>
                </w:tcPr>
                <w:p w14:paraId="632B4370"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Óleo de soja refinado</w:t>
                  </w:r>
                </w:p>
              </w:tc>
            </w:tr>
            <w:tr w:rsidR="005546F0" w:rsidRPr="005546F0" w14:paraId="57D5036C" w14:textId="77777777" w:rsidTr="005546F0">
              <w:trPr>
                <w:trHeight w:val="300"/>
              </w:trPr>
              <w:tc>
                <w:tcPr>
                  <w:tcW w:w="7660" w:type="dxa"/>
                  <w:tcBorders>
                    <w:top w:val="nil"/>
                    <w:left w:val="nil"/>
                    <w:bottom w:val="nil"/>
                    <w:right w:val="nil"/>
                  </w:tcBorders>
                  <w:shd w:val="clear" w:color="auto" w:fill="auto"/>
                  <w:noWrap/>
                  <w:vAlign w:val="center"/>
                  <w:hideMark/>
                </w:tcPr>
                <w:p w14:paraId="26C111CF"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Café beneficiado</w:t>
                  </w:r>
                </w:p>
              </w:tc>
            </w:tr>
            <w:tr w:rsidR="005546F0" w:rsidRPr="005546F0" w14:paraId="39D2D14D" w14:textId="77777777" w:rsidTr="005546F0">
              <w:trPr>
                <w:trHeight w:val="300"/>
              </w:trPr>
              <w:tc>
                <w:tcPr>
                  <w:tcW w:w="7660" w:type="dxa"/>
                  <w:tcBorders>
                    <w:top w:val="nil"/>
                    <w:left w:val="nil"/>
                    <w:bottom w:val="nil"/>
                    <w:right w:val="nil"/>
                  </w:tcBorders>
                  <w:shd w:val="clear" w:color="auto" w:fill="auto"/>
                  <w:noWrap/>
                  <w:vAlign w:val="center"/>
                  <w:hideMark/>
                </w:tcPr>
                <w:p w14:paraId="21F11C2E"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Arroz beneficiado e produtos derivados do arroz</w:t>
                  </w:r>
                </w:p>
              </w:tc>
            </w:tr>
            <w:tr w:rsidR="005546F0" w:rsidRPr="005546F0" w14:paraId="091A696E" w14:textId="77777777" w:rsidTr="005546F0">
              <w:trPr>
                <w:trHeight w:val="300"/>
              </w:trPr>
              <w:tc>
                <w:tcPr>
                  <w:tcW w:w="7660" w:type="dxa"/>
                  <w:tcBorders>
                    <w:top w:val="nil"/>
                    <w:left w:val="nil"/>
                    <w:bottom w:val="nil"/>
                    <w:right w:val="nil"/>
                  </w:tcBorders>
                  <w:shd w:val="clear" w:color="auto" w:fill="auto"/>
                  <w:noWrap/>
                  <w:vAlign w:val="center"/>
                  <w:hideMark/>
                </w:tcPr>
                <w:p w14:paraId="67B4407A"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Produtos derivados do trigo, mandioca ou milho</w:t>
                  </w:r>
                </w:p>
              </w:tc>
            </w:tr>
            <w:tr w:rsidR="005546F0" w:rsidRPr="005546F0" w14:paraId="48490376" w14:textId="77777777" w:rsidTr="005546F0">
              <w:trPr>
                <w:trHeight w:val="300"/>
              </w:trPr>
              <w:tc>
                <w:tcPr>
                  <w:tcW w:w="7660" w:type="dxa"/>
                  <w:tcBorders>
                    <w:top w:val="nil"/>
                    <w:left w:val="nil"/>
                    <w:bottom w:val="nil"/>
                    <w:right w:val="nil"/>
                  </w:tcBorders>
                  <w:shd w:val="clear" w:color="auto" w:fill="auto"/>
                  <w:noWrap/>
                  <w:vAlign w:val="center"/>
                  <w:hideMark/>
                </w:tcPr>
                <w:p w14:paraId="554B6405"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Rações balanceadas para animais</w:t>
                  </w:r>
                </w:p>
              </w:tc>
            </w:tr>
            <w:tr w:rsidR="005546F0" w:rsidRPr="005546F0" w14:paraId="60EE8BF6" w14:textId="77777777" w:rsidTr="005546F0">
              <w:trPr>
                <w:trHeight w:val="300"/>
              </w:trPr>
              <w:tc>
                <w:tcPr>
                  <w:tcW w:w="7660" w:type="dxa"/>
                  <w:tcBorders>
                    <w:top w:val="nil"/>
                    <w:left w:val="nil"/>
                    <w:bottom w:val="nil"/>
                    <w:right w:val="nil"/>
                  </w:tcBorders>
                  <w:shd w:val="clear" w:color="auto" w:fill="auto"/>
                  <w:noWrap/>
                  <w:vAlign w:val="center"/>
                  <w:hideMark/>
                </w:tcPr>
                <w:p w14:paraId="34169212"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Outros produtos alimentares</w:t>
                  </w:r>
                </w:p>
              </w:tc>
            </w:tr>
            <w:tr w:rsidR="005546F0" w:rsidRPr="005546F0" w14:paraId="4D51BD3B" w14:textId="77777777" w:rsidTr="005546F0">
              <w:trPr>
                <w:trHeight w:val="300"/>
              </w:trPr>
              <w:tc>
                <w:tcPr>
                  <w:tcW w:w="7660" w:type="dxa"/>
                  <w:tcBorders>
                    <w:top w:val="nil"/>
                    <w:left w:val="nil"/>
                    <w:bottom w:val="nil"/>
                    <w:right w:val="nil"/>
                  </w:tcBorders>
                  <w:shd w:val="clear" w:color="auto" w:fill="auto"/>
                  <w:noWrap/>
                  <w:vAlign w:val="center"/>
                  <w:hideMark/>
                </w:tcPr>
                <w:p w14:paraId="3A7C4AE3"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Bebidas</w:t>
                  </w:r>
                </w:p>
              </w:tc>
            </w:tr>
            <w:tr w:rsidR="005546F0" w:rsidRPr="005546F0" w14:paraId="3CE92A99" w14:textId="77777777" w:rsidTr="005546F0">
              <w:trPr>
                <w:trHeight w:val="300"/>
              </w:trPr>
              <w:tc>
                <w:tcPr>
                  <w:tcW w:w="7660" w:type="dxa"/>
                  <w:tcBorders>
                    <w:top w:val="nil"/>
                    <w:left w:val="nil"/>
                    <w:bottom w:val="nil"/>
                    <w:right w:val="nil"/>
                  </w:tcBorders>
                  <w:shd w:val="clear" w:color="auto" w:fill="auto"/>
                  <w:noWrap/>
                  <w:vAlign w:val="center"/>
                  <w:hideMark/>
                </w:tcPr>
                <w:p w14:paraId="53D5674F"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Produtos do fumo</w:t>
                  </w:r>
                </w:p>
              </w:tc>
            </w:tr>
            <w:tr w:rsidR="005546F0" w:rsidRPr="005546F0" w14:paraId="156F3240" w14:textId="77777777" w:rsidTr="005546F0">
              <w:trPr>
                <w:trHeight w:val="300"/>
              </w:trPr>
              <w:tc>
                <w:tcPr>
                  <w:tcW w:w="7660" w:type="dxa"/>
                  <w:tcBorders>
                    <w:top w:val="nil"/>
                    <w:left w:val="nil"/>
                    <w:bottom w:val="nil"/>
                    <w:right w:val="nil"/>
                  </w:tcBorders>
                  <w:shd w:val="clear" w:color="auto" w:fill="auto"/>
                  <w:noWrap/>
                  <w:vAlign w:val="center"/>
                  <w:hideMark/>
                </w:tcPr>
                <w:p w14:paraId="581414CF"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Papel, papelão, embalagens e artefatos de papel</w:t>
                  </w:r>
                </w:p>
              </w:tc>
            </w:tr>
            <w:tr w:rsidR="005546F0" w:rsidRPr="005546F0" w14:paraId="7F416987" w14:textId="77777777" w:rsidTr="005546F0">
              <w:trPr>
                <w:trHeight w:val="300"/>
              </w:trPr>
              <w:tc>
                <w:tcPr>
                  <w:tcW w:w="7660" w:type="dxa"/>
                  <w:tcBorders>
                    <w:top w:val="nil"/>
                    <w:left w:val="nil"/>
                    <w:bottom w:val="nil"/>
                    <w:right w:val="nil"/>
                  </w:tcBorders>
                  <w:shd w:val="clear" w:color="auto" w:fill="auto"/>
                  <w:noWrap/>
                  <w:vAlign w:val="center"/>
                  <w:hideMark/>
                </w:tcPr>
                <w:p w14:paraId="65E78E0D"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Impressão, pré-impressão e acabamento gráfico</w:t>
                  </w:r>
                </w:p>
              </w:tc>
            </w:tr>
            <w:tr w:rsidR="005546F0" w:rsidRPr="005546F0" w14:paraId="6EF3B7D7" w14:textId="77777777" w:rsidTr="005546F0">
              <w:trPr>
                <w:trHeight w:val="300"/>
              </w:trPr>
              <w:tc>
                <w:tcPr>
                  <w:tcW w:w="7660" w:type="dxa"/>
                  <w:tcBorders>
                    <w:top w:val="nil"/>
                    <w:left w:val="nil"/>
                    <w:bottom w:val="nil"/>
                    <w:right w:val="nil"/>
                  </w:tcBorders>
                  <w:shd w:val="clear" w:color="auto" w:fill="auto"/>
                  <w:noWrap/>
                  <w:vAlign w:val="center"/>
                  <w:hideMark/>
                </w:tcPr>
                <w:p w14:paraId="0B7A53F6"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CDs, DVDs e softwares reprod. a partir de matrizes</w:t>
                  </w:r>
                </w:p>
              </w:tc>
            </w:tr>
            <w:tr w:rsidR="005546F0" w:rsidRPr="005546F0" w14:paraId="44125D9E" w14:textId="77777777" w:rsidTr="005546F0">
              <w:trPr>
                <w:trHeight w:val="300"/>
              </w:trPr>
              <w:tc>
                <w:tcPr>
                  <w:tcW w:w="7660" w:type="dxa"/>
                  <w:tcBorders>
                    <w:top w:val="nil"/>
                    <w:left w:val="nil"/>
                    <w:bottom w:val="nil"/>
                    <w:right w:val="nil"/>
                  </w:tcBorders>
                  <w:shd w:val="clear" w:color="auto" w:fill="auto"/>
                  <w:noWrap/>
                  <w:vAlign w:val="center"/>
                  <w:hideMark/>
                </w:tcPr>
                <w:p w14:paraId="16E0AB25"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GLP, combustíveis p/ aviação e outros prod. do refino do petróleo</w:t>
                  </w:r>
                </w:p>
              </w:tc>
            </w:tr>
            <w:tr w:rsidR="005546F0" w:rsidRPr="005546F0" w14:paraId="47D221D3" w14:textId="77777777" w:rsidTr="005546F0">
              <w:trPr>
                <w:trHeight w:val="300"/>
              </w:trPr>
              <w:tc>
                <w:tcPr>
                  <w:tcW w:w="7660" w:type="dxa"/>
                  <w:tcBorders>
                    <w:top w:val="nil"/>
                    <w:left w:val="nil"/>
                    <w:bottom w:val="nil"/>
                    <w:right w:val="nil"/>
                  </w:tcBorders>
                  <w:shd w:val="clear" w:color="auto" w:fill="auto"/>
                  <w:noWrap/>
                  <w:vAlign w:val="center"/>
                  <w:hideMark/>
                </w:tcPr>
                <w:p w14:paraId="0F9E5290"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Gasoálcool</w:t>
                  </w:r>
                </w:p>
              </w:tc>
            </w:tr>
            <w:tr w:rsidR="005546F0" w:rsidRPr="005546F0" w14:paraId="37792B14" w14:textId="77777777" w:rsidTr="005546F0">
              <w:trPr>
                <w:trHeight w:val="300"/>
              </w:trPr>
              <w:tc>
                <w:tcPr>
                  <w:tcW w:w="7660" w:type="dxa"/>
                  <w:tcBorders>
                    <w:top w:val="nil"/>
                    <w:left w:val="nil"/>
                    <w:bottom w:val="nil"/>
                    <w:right w:val="nil"/>
                  </w:tcBorders>
                  <w:shd w:val="clear" w:color="auto" w:fill="auto"/>
                  <w:noWrap/>
                  <w:vAlign w:val="center"/>
                  <w:hideMark/>
                </w:tcPr>
                <w:p w14:paraId="63686861"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Óleo diesel</w:t>
                  </w:r>
                </w:p>
              </w:tc>
            </w:tr>
            <w:tr w:rsidR="005546F0" w:rsidRPr="005546F0" w14:paraId="60B12393" w14:textId="77777777" w:rsidTr="005546F0">
              <w:trPr>
                <w:trHeight w:val="300"/>
              </w:trPr>
              <w:tc>
                <w:tcPr>
                  <w:tcW w:w="7660" w:type="dxa"/>
                  <w:tcBorders>
                    <w:top w:val="nil"/>
                    <w:left w:val="nil"/>
                    <w:bottom w:val="nil"/>
                    <w:right w:val="nil"/>
                  </w:tcBorders>
                  <w:shd w:val="clear" w:color="auto" w:fill="auto"/>
                  <w:noWrap/>
                  <w:vAlign w:val="center"/>
                  <w:hideMark/>
                </w:tcPr>
                <w:p w14:paraId="3E766FF0"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Etanol e outros biocombustíveis</w:t>
                  </w:r>
                </w:p>
              </w:tc>
            </w:tr>
            <w:tr w:rsidR="005546F0" w:rsidRPr="005546F0" w14:paraId="77158606" w14:textId="77777777" w:rsidTr="005546F0">
              <w:trPr>
                <w:trHeight w:val="300"/>
              </w:trPr>
              <w:tc>
                <w:tcPr>
                  <w:tcW w:w="7660" w:type="dxa"/>
                  <w:tcBorders>
                    <w:top w:val="nil"/>
                    <w:left w:val="nil"/>
                    <w:bottom w:val="nil"/>
                    <w:right w:val="nil"/>
                  </w:tcBorders>
                  <w:shd w:val="clear" w:color="auto" w:fill="auto"/>
                  <w:noWrap/>
                  <w:vAlign w:val="center"/>
                  <w:hideMark/>
                </w:tcPr>
                <w:p w14:paraId="06AEB2FF"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Produtos químicos inorgânicos</w:t>
                  </w:r>
                </w:p>
              </w:tc>
            </w:tr>
            <w:tr w:rsidR="005546F0" w:rsidRPr="005546F0" w14:paraId="5B0C7D59" w14:textId="77777777" w:rsidTr="005546F0">
              <w:trPr>
                <w:trHeight w:val="300"/>
              </w:trPr>
              <w:tc>
                <w:tcPr>
                  <w:tcW w:w="7660" w:type="dxa"/>
                  <w:tcBorders>
                    <w:top w:val="nil"/>
                    <w:left w:val="nil"/>
                    <w:bottom w:val="nil"/>
                    <w:right w:val="nil"/>
                  </w:tcBorders>
                  <w:shd w:val="clear" w:color="auto" w:fill="auto"/>
                  <w:noWrap/>
                  <w:vAlign w:val="center"/>
                  <w:hideMark/>
                </w:tcPr>
                <w:p w14:paraId="0FC38686"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Defensivos agrícolas e desinfestantes domissanitários</w:t>
                  </w:r>
                </w:p>
              </w:tc>
            </w:tr>
            <w:tr w:rsidR="005546F0" w:rsidRPr="005546F0" w14:paraId="50188FC8" w14:textId="77777777" w:rsidTr="005546F0">
              <w:trPr>
                <w:trHeight w:val="300"/>
              </w:trPr>
              <w:tc>
                <w:tcPr>
                  <w:tcW w:w="7660" w:type="dxa"/>
                  <w:tcBorders>
                    <w:top w:val="nil"/>
                    <w:left w:val="nil"/>
                    <w:bottom w:val="nil"/>
                    <w:right w:val="nil"/>
                  </w:tcBorders>
                  <w:shd w:val="clear" w:color="auto" w:fill="auto"/>
                  <w:noWrap/>
                  <w:vAlign w:val="center"/>
                  <w:hideMark/>
                </w:tcPr>
                <w:p w14:paraId="0931A1CB"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Produtos químicos diversos</w:t>
                  </w:r>
                </w:p>
              </w:tc>
            </w:tr>
            <w:tr w:rsidR="005546F0" w:rsidRPr="005546F0" w14:paraId="0E5BA0C8" w14:textId="77777777" w:rsidTr="005546F0">
              <w:trPr>
                <w:trHeight w:val="300"/>
              </w:trPr>
              <w:tc>
                <w:tcPr>
                  <w:tcW w:w="7660" w:type="dxa"/>
                  <w:tcBorders>
                    <w:top w:val="nil"/>
                    <w:left w:val="nil"/>
                    <w:bottom w:val="nil"/>
                    <w:right w:val="nil"/>
                  </w:tcBorders>
                  <w:shd w:val="clear" w:color="auto" w:fill="auto"/>
                  <w:noWrap/>
                  <w:vAlign w:val="center"/>
                  <w:hideMark/>
                </w:tcPr>
                <w:p w14:paraId="5950DDD9"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Perfumaria, sabões e artigos de limpeza</w:t>
                  </w:r>
                </w:p>
              </w:tc>
            </w:tr>
            <w:tr w:rsidR="005546F0" w:rsidRPr="005546F0" w14:paraId="1A9B20FB" w14:textId="77777777" w:rsidTr="005546F0">
              <w:trPr>
                <w:trHeight w:val="300"/>
              </w:trPr>
              <w:tc>
                <w:tcPr>
                  <w:tcW w:w="7660" w:type="dxa"/>
                  <w:tcBorders>
                    <w:top w:val="nil"/>
                    <w:left w:val="nil"/>
                    <w:bottom w:val="nil"/>
                    <w:right w:val="nil"/>
                  </w:tcBorders>
                  <w:shd w:val="clear" w:color="auto" w:fill="auto"/>
                  <w:noWrap/>
                  <w:vAlign w:val="center"/>
                  <w:hideMark/>
                </w:tcPr>
                <w:p w14:paraId="6C33CF0D"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Produtos farmacêuticos</w:t>
                  </w:r>
                </w:p>
              </w:tc>
            </w:tr>
            <w:tr w:rsidR="005546F0" w:rsidRPr="005546F0" w14:paraId="4353E00B" w14:textId="77777777" w:rsidTr="005546F0">
              <w:trPr>
                <w:trHeight w:val="300"/>
              </w:trPr>
              <w:tc>
                <w:tcPr>
                  <w:tcW w:w="7660" w:type="dxa"/>
                  <w:tcBorders>
                    <w:top w:val="nil"/>
                    <w:left w:val="nil"/>
                    <w:bottom w:val="nil"/>
                    <w:right w:val="nil"/>
                  </w:tcBorders>
                  <w:shd w:val="clear" w:color="auto" w:fill="auto"/>
                  <w:noWrap/>
                  <w:vAlign w:val="center"/>
                  <w:hideMark/>
                </w:tcPr>
                <w:p w14:paraId="4C4D0F61"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Equip. de medida, teste e controle, ópticos e eletromédico-terapêuticos</w:t>
                  </w:r>
                </w:p>
              </w:tc>
            </w:tr>
            <w:tr w:rsidR="005546F0" w:rsidRPr="005546F0" w14:paraId="7F356A08" w14:textId="77777777" w:rsidTr="005546F0">
              <w:trPr>
                <w:trHeight w:val="300"/>
              </w:trPr>
              <w:tc>
                <w:tcPr>
                  <w:tcW w:w="7660" w:type="dxa"/>
                  <w:tcBorders>
                    <w:top w:val="nil"/>
                    <w:left w:val="nil"/>
                    <w:bottom w:val="nil"/>
                    <w:right w:val="nil"/>
                  </w:tcBorders>
                  <w:shd w:val="clear" w:color="auto" w:fill="auto"/>
                  <w:noWrap/>
                  <w:vAlign w:val="center"/>
                  <w:hideMark/>
                </w:tcPr>
                <w:p w14:paraId="03C6DDBE" w14:textId="77777777" w:rsidR="005546F0" w:rsidRPr="005546F0" w:rsidRDefault="005546F0" w:rsidP="005546F0">
                  <w:pPr>
                    <w:spacing w:after="0" w:line="240" w:lineRule="auto"/>
                    <w:rPr>
                      <w:rFonts w:ascii="Arial" w:eastAsia="Times New Roman" w:hAnsi="Arial" w:cs="Arial"/>
                      <w:color w:val="000000"/>
                      <w:lang w:eastAsia="pt-BR"/>
                    </w:rPr>
                  </w:pPr>
                </w:p>
              </w:tc>
            </w:tr>
            <w:tr w:rsidR="005546F0" w:rsidRPr="005546F0" w14:paraId="70F8052D" w14:textId="77777777" w:rsidTr="005546F0">
              <w:trPr>
                <w:trHeight w:val="300"/>
              </w:trPr>
              <w:tc>
                <w:tcPr>
                  <w:tcW w:w="7660" w:type="dxa"/>
                  <w:tcBorders>
                    <w:top w:val="single" w:sz="4" w:space="0" w:color="auto"/>
                    <w:left w:val="nil"/>
                    <w:bottom w:val="single" w:sz="4" w:space="0" w:color="auto"/>
                    <w:right w:val="nil"/>
                  </w:tcBorders>
                  <w:shd w:val="clear" w:color="auto" w:fill="auto"/>
                  <w:noWrap/>
                  <w:vAlign w:val="center"/>
                  <w:hideMark/>
                </w:tcPr>
                <w:p w14:paraId="3F31B4F6" w14:textId="77777777" w:rsidR="005546F0" w:rsidRPr="005546F0" w:rsidRDefault="005546F0" w:rsidP="005546F0">
                  <w:pPr>
                    <w:spacing w:after="0" w:line="240" w:lineRule="auto"/>
                    <w:rPr>
                      <w:rFonts w:ascii="Arial" w:eastAsia="Times New Roman" w:hAnsi="Arial" w:cs="Arial"/>
                      <w:b/>
                      <w:bCs/>
                      <w:color w:val="000000"/>
                      <w:lang w:eastAsia="pt-BR"/>
                    </w:rPr>
                  </w:pPr>
                  <w:r w:rsidRPr="005546F0">
                    <w:rPr>
                      <w:rFonts w:ascii="Arial" w:eastAsia="Times New Roman" w:hAnsi="Arial" w:cs="Arial"/>
                      <w:b/>
                      <w:bCs/>
                      <w:color w:val="000000"/>
                      <w:lang w:eastAsia="pt-BR"/>
                    </w:rPr>
                    <w:t>Consumo de semiduráveis</w:t>
                  </w:r>
                </w:p>
              </w:tc>
            </w:tr>
            <w:tr w:rsidR="005546F0" w:rsidRPr="005546F0" w14:paraId="65656EA1" w14:textId="77777777" w:rsidTr="005546F0">
              <w:trPr>
                <w:trHeight w:val="300"/>
              </w:trPr>
              <w:tc>
                <w:tcPr>
                  <w:tcW w:w="7660" w:type="dxa"/>
                  <w:tcBorders>
                    <w:top w:val="nil"/>
                    <w:left w:val="nil"/>
                    <w:bottom w:val="nil"/>
                    <w:right w:val="nil"/>
                  </w:tcBorders>
                  <w:shd w:val="clear" w:color="auto" w:fill="auto"/>
                  <w:noWrap/>
                  <w:vAlign w:val="center"/>
                  <w:hideMark/>
                </w:tcPr>
                <w:p w14:paraId="75EB77F2"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Fios e fibras têxteis beneficiadas</w:t>
                  </w:r>
                </w:p>
              </w:tc>
            </w:tr>
            <w:tr w:rsidR="005546F0" w:rsidRPr="005546F0" w14:paraId="0A40615B" w14:textId="77777777" w:rsidTr="005546F0">
              <w:trPr>
                <w:trHeight w:val="300"/>
              </w:trPr>
              <w:tc>
                <w:tcPr>
                  <w:tcW w:w="7660" w:type="dxa"/>
                  <w:tcBorders>
                    <w:top w:val="nil"/>
                    <w:left w:val="nil"/>
                    <w:bottom w:val="nil"/>
                    <w:right w:val="nil"/>
                  </w:tcBorders>
                  <w:shd w:val="clear" w:color="auto" w:fill="auto"/>
                  <w:noWrap/>
                  <w:vAlign w:val="center"/>
                  <w:hideMark/>
                </w:tcPr>
                <w:p w14:paraId="7F521018"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Tecidos</w:t>
                  </w:r>
                </w:p>
              </w:tc>
            </w:tr>
            <w:tr w:rsidR="005546F0" w:rsidRPr="005546F0" w14:paraId="522F22F4" w14:textId="77777777" w:rsidTr="005546F0">
              <w:trPr>
                <w:trHeight w:val="300"/>
              </w:trPr>
              <w:tc>
                <w:tcPr>
                  <w:tcW w:w="7660" w:type="dxa"/>
                  <w:tcBorders>
                    <w:top w:val="nil"/>
                    <w:left w:val="nil"/>
                    <w:bottom w:val="nil"/>
                    <w:right w:val="nil"/>
                  </w:tcBorders>
                  <w:shd w:val="clear" w:color="auto" w:fill="auto"/>
                  <w:noWrap/>
                  <w:vAlign w:val="center"/>
                  <w:hideMark/>
                </w:tcPr>
                <w:p w14:paraId="62E3A49E"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Art. têxteis de uso doméstico e outros têxteis</w:t>
                  </w:r>
                </w:p>
              </w:tc>
            </w:tr>
            <w:tr w:rsidR="005546F0" w:rsidRPr="005546F0" w14:paraId="05C49383" w14:textId="77777777" w:rsidTr="005546F0">
              <w:trPr>
                <w:trHeight w:val="300"/>
              </w:trPr>
              <w:tc>
                <w:tcPr>
                  <w:tcW w:w="7660" w:type="dxa"/>
                  <w:tcBorders>
                    <w:top w:val="nil"/>
                    <w:left w:val="nil"/>
                    <w:bottom w:val="nil"/>
                    <w:right w:val="nil"/>
                  </w:tcBorders>
                  <w:shd w:val="clear" w:color="auto" w:fill="auto"/>
                  <w:noWrap/>
                  <w:vAlign w:val="center"/>
                  <w:hideMark/>
                </w:tcPr>
                <w:p w14:paraId="755CD782"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Artigos do vestuário e acessórios</w:t>
                  </w:r>
                </w:p>
              </w:tc>
            </w:tr>
            <w:tr w:rsidR="005546F0" w:rsidRPr="005546F0" w14:paraId="1595BD82" w14:textId="77777777" w:rsidTr="005546F0">
              <w:trPr>
                <w:trHeight w:val="300"/>
              </w:trPr>
              <w:tc>
                <w:tcPr>
                  <w:tcW w:w="7660" w:type="dxa"/>
                  <w:tcBorders>
                    <w:top w:val="nil"/>
                    <w:left w:val="nil"/>
                    <w:bottom w:val="nil"/>
                    <w:right w:val="nil"/>
                  </w:tcBorders>
                  <w:shd w:val="clear" w:color="auto" w:fill="auto"/>
                  <w:noWrap/>
                  <w:vAlign w:val="center"/>
                  <w:hideMark/>
                </w:tcPr>
                <w:p w14:paraId="615BB0AD"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Preparação do couro e fabricação de artefatos - exclusive calçados</w:t>
                  </w:r>
                </w:p>
              </w:tc>
            </w:tr>
            <w:tr w:rsidR="005546F0" w:rsidRPr="005546F0" w14:paraId="4098911D" w14:textId="77777777" w:rsidTr="005546F0">
              <w:trPr>
                <w:trHeight w:val="300"/>
              </w:trPr>
              <w:tc>
                <w:tcPr>
                  <w:tcW w:w="7660" w:type="dxa"/>
                  <w:tcBorders>
                    <w:top w:val="nil"/>
                    <w:left w:val="nil"/>
                    <w:bottom w:val="nil"/>
                    <w:right w:val="nil"/>
                  </w:tcBorders>
                  <w:shd w:val="clear" w:color="auto" w:fill="auto"/>
                  <w:noWrap/>
                  <w:vAlign w:val="center"/>
                  <w:hideMark/>
                </w:tcPr>
                <w:p w14:paraId="2C93E3D8"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Fabricação de calçados</w:t>
                  </w:r>
                </w:p>
              </w:tc>
            </w:tr>
            <w:tr w:rsidR="005546F0" w:rsidRPr="005546F0" w14:paraId="053BD2F8" w14:textId="77777777" w:rsidTr="005546F0">
              <w:trPr>
                <w:trHeight w:val="300"/>
              </w:trPr>
              <w:tc>
                <w:tcPr>
                  <w:tcW w:w="7660" w:type="dxa"/>
                  <w:tcBorders>
                    <w:top w:val="nil"/>
                    <w:left w:val="nil"/>
                    <w:bottom w:val="nil"/>
                    <w:right w:val="nil"/>
                  </w:tcBorders>
                  <w:shd w:val="clear" w:color="auto" w:fill="auto"/>
                  <w:noWrap/>
                  <w:vAlign w:val="center"/>
                  <w:hideMark/>
                </w:tcPr>
                <w:p w14:paraId="3803CF7D"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Produtos de industrias diversas</w:t>
                  </w:r>
                </w:p>
              </w:tc>
            </w:tr>
            <w:tr w:rsidR="005546F0" w:rsidRPr="005546F0" w14:paraId="55B12D7D" w14:textId="77777777" w:rsidTr="005546F0">
              <w:trPr>
                <w:trHeight w:val="300"/>
              </w:trPr>
              <w:tc>
                <w:tcPr>
                  <w:tcW w:w="7660" w:type="dxa"/>
                  <w:tcBorders>
                    <w:top w:val="nil"/>
                    <w:left w:val="nil"/>
                    <w:bottom w:val="nil"/>
                    <w:right w:val="nil"/>
                  </w:tcBorders>
                  <w:shd w:val="clear" w:color="auto" w:fill="auto"/>
                  <w:noWrap/>
                  <w:vAlign w:val="center"/>
                  <w:hideMark/>
                </w:tcPr>
                <w:p w14:paraId="63191E6D"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Artigos de plástico</w:t>
                  </w:r>
                </w:p>
              </w:tc>
            </w:tr>
            <w:tr w:rsidR="005546F0" w:rsidRPr="005546F0" w14:paraId="4F8CD8B7" w14:textId="77777777" w:rsidTr="005546F0">
              <w:trPr>
                <w:trHeight w:val="300"/>
              </w:trPr>
              <w:tc>
                <w:tcPr>
                  <w:tcW w:w="7660" w:type="dxa"/>
                  <w:tcBorders>
                    <w:top w:val="nil"/>
                    <w:left w:val="nil"/>
                    <w:bottom w:val="nil"/>
                    <w:right w:val="nil"/>
                  </w:tcBorders>
                  <w:shd w:val="clear" w:color="auto" w:fill="auto"/>
                  <w:noWrap/>
                  <w:vAlign w:val="center"/>
                  <w:hideMark/>
                </w:tcPr>
                <w:p w14:paraId="092AF1D9" w14:textId="77777777" w:rsidR="005546F0" w:rsidRPr="005546F0" w:rsidRDefault="005546F0" w:rsidP="005546F0">
                  <w:pPr>
                    <w:spacing w:after="0" w:line="240" w:lineRule="auto"/>
                    <w:rPr>
                      <w:rFonts w:ascii="Arial" w:eastAsia="Times New Roman" w:hAnsi="Arial" w:cs="Arial"/>
                      <w:color w:val="000000"/>
                      <w:lang w:eastAsia="pt-BR"/>
                    </w:rPr>
                  </w:pPr>
                </w:p>
              </w:tc>
            </w:tr>
            <w:tr w:rsidR="005546F0" w:rsidRPr="005546F0" w14:paraId="0B34EC96" w14:textId="77777777" w:rsidTr="005546F0">
              <w:trPr>
                <w:trHeight w:val="300"/>
              </w:trPr>
              <w:tc>
                <w:tcPr>
                  <w:tcW w:w="7660" w:type="dxa"/>
                  <w:tcBorders>
                    <w:top w:val="single" w:sz="4" w:space="0" w:color="auto"/>
                    <w:left w:val="nil"/>
                    <w:bottom w:val="single" w:sz="4" w:space="0" w:color="auto"/>
                    <w:right w:val="nil"/>
                  </w:tcBorders>
                  <w:shd w:val="clear" w:color="auto" w:fill="auto"/>
                  <w:noWrap/>
                  <w:vAlign w:val="center"/>
                  <w:hideMark/>
                </w:tcPr>
                <w:p w14:paraId="6962B7E0" w14:textId="77777777" w:rsidR="005546F0" w:rsidRPr="005546F0" w:rsidRDefault="005546F0" w:rsidP="005546F0">
                  <w:pPr>
                    <w:spacing w:after="0" w:line="240" w:lineRule="auto"/>
                    <w:rPr>
                      <w:rFonts w:ascii="Arial" w:eastAsia="Times New Roman" w:hAnsi="Arial" w:cs="Arial"/>
                      <w:b/>
                      <w:bCs/>
                      <w:color w:val="000000"/>
                      <w:lang w:eastAsia="pt-BR"/>
                    </w:rPr>
                  </w:pPr>
                  <w:r w:rsidRPr="005546F0">
                    <w:rPr>
                      <w:rFonts w:ascii="Arial" w:eastAsia="Times New Roman" w:hAnsi="Arial" w:cs="Arial"/>
                      <w:b/>
                      <w:bCs/>
                      <w:color w:val="000000"/>
                      <w:lang w:eastAsia="pt-BR"/>
                    </w:rPr>
                    <w:t>Consumo de duráveis</w:t>
                  </w:r>
                </w:p>
              </w:tc>
            </w:tr>
            <w:tr w:rsidR="005546F0" w:rsidRPr="005546F0" w14:paraId="23BE11C4" w14:textId="77777777" w:rsidTr="005546F0">
              <w:trPr>
                <w:trHeight w:val="300"/>
              </w:trPr>
              <w:tc>
                <w:tcPr>
                  <w:tcW w:w="7660" w:type="dxa"/>
                  <w:tcBorders>
                    <w:top w:val="nil"/>
                    <w:left w:val="nil"/>
                    <w:bottom w:val="nil"/>
                    <w:right w:val="nil"/>
                  </w:tcBorders>
                  <w:shd w:val="clear" w:color="auto" w:fill="auto"/>
                  <w:noWrap/>
                  <w:vAlign w:val="center"/>
                  <w:hideMark/>
                </w:tcPr>
                <w:p w14:paraId="0864F2AA"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Tintas, vernizes, esmaltes e lacas</w:t>
                  </w:r>
                </w:p>
              </w:tc>
            </w:tr>
            <w:tr w:rsidR="005546F0" w:rsidRPr="005546F0" w14:paraId="4CEBE4F7" w14:textId="77777777" w:rsidTr="005546F0">
              <w:trPr>
                <w:trHeight w:val="300"/>
              </w:trPr>
              <w:tc>
                <w:tcPr>
                  <w:tcW w:w="7660" w:type="dxa"/>
                  <w:tcBorders>
                    <w:top w:val="nil"/>
                    <w:left w:val="nil"/>
                    <w:bottom w:val="nil"/>
                    <w:right w:val="nil"/>
                  </w:tcBorders>
                  <w:shd w:val="clear" w:color="auto" w:fill="auto"/>
                  <w:noWrap/>
                  <w:vAlign w:val="center"/>
                  <w:hideMark/>
                </w:tcPr>
                <w:p w14:paraId="4DBC53E9"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Vidros, cerâmicos e outros prod. de minerais não-metálicos</w:t>
                  </w:r>
                </w:p>
              </w:tc>
            </w:tr>
            <w:tr w:rsidR="005546F0" w:rsidRPr="005546F0" w14:paraId="0B8100C0" w14:textId="77777777" w:rsidTr="005546F0">
              <w:trPr>
                <w:trHeight w:val="300"/>
              </w:trPr>
              <w:tc>
                <w:tcPr>
                  <w:tcW w:w="7660" w:type="dxa"/>
                  <w:tcBorders>
                    <w:top w:val="nil"/>
                    <w:left w:val="nil"/>
                    <w:bottom w:val="nil"/>
                    <w:right w:val="nil"/>
                  </w:tcBorders>
                  <w:shd w:val="clear" w:color="auto" w:fill="auto"/>
                  <w:noWrap/>
                  <w:vAlign w:val="center"/>
                  <w:hideMark/>
                </w:tcPr>
                <w:p w14:paraId="10BBB0F9"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Semi-acabacados, laminados planos, longos e tubos de aço</w:t>
                  </w:r>
                </w:p>
              </w:tc>
            </w:tr>
            <w:tr w:rsidR="005546F0" w:rsidRPr="005546F0" w14:paraId="658541D4" w14:textId="77777777" w:rsidTr="005546F0">
              <w:trPr>
                <w:trHeight w:val="300"/>
              </w:trPr>
              <w:tc>
                <w:tcPr>
                  <w:tcW w:w="7660" w:type="dxa"/>
                  <w:tcBorders>
                    <w:top w:val="nil"/>
                    <w:left w:val="nil"/>
                    <w:bottom w:val="nil"/>
                    <w:right w:val="nil"/>
                  </w:tcBorders>
                  <w:shd w:val="clear" w:color="auto" w:fill="auto"/>
                  <w:noWrap/>
                  <w:vAlign w:val="center"/>
                  <w:hideMark/>
                </w:tcPr>
                <w:p w14:paraId="6F067361"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Produtos da metalurgia de metais não-ferrosos</w:t>
                  </w:r>
                </w:p>
              </w:tc>
            </w:tr>
            <w:tr w:rsidR="005546F0" w:rsidRPr="005546F0" w14:paraId="319079EB" w14:textId="77777777" w:rsidTr="005546F0">
              <w:trPr>
                <w:trHeight w:val="300"/>
              </w:trPr>
              <w:tc>
                <w:tcPr>
                  <w:tcW w:w="7660" w:type="dxa"/>
                  <w:tcBorders>
                    <w:top w:val="nil"/>
                    <w:left w:val="nil"/>
                    <w:bottom w:val="nil"/>
                    <w:right w:val="nil"/>
                  </w:tcBorders>
                  <w:shd w:val="clear" w:color="auto" w:fill="auto"/>
                  <w:noWrap/>
                  <w:vAlign w:val="center"/>
                  <w:hideMark/>
                </w:tcPr>
                <w:p w14:paraId="443B49F1"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Produtos de metal, excl. máquinas e equipamentos</w:t>
                  </w:r>
                </w:p>
              </w:tc>
            </w:tr>
            <w:tr w:rsidR="005546F0" w:rsidRPr="005546F0" w14:paraId="77A464FF" w14:textId="77777777" w:rsidTr="005546F0">
              <w:trPr>
                <w:trHeight w:val="300"/>
              </w:trPr>
              <w:tc>
                <w:tcPr>
                  <w:tcW w:w="7660" w:type="dxa"/>
                  <w:tcBorders>
                    <w:top w:val="nil"/>
                    <w:left w:val="nil"/>
                    <w:bottom w:val="nil"/>
                    <w:right w:val="nil"/>
                  </w:tcBorders>
                  <w:shd w:val="clear" w:color="auto" w:fill="auto"/>
                  <w:noWrap/>
                  <w:vAlign w:val="center"/>
                  <w:hideMark/>
                </w:tcPr>
                <w:p w14:paraId="0EA1FE45"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Máquinas para escritório e equip. de informática</w:t>
                  </w:r>
                </w:p>
              </w:tc>
            </w:tr>
            <w:tr w:rsidR="005546F0" w:rsidRPr="005546F0" w14:paraId="7D1A553C" w14:textId="77777777" w:rsidTr="005546F0">
              <w:trPr>
                <w:trHeight w:val="300"/>
              </w:trPr>
              <w:tc>
                <w:tcPr>
                  <w:tcW w:w="7660" w:type="dxa"/>
                  <w:tcBorders>
                    <w:top w:val="nil"/>
                    <w:left w:val="nil"/>
                    <w:bottom w:val="nil"/>
                    <w:right w:val="nil"/>
                  </w:tcBorders>
                  <w:shd w:val="clear" w:color="auto" w:fill="auto"/>
                  <w:noWrap/>
                  <w:vAlign w:val="center"/>
                  <w:hideMark/>
                </w:tcPr>
                <w:p w14:paraId="78C372DC"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Material eletrônico e equip. de comunicações</w:t>
                  </w:r>
                </w:p>
              </w:tc>
            </w:tr>
            <w:tr w:rsidR="005546F0" w:rsidRPr="005546F0" w14:paraId="4890F2C0" w14:textId="77777777" w:rsidTr="005546F0">
              <w:trPr>
                <w:trHeight w:val="300"/>
              </w:trPr>
              <w:tc>
                <w:tcPr>
                  <w:tcW w:w="7660" w:type="dxa"/>
                  <w:tcBorders>
                    <w:top w:val="nil"/>
                    <w:left w:val="nil"/>
                    <w:bottom w:val="nil"/>
                    <w:right w:val="nil"/>
                  </w:tcBorders>
                  <w:shd w:val="clear" w:color="auto" w:fill="auto"/>
                  <w:noWrap/>
                  <w:vAlign w:val="center"/>
                  <w:hideMark/>
                </w:tcPr>
                <w:p w14:paraId="7644CD9D"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Máquinas, aparelhos e materiais elétricos</w:t>
                  </w:r>
                </w:p>
              </w:tc>
            </w:tr>
            <w:tr w:rsidR="005546F0" w:rsidRPr="005546F0" w14:paraId="31DE3152" w14:textId="77777777" w:rsidTr="005546F0">
              <w:trPr>
                <w:trHeight w:val="300"/>
              </w:trPr>
              <w:tc>
                <w:tcPr>
                  <w:tcW w:w="7660" w:type="dxa"/>
                  <w:tcBorders>
                    <w:top w:val="nil"/>
                    <w:left w:val="nil"/>
                    <w:bottom w:val="nil"/>
                    <w:right w:val="nil"/>
                  </w:tcBorders>
                  <w:shd w:val="clear" w:color="auto" w:fill="auto"/>
                  <w:noWrap/>
                  <w:vAlign w:val="center"/>
                  <w:hideMark/>
                </w:tcPr>
                <w:p w14:paraId="7BBD8D2F"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Eletrodomésticos</w:t>
                  </w:r>
                </w:p>
              </w:tc>
            </w:tr>
            <w:tr w:rsidR="005546F0" w:rsidRPr="005546F0" w14:paraId="6E28AD05" w14:textId="77777777" w:rsidTr="005546F0">
              <w:trPr>
                <w:trHeight w:val="300"/>
              </w:trPr>
              <w:tc>
                <w:tcPr>
                  <w:tcW w:w="7660" w:type="dxa"/>
                  <w:tcBorders>
                    <w:top w:val="nil"/>
                    <w:left w:val="nil"/>
                    <w:bottom w:val="nil"/>
                    <w:right w:val="nil"/>
                  </w:tcBorders>
                  <w:shd w:val="clear" w:color="auto" w:fill="auto"/>
                  <w:noWrap/>
                  <w:vAlign w:val="center"/>
                  <w:hideMark/>
                </w:tcPr>
                <w:p w14:paraId="3416EA56"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Máquinas e equipamentos de uso geral</w:t>
                  </w:r>
                </w:p>
              </w:tc>
            </w:tr>
            <w:tr w:rsidR="005546F0" w:rsidRPr="005546F0" w14:paraId="124665CA" w14:textId="77777777" w:rsidTr="005546F0">
              <w:trPr>
                <w:trHeight w:val="300"/>
              </w:trPr>
              <w:tc>
                <w:tcPr>
                  <w:tcW w:w="7660" w:type="dxa"/>
                  <w:tcBorders>
                    <w:top w:val="nil"/>
                    <w:left w:val="nil"/>
                    <w:bottom w:val="nil"/>
                    <w:right w:val="nil"/>
                  </w:tcBorders>
                  <w:shd w:val="clear" w:color="auto" w:fill="auto"/>
                  <w:noWrap/>
                  <w:vAlign w:val="center"/>
                  <w:hideMark/>
                </w:tcPr>
                <w:p w14:paraId="29829978"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lastRenderedPageBreak/>
                    <w:t>Máquinas e equipamentos de uso específico</w:t>
                  </w:r>
                </w:p>
              </w:tc>
            </w:tr>
            <w:tr w:rsidR="005546F0" w:rsidRPr="005546F0" w14:paraId="0A756BCF" w14:textId="77777777" w:rsidTr="005546F0">
              <w:trPr>
                <w:trHeight w:val="300"/>
              </w:trPr>
              <w:tc>
                <w:tcPr>
                  <w:tcW w:w="7660" w:type="dxa"/>
                  <w:tcBorders>
                    <w:top w:val="nil"/>
                    <w:left w:val="nil"/>
                    <w:bottom w:val="nil"/>
                    <w:right w:val="nil"/>
                  </w:tcBorders>
                  <w:shd w:val="clear" w:color="auto" w:fill="auto"/>
                  <w:noWrap/>
                  <w:vAlign w:val="center"/>
                  <w:hideMark/>
                </w:tcPr>
                <w:p w14:paraId="31BBBE04"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Automóveis, camionetas e utilitários</w:t>
                  </w:r>
                </w:p>
              </w:tc>
            </w:tr>
            <w:tr w:rsidR="005546F0" w:rsidRPr="005546F0" w14:paraId="330FB371" w14:textId="77777777" w:rsidTr="005546F0">
              <w:trPr>
                <w:trHeight w:val="300"/>
              </w:trPr>
              <w:tc>
                <w:tcPr>
                  <w:tcW w:w="7660" w:type="dxa"/>
                  <w:tcBorders>
                    <w:top w:val="nil"/>
                    <w:left w:val="nil"/>
                    <w:bottom w:val="nil"/>
                    <w:right w:val="nil"/>
                  </w:tcBorders>
                  <w:shd w:val="clear" w:color="auto" w:fill="auto"/>
                  <w:noWrap/>
                  <w:vAlign w:val="center"/>
                  <w:hideMark/>
                </w:tcPr>
                <w:p w14:paraId="55B59B32"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Caminhões e ônibus, incl. cabines, carrocerias e reboques</w:t>
                  </w:r>
                </w:p>
              </w:tc>
            </w:tr>
            <w:tr w:rsidR="005546F0" w:rsidRPr="005546F0" w14:paraId="1BD21383" w14:textId="77777777" w:rsidTr="005546F0">
              <w:trPr>
                <w:trHeight w:val="300"/>
              </w:trPr>
              <w:tc>
                <w:tcPr>
                  <w:tcW w:w="7660" w:type="dxa"/>
                  <w:tcBorders>
                    <w:top w:val="nil"/>
                    <w:left w:val="nil"/>
                    <w:bottom w:val="nil"/>
                    <w:right w:val="nil"/>
                  </w:tcBorders>
                  <w:shd w:val="clear" w:color="auto" w:fill="auto"/>
                  <w:noWrap/>
                  <w:vAlign w:val="center"/>
                  <w:hideMark/>
                </w:tcPr>
                <w:p w14:paraId="7C63CD90"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Aeronaves, embarcações e outros equipamentos de transporte</w:t>
                  </w:r>
                </w:p>
              </w:tc>
            </w:tr>
            <w:tr w:rsidR="005546F0" w:rsidRPr="005546F0" w14:paraId="613B94A3" w14:textId="77777777" w:rsidTr="005546F0">
              <w:trPr>
                <w:trHeight w:val="300"/>
              </w:trPr>
              <w:tc>
                <w:tcPr>
                  <w:tcW w:w="7660" w:type="dxa"/>
                  <w:tcBorders>
                    <w:top w:val="nil"/>
                    <w:left w:val="nil"/>
                    <w:bottom w:val="nil"/>
                    <w:right w:val="nil"/>
                  </w:tcBorders>
                  <w:shd w:val="clear" w:color="auto" w:fill="auto"/>
                  <w:noWrap/>
                  <w:vAlign w:val="center"/>
                  <w:hideMark/>
                </w:tcPr>
                <w:p w14:paraId="6543485A"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Artigos de borracha</w:t>
                  </w:r>
                </w:p>
              </w:tc>
            </w:tr>
            <w:tr w:rsidR="005546F0" w:rsidRPr="005546F0" w14:paraId="42511130" w14:textId="77777777" w:rsidTr="005546F0">
              <w:trPr>
                <w:trHeight w:val="300"/>
              </w:trPr>
              <w:tc>
                <w:tcPr>
                  <w:tcW w:w="7660" w:type="dxa"/>
                  <w:tcBorders>
                    <w:top w:val="nil"/>
                    <w:left w:val="nil"/>
                    <w:bottom w:val="nil"/>
                    <w:right w:val="nil"/>
                  </w:tcBorders>
                  <w:shd w:val="clear" w:color="auto" w:fill="auto"/>
                  <w:noWrap/>
                  <w:vAlign w:val="center"/>
                  <w:hideMark/>
                </w:tcPr>
                <w:p w14:paraId="45C2194A"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Produtos de madeira, exclusive móveis</w:t>
                  </w:r>
                </w:p>
              </w:tc>
            </w:tr>
            <w:tr w:rsidR="005546F0" w:rsidRPr="005546F0" w14:paraId="02C7E967" w14:textId="77777777" w:rsidTr="005546F0">
              <w:trPr>
                <w:trHeight w:val="300"/>
              </w:trPr>
              <w:tc>
                <w:tcPr>
                  <w:tcW w:w="7660" w:type="dxa"/>
                  <w:tcBorders>
                    <w:top w:val="nil"/>
                    <w:left w:val="nil"/>
                    <w:bottom w:val="nil"/>
                    <w:right w:val="nil"/>
                  </w:tcBorders>
                  <w:shd w:val="clear" w:color="auto" w:fill="auto"/>
                  <w:noWrap/>
                  <w:vAlign w:val="center"/>
                  <w:hideMark/>
                </w:tcPr>
                <w:p w14:paraId="3B0D2818"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Móveis</w:t>
                  </w:r>
                </w:p>
              </w:tc>
            </w:tr>
            <w:tr w:rsidR="005546F0" w:rsidRPr="005546F0" w14:paraId="3F882131" w14:textId="77777777" w:rsidTr="005546F0">
              <w:trPr>
                <w:trHeight w:val="300"/>
              </w:trPr>
              <w:tc>
                <w:tcPr>
                  <w:tcW w:w="7660" w:type="dxa"/>
                  <w:tcBorders>
                    <w:top w:val="nil"/>
                    <w:left w:val="nil"/>
                    <w:bottom w:val="nil"/>
                    <w:right w:val="nil"/>
                  </w:tcBorders>
                  <w:shd w:val="clear" w:color="auto" w:fill="auto"/>
                  <w:noWrap/>
                  <w:vAlign w:val="center"/>
                  <w:hideMark/>
                </w:tcPr>
                <w:p w14:paraId="4A51CF3D" w14:textId="77777777" w:rsidR="005546F0" w:rsidRPr="005546F0" w:rsidRDefault="005546F0" w:rsidP="005546F0">
                  <w:pPr>
                    <w:spacing w:after="0" w:line="240" w:lineRule="auto"/>
                    <w:rPr>
                      <w:rFonts w:ascii="Arial" w:eastAsia="Times New Roman" w:hAnsi="Arial" w:cs="Arial"/>
                      <w:color w:val="000000"/>
                      <w:lang w:eastAsia="pt-BR"/>
                    </w:rPr>
                  </w:pPr>
                </w:p>
              </w:tc>
            </w:tr>
            <w:tr w:rsidR="005546F0" w:rsidRPr="005546F0" w14:paraId="7259373D" w14:textId="77777777" w:rsidTr="005546F0">
              <w:trPr>
                <w:trHeight w:val="300"/>
              </w:trPr>
              <w:tc>
                <w:tcPr>
                  <w:tcW w:w="7660" w:type="dxa"/>
                  <w:tcBorders>
                    <w:top w:val="single" w:sz="4" w:space="0" w:color="auto"/>
                    <w:left w:val="nil"/>
                    <w:bottom w:val="single" w:sz="4" w:space="0" w:color="auto"/>
                    <w:right w:val="nil"/>
                  </w:tcBorders>
                  <w:shd w:val="clear" w:color="auto" w:fill="auto"/>
                  <w:noWrap/>
                  <w:vAlign w:val="center"/>
                  <w:hideMark/>
                </w:tcPr>
                <w:p w14:paraId="646E30F6" w14:textId="77777777" w:rsidR="005546F0" w:rsidRPr="005546F0" w:rsidRDefault="005546F0" w:rsidP="005546F0">
                  <w:pPr>
                    <w:spacing w:after="0" w:line="240" w:lineRule="auto"/>
                    <w:rPr>
                      <w:rFonts w:ascii="Arial" w:eastAsia="Times New Roman" w:hAnsi="Arial" w:cs="Arial"/>
                      <w:b/>
                      <w:bCs/>
                      <w:color w:val="000000"/>
                      <w:lang w:eastAsia="pt-BR"/>
                    </w:rPr>
                  </w:pPr>
                  <w:r w:rsidRPr="005546F0">
                    <w:rPr>
                      <w:rFonts w:ascii="Arial" w:eastAsia="Times New Roman" w:hAnsi="Arial" w:cs="Arial"/>
                      <w:b/>
                      <w:bCs/>
                      <w:color w:val="000000"/>
                      <w:lang w:eastAsia="pt-BR"/>
                    </w:rPr>
                    <w:t>Consumo de serviços</w:t>
                  </w:r>
                </w:p>
              </w:tc>
            </w:tr>
            <w:tr w:rsidR="005546F0" w:rsidRPr="005546F0" w14:paraId="682DFB16" w14:textId="77777777" w:rsidTr="005546F0">
              <w:trPr>
                <w:trHeight w:val="300"/>
              </w:trPr>
              <w:tc>
                <w:tcPr>
                  <w:tcW w:w="7660" w:type="dxa"/>
                  <w:tcBorders>
                    <w:top w:val="nil"/>
                    <w:left w:val="nil"/>
                    <w:bottom w:val="nil"/>
                    <w:right w:val="nil"/>
                  </w:tcBorders>
                  <w:shd w:val="clear" w:color="auto" w:fill="auto"/>
                  <w:noWrap/>
                  <w:vAlign w:val="center"/>
                  <w:hideMark/>
                </w:tcPr>
                <w:p w14:paraId="63A91240"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Manutenção, reparação e instalação de máquinas e equipamentos</w:t>
                  </w:r>
                </w:p>
              </w:tc>
            </w:tr>
            <w:tr w:rsidR="005546F0" w:rsidRPr="005546F0" w14:paraId="5D77ACEE" w14:textId="77777777" w:rsidTr="005546F0">
              <w:trPr>
                <w:trHeight w:val="300"/>
              </w:trPr>
              <w:tc>
                <w:tcPr>
                  <w:tcW w:w="7660" w:type="dxa"/>
                  <w:tcBorders>
                    <w:top w:val="nil"/>
                    <w:left w:val="nil"/>
                    <w:bottom w:val="nil"/>
                    <w:right w:val="nil"/>
                  </w:tcBorders>
                  <w:shd w:val="clear" w:color="auto" w:fill="auto"/>
                  <w:noWrap/>
                  <w:vAlign w:val="center"/>
                  <w:hideMark/>
                </w:tcPr>
                <w:p w14:paraId="47067307"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Produção e distribuição de eletricidade gás água esgoto e limpeza urbana</w:t>
                  </w:r>
                </w:p>
              </w:tc>
            </w:tr>
            <w:tr w:rsidR="005546F0" w:rsidRPr="005546F0" w14:paraId="44448D7A" w14:textId="77777777" w:rsidTr="005546F0">
              <w:trPr>
                <w:trHeight w:val="300"/>
              </w:trPr>
              <w:tc>
                <w:tcPr>
                  <w:tcW w:w="7660" w:type="dxa"/>
                  <w:tcBorders>
                    <w:top w:val="nil"/>
                    <w:left w:val="nil"/>
                    <w:bottom w:val="nil"/>
                    <w:right w:val="nil"/>
                  </w:tcBorders>
                  <w:shd w:val="clear" w:color="auto" w:fill="auto"/>
                  <w:noWrap/>
                  <w:vAlign w:val="center"/>
                  <w:hideMark/>
                </w:tcPr>
                <w:p w14:paraId="53321B0C"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Comércio</w:t>
                  </w:r>
                </w:p>
              </w:tc>
            </w:tr>
            <w:tr w:rsidR="005546F0" w:rsidRPr="005546F0" w14:paraId="7B463D7D" w14:textId="77777777" w:rsidTr="005546F0">
              <w:trPr>
                <w:trHeight w:val="300"/>
              </w:trPr>
              <w:tc>
                <w:tcPr>
                  <w:tcW w:w="7660" w:type="dxa"/>
                  <w:tcBorders>
                    <w:top w:val="nil"/>
                    <w:left w:val="nil"/>
                    <w:bottom w:val="nil"/>
                    <w:right w:val="nil"/>
                  </w:tcBorders>
                  <w:shd w:val="clear" w:color="auto" w:fill="auto"/>
                  <w:noWrap/>
                  <w:vAlign w:val="center"/>
                  <w:hideMark/>
                </w:tcPr>
                <w:p w14:paraId="14F44D4D"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Transporte terrestre de carga</w:t>
                  </w:r>
                </w:p>
              </w:tc>
            </w:tr>
            <w:tr w:rsidR="005546F0" w:rsidRPr="005546F0" w14:paraId="52D015E3" w14:textId="77777777" w:rsidTr="005546F0">
              <w:trPr>
                <w:trHeight w:val="300"/>
              </w:trPr>
              <w:tc>
                <w:tcPr>
                  <w:tcW w:w="7660" w:type="dxa"/>
                  <w:tcBorders>
                    <w:top w:val="nil"/>
                    <w:left w:val="nil"/>
                    <w:bottom w:val="nil"/>
                    <w:right w:val="nil"/>
                  </w:tcBorders>
                  <w:shd w:val="clear" w:color="auto" w:fill="auto"/>
                  <w:noWrap/>
                  <w:vAlign w:val="center"/>
                  <w:hideMark/>
                </w:tcPr>
                <w:p w14:paraId="50B1DF4B"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Transporte terrestre de passageiros</w:t>
                  </w:r>
                </w:p>
              </w:tc>
            </w:tr>
            <w:tr w:rsidR="005546F0" w:rsidRPr="005546F0" w14:paraId="437E1C45" w14:textId="77777777" w:rsidTr="005546F0">
              <w:trPr>
                <w:trHeight w:val="300"/>
              </w:trPr>
              <w:tc>
                <w:tcPr>
                  <w:tcW w:w="7660" w:type="dxa"/>
                  <w:tcBorders>
                    <w:top w:val="nil"/>
                    <w:left w:val="nil"/>
                    <w:bottom w:val="nil"/>
                    <w:right w:val="nil"/>
                  </w:tcBorders>
                  <w:shd w:val="clear" w:color="auto" w:fill="auto"/>
                  <w:noWrap/>
                  <w:vAlign w:val="center"/>
                  <w:hideMark/>
                </w:tcPr>
                <w:p w14:paraId="13E496E9"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Transporte aquaviário</w:t>
                  </w:r>
                </w:p>
              </w:tc>
            </w:tr>
            <w:tr w:rsidR="005546F0" w:rsidRPr="005546F0" w14:paraId="614957FE" w14:textId="77777777" w:rsidTr="005546F0">
              <w:trPr>
                <w:trHeight w:val="300"/>
              </w:trPr>
              <w:tc>
                <w:tcPr>
                  <w:tcW w:w="7660" w:type="dxa"/>
                  <w:tcBorders>
                    <w:top w:val="nil"/>
                    <w:left w:val="nil"/>
                    <w:bottom w:val="nil"/>
                    <w:right w:val="nil"/>
                  </w:tcBorders>
                  <w:shd w:val="clear" w:color="auto" w:fill="auto"/>
                  <w:noWrap/>
                  <w:vAlign w:val="center"/>
                  <w:hideMark/>
                </w:tcPr>
                <w:p w14:paraId="580F62AC"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Transporte aéreo</w:t>
                  </w:r>
                </w:p>
              </w:tc>
            </w:tr>
            <w:tr w:rsidR="005546F0" w:rsidRPr="005546F0" w14:paraId="003B6BC0" w14:textId="77777777" w:rsidTr="005546F0">
              <w:trPr>
                <w:trHeight w:val="300"/>
              </w:trPr>
              <w:tc>
                <w:tcPr>
                  <w:tcW w:w="7660" w:type="dxa"/>
                  <w:tcBorders>
                    <w:top w:val="nil"/>
                    <w:left w:val="nil"/>
                    <w:bottom w:val="nil"/>
                    <w:right w:val="nil"/>
                  </w:tcBorders>
                  <w:shd w:val="clear" w:color="auto" w:fill="auto"/>
                  <w:noWrap/>
                  <w:vAlign w:val="center"/>
                  <w:hideMark/>
                </w:tcPr>
                <w:p w14:paraId="55C1A09C"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Armazen. e serv. aux. aos transportes, correios e outros serv. de entrega</w:t>
                  </w:r>
                </w:p>
              </w:tc>
            </w:tr>
            <w:tr w:rsidR="005546F0" w:rsidRPr="005546F0" w14:paraId="00417796" w14:textId="77777777" w:rsidTr="005546F0">
              <w:trPr>
                <w:trHeight w:val="300"/>
              </w:trPr>
              <w:tc>
                <w:tcPr>
                  <w:tcW w:w="7660" w:type="dxa"/>
                  <w:tcBorders>
                    <w:top w:val="nil"/>
                    <w:left w:val="nil"/>
                    <w:bottom w:val="nil"/>
                    <w:right w:val="nil"/>
                  </w:tcBorders>
                  <w:shd w:val="clear" w:color="auto" w:fill="auto"/>
                  <w:noWrap/>
                  <w:vAlign w:val="center"/>
                  <w:hideMark/>
                </w:tcPr>
                <w:p w14:paraId="02A14785"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Serviços de alojamento em hotéis e similares e alimentação</w:t>
                  </w:r>
                </w:p>
              </w:tc>
            </w:tr>
            <w:tr w:rsidR="005546F0" w:rsidRPr="005546F0" w14:paraId="02BCDBB6" w14:textId="77777777" w:rsidTr="005546F0">
              <w:trPr>
                <w:trHeight w:val="300"/>
              </w:trPr>
              <w:tc>
                <w:tcPr>
                  <w:tcW w:w="7660" w:type="dxa"/>
                  <w:tcBorders>
                    <w:top w:val="nil"/>
                    <w:left w:val="nil"/>
                    <w:bottom w:val="nil"/>
                    <w:right w:val="nil"/>
                  </w:tcBorders>
                  <w:shd w:val="clear" w:color="auto" w:fill="auto"/>
                  <w:noWrap/>
                  <w:vAlign w:val="center"/>
                  <w:hideMark/>
                </w:tcPr>
                <w:p w14:paraId="6A95752B"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Serviços de informação</w:t>
                  </w:r>
                </w:p>
              </w:tc>
            </w:tr>
            <w:tr w:rsidR="005546F0" w:rsidRPr="005546F0" w14:paraId="60BB5F36" w14:textId="77777777" w:rsidTr="005546F0">
              <w:trPr>
                <w:trHeight w:val="300"/>
              </w:trPr>
              <w:tc>
                <w:tcPr>
                  <w:tcW w:w="7660" w:type="dxa"/>
                  <w:tcBorders>
                    <w:top w:val="nil"/>
                    <w:left w:val="nil"/>
                    <w:bottom w:val="nil"/>
                    <w:right w:val="nil"/>
                  </w:tcBorders>
                  <w:shd w:val="clear" w:color="auto" w:fill="auto"/>
                  <w:noWrap/>
                  <w:vAlign w:val="center"/>
                  <w:hideMark/>
                </w:tcPr>
                <w:p w14:paraId="22458992"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Intermediação financeira, seguros e previdência complementar</w:t>
                  </w:r>
                </w:p>
              </w:tc>
            </w:tr>
            <w:tr w:rsidR="005546F0" w:rsidRPr="005546F0" w14:paraId="37DA3181" w14:textId="77777777" w:rsidTr="005546F0">
              <w:trPr>
                <w:trHeight w:val="300"/>
              </w:trPr>
              <w:tc>
                <w:tcPr>
                  <w:tcW w:w="7660" w:type="dxa"/>
                  <w:tcBorders>
                    <w:top w:val="nil"/>
                    <w:left w:val="nil"/>
                    <w:bottom w:val="nil"/>
                    <w:right w:val="nil"/>
                  </w:tcBorders>
                  <w:shd w:val="clear" w:color="auto" w:fill="auto"/>
                  <w:noWrap/>
                  <w:vAlign w:val="center"/>
                  <w:hideMark/>
                </w:tcPr>
                <w:p w14:paraId="0F407BCD"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Aluguel</w:t>
                  </w:r>
                </w:p>
              </w:tc>
            </w:tr>
            <w:tr w:rsidR="005546F0" w:rsidRPr="005546F0" w14:paraId="39109DC2" w14:textId="77777777" w:rsidTr="005546F0">
              <w:trPr>
                <w:trHeight w:val="300"/>
              </w:trPr>
              <w:tc>
                <w:tcPr>
                  <w:tcW w:w="7660" w:type="dxa"/>
                  <w:tcBorders>
                    <w:top w:val="nil"/>
                    <w:left w:val="nil"/>
                    <w:bottom w:val="nil"/>
                    <w:right w:val="nil"/>
                  </w:tcBorders>
                  <w:shd w:val="clear" w:color="auto" w:fill="auto"/>
                  <w:noWrap/>
                  <w:vAlign w:val="center"/>
                  <w:hideMark/>
                </w:tcPr>
                <w:p w14:paraId="48A9E706"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Serviços prestados às empresas</w:t>
                  </w:r>
                </w:p>
              </w:tc>
            </w:tr>
            <w:tr w:rsidR="005546F0" w:rsidRPr="005546F0" w14:paraId="65394E26" w14:textId="77777777" w:rsidTr="005546F0">
              <w:trPr>
                <w:trHeight w:val="300"/>
              </w:trPr>
              <w:tc>
                <w:tcPr>
                  <w:tcW w:w="7660" w:type="dxa"/>
                  <w:tcBorders>
                    <w:top w:val="nil"/>
                    <w:left w:val="nil"/>
                    <w:bottom w:val="nil"/>
                    <w:right w:val="nil"/>
                  </w:tcBorders>
                  <w:shd w:val="clear" w:color="auto" w:fill="auto"/>
                  <w:noWrap/>
                  <w:vAlign w:val="center"/>
                  <w:hideMark/>
                </w:tcPr>
                <w:p w14:paraId="4D80E761"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Educação privada</w:t>
                  </w:r>
                </w:p>
              </w:tc>
            </w:tr>
            <w:tr w:rsidR="005546F0" w:rsidRPr="005546F0" w14:paraId="31AA0878" w14:textId="77777777" w:rsidTr="005546F0">
              <w:trPr>
                <w:trHeight w:val="300"/>
              </w:trPr>
              <w:tc>
                <w:tcPr>
                  <w:tcW w:w="7660" w:type="dxa"/>
                  <w:tcBorders>
                    <w:top w:val="nil"/>
                    <w:left w:val="nil"/>
                    <w:bottom w:val="nil"/>
                    <w:right w:val="nil"/>
                  </w:tcBorders>
                  <w:shd w:val="clear" w:color="auto" w:fill="auto"/>
                  <w:noWrap/>
                  <w:vAlign w:val="center"/>
                  <w:hideMark/>
                </w:tcPr>
                <w:p w14:paraId="627806CE"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Saúde privada</w:t>
                  </w:r>
                </w:p>
              </w:tc>
            </w:tr>
            <w:tr w:rsidR="005546F0" w:rsidRPr="005546F0" w14:paraId="05A7F066" w14:textId="77777777" w:rsidTr="005546F0">
              <w:trPr>
                <w:trHeight w:val="300"/>
              </w:trPr>
              <w:tc>
                <w:tcPr>
                  <w:tcW w:w="7660" w:type="dxa"/>
                  <w:tcBorders>
                    <w:top w:val="nil"/>
                    <w:left w:val="nil"/>
                    <w:bottom w:val="nil"/>
                    <w:right w:val="nil"/>
                  </w:tcBorders>
                  <w:shd w:val="clear" w:color="auto" w:fill="auto"/>
                  <w:noWrap/>
                  <w:vAlign w:val="center"/>
                  <w:hideMark/>
                </w:tcPr>
                <w:p w14:paraId="6313B231"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Serviços prestados às famílias e atividades pessoais</w:t>
                  </w:r>
                </w:p>
              </w:tc>
            </w:tr>
            <w:tr w:rsidR="005546F0" w:rsidRPr="005546F0" w14:paraId="1954A85B" w14:textId="77777777" w:rsidTr="005546F0">
              <w:trPr>
                <w:trHeight w:val="300"/>
              </w:trPr>
              <w:tc>
                <w:tcPr>
                  <w:tcW w:w="7660" w:type="dxa"/>
                  <w:tcBorders>
                    <w:top w:val="nil"/>
                    <w:left w:val="nil"/>
                    <w:bottom w:val="single" w:sz="4" w:space="0" w:color="auto"/>
                    <w:right w:val="nil"/>
                  </w:tcBorders>
                  <w:shd w:val="clear" w:color="auto" w:fill="auto"/>
                  <w:noWrap/>
                  <w:vAlign w:val="center"/>
                  <w:hideMark/>
                </w:tcPr>
                <w:p w14:paraId="16BE306E" w14:textId="77777777" w:rsidR="005546F0" w:rsidRPr="005546F0" w:rsidRDefault="005546F0" w:rsidP="005546F0">
                  <w:pPr>
                    <w:spacing w:after="0" w:line="240" w:lineRule="auto"/>
                    <w:rPr>
                      <w:rFonts w:ascii="Arial" w:eastAsia="Times New Roman" w:hAnsi="Arial" w:cs="Arial"/>
                      <w:color w:val="000000"/>
                      <w:lang w:eastAsia="pt-BR"/>
                    </w:rPr>
                  </w:pPr>
                  <w:r w:rsidRPr="005546F0">
                    <w:rPr>
                      <w:rFonts w:ascii="Arial" w:eastAsia="Times New Roman" w:hAnsi="Arial" w:cs="Arial"/>
                      <w:color w:val="000000"/>
                      <w:lang w:eastAsia="pt-BR"/>
                    </w:rPr>
                    <w:t>Serviços domésticos</w:t>
                  </w:r>
                </w:p>
              </w:tc>
            </w:tr>
          </w:tbl>
          <w:p w14:paraId="311BF342" w14:textId="39384AC8" w:rsidR="00343FC7" w:rsidRPr="00343FC7" w:rsidRDefault="00343FC7" w:rsidP="00343FC7">
            <w:pPr>
              <w:spacing w:after="0" w:line="240" w:lineRule="auto"/>
              <w:ind w:firstLineChars="100" w:firstLine="220"/>
              <w:rPr>
                <w:rFonts w:ascii="Arial" w:eastAsia="Times New Roman" w:hAnsi="Arial" w:cs="Arial"/>
                <w:color w:val="000000"/>
                <w:lang w:eastAsia="pt-BR"/>
              </w:rPr>
            </w:pPr>
          </w:p>
        </w:tc>
      </w:tr>
    </w:tbl>
    <w:p w14:paraId="5106A756" w14:textId="6C926880" w:rsidR="00343FC7" w:rsidRPr="00515812" w:rsidRDefault="00343FC7" w:rsidP="00343FC7">
      <w:pPr>
        <w:spacing w:line="360" w:lineRule="auto"/>
        <w:jc w:val="center"/>
        <w:rPr>
          <w:rFonts w:ascii="Arial" w:hAnsi="Arial" w:cs="Arial"/>
          <w:sz w:val="24"/>
          <w:szCs w:val="24"/>
        </w:rPr>
      </w:pPr>
      <w:r>
        <w:rPr>
          <w:rFonts w:ascii="Arial" w:hAnsi="Arial" w:cs="Arial"/>
          <w:sz w:val="24"/>
          <w:szCs w:val="24"/>
        </w:rPr>
        <w:lastRenderedPageBreak/>
        <w:br/>
      </w:r>
      <w:r w:rsidRPr="00FD7A18">
        <w:rPr>
          <w:rFonts w:ascii="Arial" w:hAnsi="Arial" w:cs="Arial"/>
          <w:sz w:val="24"/>
          <w:szCs w:val="24"/>
        </w:rPr>
        <w:t xml:space="preserve">Fonte: </w:t>
      </w:r>
      <w:r>
        <w:rPr>
          <w:rFonts w:ascii="Arial" w:hAnsi="Arial" w:cs="Arial"/>
          <w:sz w:val="24"/>
          <w:szCs w:val="24"/>
        </w:rPr>
        <w:t>FGV</w:t>
      </w:r>
    </w:p>
    <w:p w14:paraId="4E5A33FE" w14:textId="5364A8EC" w:rsidR="00343FC7" w:rsidRDefault="00343FC7" w:rsidP="00C05C90">
      <w:pPr>
        <w:spacing w:line="360" w:lineRule="auto"/>
        <w:jc w:val="both"/>
        <w:rPr>
          <w:rFonts w:ascii="Arial" w:hAnsi="Arial" w:cs="Arial"/>
          <w:sz w:val="24"/>
          <w:szCs w:val="24"/>
        </w:rPr>
      </w:pPr>
    </w:p>
    <w:p w14:paraId="57B13FDF" w14:textId="71897268" w:rsidR="00343FC7" w:rsidRPr="00343FC7" w:rsidRDefault="00343FC7" w:rsidP="00C05C90">
      <w:pPr>
        <w:spacing w:line="360" w:lineRule="auto"/>
        <w:jc w:val="both"/>
        <w:rPr>
          <w:rFonts w:ascii="Arial" w:hAnsi="Arial" w:cs="Arial"/>
          <w:b/>
          <w:bCs/>
          <w:sz w:val="24"/>
          <w:szCs w:val="24"/>
        </w:rPr>
      </w:pPr>
      <w:r w:rsidRPr="00343FC7">
        <w:rPr>
          <w:rFonts w:ascii="Arial" w:hAnsi="Arial" w:cs="Arial"/>
          <w:b/>
          <w:bCs/>
          <w:sz w:val="24"/>
          <w:szCs w:val="24"/>
        </w:rPr>
        <w:t>4.2 Testes de cointegração</w:t>
      </w:r>
    </w:p>
    <w:p w14:paraId="2E3229F1" w14:textId="78BEB00D" w:rsidR="00343FC7" w:rsidRDefault="004C0686" w:rsidP="00C05C90">
      <w:pPr>
        <w:spacing w:line="360" w:lineRule="auto"/>
        <w:jc w:val="both"/>
        <w:rPr>
          <w:rFonts w:ascii="Arial" w:hAnsi="Arial" w:cs="Arial"/>
          <w:sz w:val="24"/>
          <w:szCs w:val="24"/>
        </w:rPr>
      </w:pPr>
      <w:r>
        <w:rPr>
          <w:rFonts w:ascii="Arial" w:hAnsi="Arial" w:cs="Arial"/>
          <w:sz w:val="24"/>
          <w:szCs w:val="24"/>
        </w:rPr>
        <w:t xml:space="preserve">Como outra forma de reforçar a relação entre as séries do Monitor e das Pesquisas Mensais do IBGE, foram realizados alguns testes de cointegração de </w:t>
      </w:r>
      <w:r w:rsidR="008C3905">
        <w:rPr>
          <w:rFonts w:ascii="Arial" w:hAnsi="Arial" w:cs="Arial"/>
          <w:sz w:val="24"/>
          <w:szCs w:val="24"/>
        </w:rPr>
        <w:t>Engle-Granger</w:t>
      </w:r>
      <w:r>
        <w:rPr>
          <w:rFonts w:ascii="Arial" w:hAnsi="Arial" w:cs="Arial"/>
          <w:sz w:val="24"/>
          <w:szCs w:val="24"/>
        </w:rPr>
        <w:t xml:space="preserve">. A ideia dos testes de cointegração é estimar se as séries </w:t>
      </w:r>
      <w:r w:rsidR="00DF1186">
        <w:rPr>
          <w:rFonts w:ascii="Arial" w:hAnsi="Arial" w:cs="Arial"/>
          <w:sz w:val="24"/>
          <w:szCs w:val="24"/>
        </w:rPr>
        <w:t xml:space="preserve">(índices de quantidade não estacionários) </w:t>
      </w:r>
      <w:r>
        <w:rPr>
          <w:rFonts w:ascii="Arial" w:hAnsi="Arial" w:cs="Arial"/>
          <w:sz w:val="24"/>
          <w:szCs w:val="24"/>
        </w:rPr>
        <w:t>em questão possuem uma relação de longo prazo, ou seja, estariam em equilíbrio de longo prazo.</w:t>
      </w:r>
    </w:p>
    <w:p w14:paraId="623981B9" w14:textId="06C5FDE6" w:rsidR="008C3905" w:rsidRDefault="004C0686" w:rsidP="008C3905">
      <w:pPr>
        <w:spacing w:line="360" w:lineRule="auto"/>
        <w:jc w:val="both"/>
        <w:rPr>
          <w:rFonts w:ascii="Arial" w:hAnsi="Arial" w:cs="Arial"/>
          <w:sz w:val="24"/>
          <w:szCs w:val="24"/>
        </w:rPr>
      </w:pPr>
      <w:r>
        <w:rPr>
          <w:rFonts w:ascii="Arial" w:hAnsi="Arial" w:cs="Arial"/>
          <w:sz w:val="24"/>
          <w:szCs w:val="24"/>
        </w:rPr>
        <w:t xml:space="preserve">A ideia central </w:t>
      </w:r>
      <w:r w:rsidR="008C3905">
        <w:rPr>
          <w:rFonts w:ascii="Arial" w:hAnsi="Arial" w:cs="Arial"/>
          <w:sz w:val="24"/>
          <w:szCs w:val="24"/>
        </w:rPr>
        <w:t xml:space="preserve">do teste </w:t>
      </w:r>
      <w:r>
        <w:rPr>
          <w:rFonts w:ascii="Arial" w:hAnsi="Arial" w:cs="Arial"/>
          <w:sz w:val="24"/>
          <w:szCs w:val="24"/>
        </w:rPr>
        <w:t>é simples</w:t>
      </w:r>
      <w:r w:rsidR="008C3905">
        <w:rPr>
          <w:rFonts w:ascii="Arial" w:hAnsi="Arial" w:cs="Arial"/>
          <w:sz w:val="24"/>
          <w:szCs w:val="24"/>
        </w:rPr>
        <w:t>. S</w:t>
      </w:r>
      <w:r>
        <w:rPr>
          <w:rFonts w:ascii="Arial" w:hAnsi="Arial" w:cs="Arial"/>
          <w:sz w:val="24"/>
          <w:szCs w:val="24"/>
        </w:rPr>
        <w:t xml:space="preserve">e, ao rodar uma regressão de uma série com outra, os resíduos forem estacionários, isso indica uma relação de longo prazo </w:t>
      </w:r>
      <w:r>
        <w:rPr>
          <w:rFonts w:ascii="Arial" w:hAnsi="Arial" w:cs="Arial"/>
          <w:sz w:val="24"/>
          <w:szCs w:val="24"/>
        </w:rPr>
        <w:lastRenderedPageBreak/>
        <w:t xml:space="preserve">pois </w:t>
      </w:r>
      <w:r w:rsidR="008C3905">
        <w:rPr>
          <w:rFonts w:ascii="Arial" w:hAnsi="Arial" w:cs="Arial"/>
          <w:sz w:val="24"/>
          <w:szCs w:val="24"/>
        </w:rPr>
        <w:t>os desvios d</w:t>
      </w:r>
      <w:r>
        <w:rPr>
          <w:rFonts w:ascii="Arial" w:hAnsi="Arial" w:cs="Arial"/>
          <w:sz w:val="24"/>
          <w:szCs w:val="24"/>
        </w:rPr>
        <w:t>a relação de uma com outra segue</w:t>
      </w:r>
      <w:r w:rsidR="008C3905">
        <w:rPr>
          <w:rFonts w:ascii="Arial" w:hAnsi="Arial" w:cs="Arial"/>
          <w:sz w:val="24"/>
          <w:szCs w:val="24"/>
        </w:rPr>
        <w:t>m</w:t>
      </w:r>
      <w:r>
        <w:rPr>
          <w:rFonts w:ascii="Arial" w:hAnsi="Arial" w:cs="Arial"/>
          <w:sz w:val="24"/>
          <w:szCs w:val="24"/>
        </w:rPr>
        <w:t xml:space="preserve"> uma </w:t>
      </w:r>
      <w:r w:rsidR="008C3905">
        <w:rPr>
          <w:rFonts w:ascii="Arial" w:hAnsi="Arial" w:cs="Arial"/>
          <w:sz w:val="24"/>
          <w:szCs w:val="24"/>
        </w:rPr>
        <w:t>média</w:t>
      </w:r>
      <w:r>
        <w:rPr>
          <w:rFonts w:ascii="Arial" w:hAnsi="Arial" w:cs="Arial"/>
          <w:sz w:val="24"/>
          <w:szCs w:val="24"/>
        </w:rPr>
        <w:t xml:space="preserve">. </w:t>
      </w:r>
      <w:r w:rsidR="008C3905">
        <w:rPr>
          <w:rFonts w:ascii="Arial" w:hAnsi="Arial" w:cs="Arial"/>
          <w:sz w:val="24"/>
          <w:szCs w:val="24"/>
        </w:rPr>
        <w:t>É feito, portanto, um teste de raiz unitária nos resíduos</w:t>
      </w:r>
      <w:r w:rsidR="008C3905">
        <w:rPr>
          <w:rStyle w:val="FootnoteReference"/>
          <w:rFonts w:ascii="Arial" w:hAnsi="Arial" w:cs="Arial"/>
          <w:sz w:val="24"/>
          <w:szCs w:val="24"/>
        </w:rPr>
        <w:footnoteReference w:id="1"/>
      </w:r>
      <w:r w:rsidR="008C3905">
        <w:rPr>
          <w:rFonts w:ascii="Arial" w:hAnsi="Arial" w:cs="Arial"/>
          <w:sz w:val="24"/>
          <w:szCs w:val="24"/>
        </w:rPr>
        <w:t>. Segundo De Losso (XXX)</w:t>
      </w:r>
      <w:r w:rsidR="000F2BA3">
        <w:rPr>
          <w:rFonts w:ascii="Arial" w:hAnsi="Arial" w:cs="Arial"/>
          <w:sz w:val="24"/>
          <w:szCs w:val="24"/>
        </w:rPr>
        <w:t>,</w:t>
      </w:r>
    </w:p>
    <w:p w14:paraId="323763C6" w14:textId="6930A154" w:rsidR="004C0686" w:rsidRDefault="008C3905" w:rsidP="008C3905">
      <w:pPr>
        <w:spacing w:line="360" w:lineRule="auto"/>
        <w:jc w:val="both"/>
        <w:rPr>
          <w:rFonts w:ascii="Arial" w:hAnsi="Arial" w:cs="Arial"/>
          <w:sz w:val="24"/>
          <w:szCs w:val="24"/>
        </w:rPr>
      </w:pPr>
      <w:r>
        <w:rPr>
          <w:rFonts w:ascii="Arial" w:hAnsi="Arial" w:cs="Arial"/>
          <w:sz w:val="24"/>
          <w:szCs w:val="24"/>
        </w:rPr>
        <w:t>“</w:t>
      </w:r>
      <w:r w:rsidRPr="008C3905">
        <w:rPr>
          <w:rFonts w:ascii="Arial" w:hAnsi="Arial" w:cs="Arial"/>
          <w:sz w:val="24"/>
          <w:szCs w:val="24"/>
        </w:rPr>
        <w:t>Se a hipótese nula de raiz unitária dos resíduos não for rejeitada</w:t>
      </w:r>
      <w:r w:rsidR="000F2BA3">
        <w:rPr>
          <w:rStyle w:val="FootnoteReference"/>
          <w:rFonts w:ascii="Arial" w:hAnsi="Arial" w:cs="Arial"/>
          <w:sz w:val="24"/>
          <w:szCs w:val="24"/>
        </w:rPr>
        <w:footnoteReference w:id="2"/>
      </w:r>
      <w:r w:rsidRPr="008C3905">
        <w:rPr>
          <w:rFonts w:ascii="Arial" w:hAnsi="Arial" w:cs="Arial"/>
          <w:sz w:val="24"/>
          <w:szCs w:val="24"/>
        </w:rPr>
        <w:t>, as</w:t>
      </w:r>
      <w:r>
        <w:rPr>
          <w:rFonts w:ascii="Arial" w:hAnsi="Arial" w:cs="Arial"/>
          <w:sz w:val="24"/>
          <w:szCs w:val="24"/>
        </w:rPr>
        <w:t xml:space="preserve"> </w:t>
      </w:r>
      <w:r w:rsidRPr="008C3905">
        <w:rPr>
          <w:rFonts w:ascii="Arial" w:hAnsi="Arial" w:cs="Arial"/>
          <w:sz w:val="24"/>
          <w:szCs w:val="24"/>
        </w:rPr>
        <w:t>variáveis não serão cointegradas. Em contraste, a rejeição da hipótese nula implica</w:t>
      </w:r>
      <w:r>
        <w:rPr>
          <w:rFonts w:ascii="Arial" w:hAnsi="Arial" w:cs="Arial"/>
          <w:sz w:val="24"/>
          <w:szCs w:val="24"/>
        </w:rPr>
        <w:t xml:space="preserve"> </w:t>
      </w:r>
      <w:r w:rsidRPr="008C3905">
        <w:rPr>
          <w:rFonts w:ascii="Arial" w:hAnsi="Arial" w:cs="Arial"/>
          <w:sz w:val="24"/>
          <w:szCs w:val="24"/>
        </w:rPr>
        <w:t>que as variáveis são cointegradas, pois os resíduos serão estacionários</w:t>
      </w:r>
      <w:r>
        <w:rPr>
          <w:rFonts w:ascii="Arial" w:hAnsi="Arial" w:cs="Arial"/>
          <w:sz w:val="24"/>
          <w:szCs w:val="24"/>
        </w:rPr>
        <w:t>.”</w:t>
      </w:r>
    </w:p>
    <w:p w14:paraId="4D8FAB23" w14:textId="232D20EB" w:rsidR="00343FC7" w:rsidRDefault="00343FC7" w:rsidP="00C05C90">
      <w:pPr>
        <w:spacing w:line="360" w:lineRule="auto"/>
        <w:jc w:val="both"/>
        <w:rPr>
          <w:rFonts w:ascii="Arial" w:hAnsi="Arial" w:cs="Arial"/>
          <w:sz w:val="24"/>
          <w:szCs w:val="24"/>
        </w:rPr>
      </w:pPr>
    </w:p>
    <w:p w14:paraId="1554A60C" w14:textId="2458F54A" w:rsidR="005546F0" w:rsidRPr="005546F0" w:rsidRDefault="005546F0" w:rsidP="00C05C90">
      <w:pPr>
        <w:spacing w:line="360" w:lineRule="auto"/>
        <w:jc w:val="both"/>
        <w:rPr>
          <w:rFonts w:ascii="Arial" w:hAnsi="Arial" w:cs="Arial"/>
          <w:b/>
          <w:bCs/>
          <w:sz w:val="24"/>
          <w:szCs w:val="24"/>
        </w:rPr>
      </w:pPr>
      <w:r w:rsidRPr="005546F0">
        <w:rPr>
          <w:rFonts w:ascii="Arial" w:hAnsi="Arial" w:cs="Arial"/>
          <w:b/>
          <w:bCs/>
          <w:sz w:val="24"/>
          <w:szCs w:val="24"/>
        </w:rPr>
        <w:t>4.2.1 Não-duráveis</w:t>
      </w:r>
    </w:p>
    <w:p w14:paraId="0D40CB26" w14:textId="6027FFEA" w:rsidR="00343FC7" w:rsidRDefault="003F2862" w:rsidP="00C05C90">
      <w:pPr>
        <w:spacing w:line="360" w:lineRule="auto"/>
        <w:jc w:val="both"/>
        <w:rPr>
          <w:rFonts w:ascii="Arial" w:hAnsi="Arial" w:cs="Arial"/>
          <w:sz w:val="24"/>
          <w:szCs w:val="24"/>
        </w:rPr>
      </w:pPr>
      <w:r>
        <w:rPr>
          <w:rFonts w:ascii="Arial" w:hAnsi="Arial" w:cs="Arial"/>
          <w:sz w:val="24"/>
          <w:szCs w:val="24"/>
        </w:rPr>
        <w:t>O primeiro teste foi realizado com a série de Não-Duráveis do Monitor ajustada sazonalmente (ndr_sa) e com o subgrupo da PMC “</w:t>
      </w:r>
      <w:r w:rsidRPr="003F2862">
        <w:rPr>
          <w:rFonts w:ascii="Arial" w:hAnsi="Arial" w:cs="Arial"/>
          <w:sz w:val="24"/>
          <w:szCs w:val="24"/>
        </w:rPr>
        <w:t>Hipermercados, supermercados, produtos alimentícios, bebidas e fumo”</w:t>
      </w:r>
      <w:r>
        <w:rPr>
          <w:rFonts w:ascii="Arial" w:hAnsi="Arial" w:cs="Arial"/>
          <w:sz w:val="24"/>
          <w:szCs w:val="24"/>
        </w:rPr>
        <w:t>, também ajustado sazonalmente (pmc_food_sa), como indicado no Capítulo 2.</w:t>
      </w:r>
      <w:r w:rsidR="004C3791">
        <w:rPr>
          <w:rFonts w:ascii="Arial" w:hAnsi="Arial" w:cs="Arial"/>
          <w:sz w:val="24"/>
          <w:szCs w:val="24"/>
        </w:rPr>
        <w:t xml:space="preserve"> Os ajustes são feitos para tentar mitigar os efeitos de possíveis sazonalidades diferentes entre as séries.</w:t>
      </w:r>
    </w:p>
    <w:p w14:paraId="7991A778" w14:textId="77777777" w:rsidR="00D77C04" w:rsidRPr="004038A9" w:rsidRDefault="00D77C04" w:rsidP="00C05C90">
      <w:pPr>
        <w:spacing w:line="360" w:lineRule="auto"/>
        <w:jc w:val="both"/>
        <w:rPr>
          <w:rFonts w:ascii="Arial" w:hAnsi="Arial" w:cs="Arial"/>
          <w:sz w:val="24"/>
          <w:szCs w:val="24"/>
        </w:rPr>
      </w:pPr>
    </w:p>
    <w:p w14:paraId="73007490" w14:textId="1E85BCC5" w:rsidR="00C05C90" w:rsidRPr="00751BC1" w:rsidRDefault="00C05C90" w:rsidP="00C05C90">
      <w:pPr>
        <w:pStyle w:val="Caption"/>
        <w:keepNext/>
        <w:jc w:val="center"/>
        <w:rPr>
          <w:rFonts w:ascii="Arial" w:hAnsi="Arial" w:cs="Arial"/>
          <w:b/>
          <w:bCs/>
          <w:i w:val="0"/>
          <w:iCs w:val="0"/>
          <w:color w:val="auto"/>
          <w:sz w:val="24"/>
          <w:szCs w:val="24"/>
        </w:rPr>
      </w:pPr>
      <w:bookmarkStart w:id="1" w:name="_Ref84778921"/>
      <w:r w:rsidRPr="00751BC1">
        <w:rPr>
          <w:rFonts w:ascii="Arial" w:hAnsi="Arial" w:cs="Arial"/>
          <w:b/>
          <w:bCs/>
          <w:i w:val="0"/>
          <w:iCs w:val="0"/>
          <w:color w:val="auto"/>
          <w:sz w:val="24"/>
          <w:szCs w:val="24"/>
        </w:rPr>
        <w:t xml:space="preserve">Figura </w:t>
      </w:r>
      <w:r w:rsidRPr="00751BC1">
        <w:rPr>
          <w:rFonts w:ascii="Arial" w:hAnsi="Arial" w:cs="Arial"/>
          <w:b/>
          <w:bCs/>
          <w:i w:val="0"/>
          <w:iCs w:val="0"/>
          <w:color w:val="auto"/>
          <w:sz w:val="24"/>
          <w:szCs w:val="24"/>
        </w:rPr>
        <w:fldChar w:fldCharType="begin"/>
      </w:r>
      <w:r w:rsidRPr="00751BC1">
        <w:rPr>
          <w:rFonts w:ascii="Arial" w:hAnsi="Arial" w:cs="Arial"/>
          <w:b/>
          <w:bCs/>
          <w:i w:val="0"/>
          <w:iCs w:val="0"/>
          <w:color w:val="auto"/>
          <w:sz w:val="24"/>
          <w:szCs w:val="24"/>
        </w:rPr>
        <w:instrText xml:space="preserve"> SEQ Figura \* ARABIC </w:instrText>
      </w:r>
      <w:r w:rsidRPr="00751BC1">
        <w:rPr>
          <w:rFonts w:ascii="Arial" w:hAnsi="Arial" w:cs="Arial"/>
          <w:b/>
          <w:bCs/>
          <w:i w:val="0"/>
          <w:iCs w:val="0"/>
          <w:color w:val="auto"/>
          <w:sz w:val="24"/>
          <w:szCs w:val="24"/>
        </w:rPr>
        <w:fldChar w:fldCharType="separate"/>
      </w:r>
      <w:r>
        <w:rPr>
          <w:rFonts w:ascii="Arial" w:hAnsi="Arial" w:cs="Arial"/>
          <w:b/>
          <w:bCs/>
          <w:i w:val="0"/>
          <w:iCs w:val="0"/>
          <w:noProof/>
          <w:color w:val="auto"/>
          <w:sz w:val="24"/>
          <w:szCs w:val="24"/>
        </w:rPr>
        <w:t>1</w:t>
      </w:r>
      <w:r w:rsidRPr="00751BC1">
        <w:rPr>
          <w:rFonts w:ascii="Arial" w:hAnsi="Arial" w:cs="Arial"/>
          <w:b/>
          <w:bCs/>
          <w:i w:val="0"/>
          <w:iCs w:val="0"/>
          <w:color w:val="auto"/>
          <w:sz w:val="24"/>
          <w:szCs w:val="24"/>
        </w:rPr>
        <w:fldChar w:fldCharType="end"/>
      </w:r>
      <w:bookmarkEnd w:id="1"/>
      <w:r w:rsidRPr="00751BC1">
        <w:rPr>
          <w:rFonts w:ascii="Arial" w:hAnsi="Arial" w:cs="Arial"/>
          <w:b/>
          <w:bCs/>
          <w:i w:val="0"/>
          <w:iCs w:val="0"/>
          <w:color w:val="auto"/>
          <w:sz w:val="24"/>
          <w:szCs w:val="24"/>
        </w:rPr>
        <w:t xml:space="preserve">: Teste de cointegração </w:t>
      </w:r>
      <w:r w:rsidR="003F2862">
        <w:rPr>
          <w:rFonts w:ascii="Arial" w:hAnsi="Arial" w:cs="Arial"/>
          <w:b/>
          <w:bCs/>
          <w:i w:val="0"/>
          <w:iCs w:val="0"/>
          <w:color w:val="auto"/>
          <w:sz w:val="24"/>
          <w:szCs w:val="24"/>
        </w:rPr>
        <w:t>Engle-Granger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0"/>
      </w:tblGrid>
      <w:tr w:rsidR="00C05C90" w14:paraId="46BE4515" w14:textId="77777777" w:rsidTr="0045399C">
        <w:trPr>
          <w:jc w:val="center"/>
        </w:trPr>
        <w:tc>
          <w:tcPr>
            <w:tcW w:w="6950" w:type="dxa"/>
          </w:tcPr>
          <w:p w14:paraId="7384BFC8" w14:textId="39A3366F" w:rsidR="00C05C90" w:rsidRDefault="003F2862" w:rsidP="0045399C">
            <w:pPr>
              <w:keepNext/>
              <w:spacing w:line="360" w:lineRule="auto"/>
              <w:jc w:val="both"/>
              <w:rPr>
                <w:rFonts w:ascii="Arial" w:hAnsi="Arial" w:cs="Arial"/>
                <w:sz w:val="24"/>
                <w:szCs w:val="24"/>
              </w:rPr>
            </w:pPr>
            <w:r>
              <w:rPr>
                <w:noProof/>
              </w:rPr>
              <w:drawing>
                <wp:anchor distT="0" distB="0" distL="114300" distR="114300" simplePos="0" relativeHeight="251672576" behindDoc="0" locked="0" layoutInCell="1" allowOverlap="1" wp14:anchorId="456C064F" wp14:editId="3E3A4112">
                  <wp:simplePos x="0" y="0"/>
                  <wp:positionH relativeFrom="column">
                    <wp:posOffset>-3810</wp:posOffset>
                  </wp:positionH>
                  <wp:positionV relativeFrom="paragraph">
                    <wp:posOffset>0</wp:posOffset>
                  </wp:positionV>
                  <wp:extent cx="4086225" cy="19431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86225" cy="1943100"/>
                          </a:xfrm>
                          <a:prstGeom prst="rect">
                            <a:avLst/>
                          </a:prstGeom>
                        </pic:spPr>
                      </pic:pic>
                    </a:graphicData>
                  </a:graphic>
                </wp:anchor>
              </w:drawing>
            </w:r>
          </w:p>
        </w:tc>
      </w:tr>
    </w:tbl>
    <w:p w14:paraId="0C6CFFFD" w14:textId="77777777" w:rsidR="00C05C90" w:rsidRPr="00751BC1" w:rsidRDefault="00C05C90" w:rsidP="00C05C90">
      <w:pPr>
        <w:pStyle w:val="Caption"/>
        <w:jc w:val="center"/>
        <w:rPr>
          <w:rFonts w:ascii="Arial" w:hAnsi="Arial" w:cs="Arial"/>
          <w:i w:val="0"/>
          <w:iCs w:val="0"/>
          <w:color w:val="auto"/>
          <w:sz w:val="36"/>
          <w:szCs w:val="36"/>
        </w:rPr>
      </w:pPr>
      <w:r w:rsidRPr="00751BC1">
        <w:rPr>
          <w:rFonts w:ascii="Arial" w:hAnsi="Arial" w:cs="Arial"/>
          <w:i w:val="0"/>
          <w:iCs w:val="0"/>
          <w:color w:val="auto"/>
          <w:sz w:val="24"/>
          <w:szCs w:val="24"/>
        </w:rPr>
        <w:t>Fonte: IBGE, FGV, Cálculos próprios</w:t>
      </w:r>
    </w:p>
    <w:p w14:paraId="4CA539B8" w14:textId="2456D0A7" w:rsidR="00C05C90" w:rsidRDefault="00C05C90" w:rsidP="00C05C90">
      <w:pPr>
        <w:spacing w:line="360" w:lineRule="auto"/>
        <w:jc w:val="both"/>
        <w:rPr>
          <w:rFonts w:ascii="Arial" w:hAnsi="Arial" w:cs="Arial"/>
          <w:sz w:val="24"/>
          <w:szCs w:val="24"/>
        </w:rPr>
      </w:pPr>
    </w:p>
    <w:p w14:paraId="318F6DA9" w14:textId="610E0BB8" w:rsidR="00E40158" w:rsidRDefault="00E40158" w:rsidP="00C05C90">
      <w:pPr>
        <w:spacing w:line="360" w:lineRule="auto"/>
        <w:jc w:val="both"/>
        <w:rPr>
          <w:rFonts w:ascii="Arial" w:hAnsi="Arial" w:cs="Arial"/>
          <w:sz w:val="24"/>
          <w:szCs w:val="24"/>
        </w:rPr>
      </w:pPr>
      <w:r>
        <w:rPr>
          <w:rFonts w:ascii="Arial" w:hAnsi="Arial" w:cs="Arial"/>
          <w:sz w:val="24"/>
          <w:szCs w:val="24"/>
        </w:rPr>
        <w:t>A rejeição da hipótese nula do teste indica a existência de cointegração, ou seja, as séries devem seguir um equilíbrio de longo prazo, além da relação visual no gráfico do Capítulo 2.</w:t>
      </w:r>
    </w:p>
    <w:p w14:paraId="447916E7" w14:textId="3B0CF099" w:rsidR="00E40158" w:rsidRPr="00E40158" w:rsidRDefault="00E40158" w:rsidP="00C05C90">
      <w:pPr>
        <w:spacing w:line="360" w:lineRule="auto"/>
        <w:jc w:val="both"/>
        <w:rPr>
          <w:rFonts w:ascii="Arial" w:hAnsi="Arial" w:cs="Arial"/>
          <w:b/>
          <w:bCs/>
          <w:sz w:val="24"/>
          <w:szCs w:val="24"/>
        </w:rPr>
      </w:pPr>
      <w:r w:rsidRPr="00E40158">
        <w:rPr>
          <w:rFonts w:ascii="Arial" w:hAnsi="Arial" w:cs="Arial"/>
          <w:b/>
          <w:bCs/>
          <w:sz w:val="24"/>
          <w:szCs w:val="24"/>
        </w:rPr>
        <w:lastRenderedPageBreak/>
        <w:t>4.2.2 Semiduráveis</w:t>
      </w:r>
    </w:p>
    <w:p w14:paraId="68A94B72" w14:textId="3535A92F" w:rsidR="003F2862" w:rsidRDefault="00E40158" w:rsidP="00C05C90">
      <w:pPr>
        <w:spacing w:line="360" w:lineRule="auto"/>
        <w:jc w:val="both"/>
        <w:rPr>
          <w:rFonts w:ascii="Arial" w:hAnsi="Arial" w:cs="Arial"/>
          <w:sz w:val="24"/>
          <w:szCs w:val="24"/>
        </w:rPr>
      </w:pPr>
      <w:r>
        <w:rPr>
          <w:rFonts w:ascii="Arial" w:hAnsi="Arial" w:cs="Arial"/>
          <w:sz w:val="24"/>
          <w:szCs w:val="24"/>
        </w:rPr>
        <w:t xml:space="preserve">Para os semiduráveis foi feito o teste com a série do Monitor (sdr_sa) e com o </w:t>
      </w:r>
      <w:r w:rsidRPr="00E40158">
        <w:rPr>
          <w:rFonts w:ascii="Arial" w:hAnsi="Arial" w:cs="Arial"/>
          <w:sz w:val="24"/>
          <w:szCs w:val="24"/>
        </w:rPr>
        <w:t>subgrupo “Tecidos, vestuário e calçados”, da PMC</w:t>
      </w:r>
      <w:r>
        <w:rPr>
          <w:rFonts w:ascii="Arial" w:hAnsi="Arial" w:cs="Arial"/>
          <w:sz w:val="24"/>
          <w:szCs w:val="24"/>
        </w:rPr>
        <w:t xml:space="preserve"> (pmc_vest_sa), ambas ajustadas sazonalmente.</w:t>
      </w:r>
    </w:p>
    <w:p w14:paraId="267F6156" w14:textId="7CF6A942" w:rsidR="00C05C90" w:rsidRDefault="00DF3B60" w:rsidP="00C05C90">
      <w:pPr>
        <w:spacing w:line="360" w:lineRule="auto"/>
        <w:jc w:val="both"/>
        <w:rPr>
          <w:rFonts w:ascii="Arial" w:hAnsi="Arial" w:cs="Arial"/>
          <w:sz w:val="24"/>
          <w:szCs w:val="24"/>
        </w:rPr>
      </w:pPr>
      <w:r>
        <w:rPr>
          <w:rFonts w:ascii="Arial" w:hAnsi="Arial" w:cs="Arial"/>
          <w:sz w:val="24"/>
          <w:szCs w:val="24"/>
        </w:rPr>
        <w:t>Nesse caso o teste para a amostra completa (2000 a julho de 2021) não indicou cointegração. O gráficos dos resíduos mostra um descolamento das séries após 2013.</w:t>
      </w:r>
    </w:p>
    <w:p w14:paraId="7FC5F37C" w14:textId="1628883F" w:rsidR="00C05C90" w:rsidRPr="007070F6" w:rsidRDefault="00C05C90" w:rsidP="00C05C90">
      <w:pPr>
        <w:pStyle w:val="Caption"/>
        <w:keepNext/>
        <w:jc w:val="center"/>
        <w:rPr>
          <w:rFonts w:ascii="Arial" w:hAnsi="Arial" w:cs="Arial"/>
          <w:b/>
          <w:bCs/>
          <w:i w:val="0"/>
          <w:iCs w:val="0"/>
          <w:color w:val="auto"/>
          <w:sz w:val="24"/>
          <w:szCs w:val="24"/>
        </w:rPr>
      </w:pPr>
      <w:bookmarkStart w:id="2" w:name="_Ref84787053"/>
      <w:r w:rsidRPr="007070F6">
        <w:rPr>
          <w:rFonts w:ascii="Arial" w:hAnsi="Arial" w:cs="Arial"/>
          <w:b/>
          <w:bCs/>
          <w:i w:val="0"/>
          <w:iCs w:val="0"/>
          <w:color w:val="auto"/>
          <w:sz w:val="24"/>
          <w:szCs w:val="24"/>
        </w:rPr>
        <w:t xml:space="preserve">Figura </w:t>
      </w:r>
      <w:r w:rsidRPr="007070F6">
        <w:rPr>
          <w:rFonts w:ascii="Arial" w:hAnsi="Arial" w:cs="Arial"/>
          <w:b/>
          <w:bCs/>
          <w:i w:val="0"/>
          <w:iCs w:val="0"/>
          <w:color w:val="auto"/>
          <w:sz w:val="24"/>
          <w:szCs w:val="24"/>
        </w:rPr>
        <w:fldChar w:fldCharType="begin"/>
      </w:r>
      <w:r w:rsidRPr="007070F6">
        <w:rPr>
          <w:rFonts w:ascii="Arial" w:hAnsi="Arial" w:cs="Arial"/>
          <w:b/>
          <w:bCs/>
          <w:i w:val="0"/>
          <w:iCs w:val="0"/>
          <w:color w:val="auto"/>
          <w:sz w:val="24"/>
          <w:szCs w:val="24"/>
        </w:rPr>
        <w:instrText xml:space="preserve"> SEQ Figura \* ARABIC </w:instrText>
      </w:r>
      <w:r w:rsidRPr="007070F6">
        <w:rPr>
          <w:rFonts w:ascii="Arial" w:hAnsi="Arial" w:cs="Arial"/>
          <w:b/>
          <w:bCs/>
          <w:i w:val="0"/>
          <w:iCs w:val="0"/>
          <w:color w:val="auto"/>
          <w:sz w:val="24"/>
          <w:szCs w:val="24"/>
        </w:rPr>
        <w:fldChar w:fldCharType="separate"/>
      </w:r>
      <w:r w:rsidR="00DF3B60">
        <w:rPr>
          <w:rFonts w:ascii="Arial" w:hAnsi="Arial" w:cs="Arial"/>
          <w:b/>
          <w:bCs/>
          <w:i w:val="0"/>
          <w:iCs w:val="0"/>
          <w:noProof/>
          <w:color w:val="auto"/>
          <w:sz w:val="24"/>
          <w:szCs w:val="24"/>
        </w:rPr>
        <w:t>2</w:t>
      </w:r>
      <w:r w:rsidRPr="007070F6">
        <w:rPr>
          <w:rFonts w:ascii="Arial" w:hAnsi="Arial" w:cs="Arial"/>
          <w:b/>
          <w:bCs/>
          <w:i w:val="0"/>
          <w:iCs w:val="0"/>
          <w:color w:val="auto"/>
          <w:sz w:val="24"/>
          <w:szCs w:val="24"/>
        </w:rPr>
        <w:fldChar w:fldCharType="end"/>
      </w:r>
      <w:bookmarkEnd w:id="2"/>
      <w:r w:rsidRPr="007070F6">
        <w:rPr>
          <w:rFonts w:ascii="Arial" w:hAnsi="Arial" w:cs="Arial"/>
          <w:b/>
          <w:bCs/>
          <w:i w:val="0"/>
          <w:iCs w:val="0"/>
          <w:color w:val="auto"/>
          <w:sz w:val="24"/>
          <w:szCs w:val="24"/>
        </w:rPr>
        <w:t xml:space="preserve">:Teste de cointegração </w:t>
      </w:r>
      <w:r w:rsidR="00DF3B60">
        <w:rPr>
          <w:rFonts w:ascii="Arial" w:hAnsi="Arial" w:cs="Arial"/>
          <w:b/>
          <w:bCs/>
          <w:i w:val="0"/>
          <w:iCs w:val="0"/>
          <w:color w:val="auto"/>
          <w:sz w:val="24"/>
          <w:szCs w:val="24"/>
        </w:rPr>
        <w:t>Engle-Granger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6"/>
      </w:tblGrid>
      <w:tr w:rsidR="00C05C90" w14:paraId="685E0222" w14:textId="77777777" w:rsidTr="00DF3B60">
        <w:trPr>
          <w:trHeight w:val="3220"/>
          <w:jc w:val="center"/>
        </w:trPr>
        <w:tc>
          <w:tcPr>
            <w:tcW w:w="6846" w:type="dxa"/>
          </w:tcPr>
          <w:p w14:paraId="681AD4AE" w14:textId="4187F2C9" w:rsidR="00C05C90" w:rsidRDefault="00DF3B60" w:rsidP="0045399C">
            <w:pPr>
              <w:keepNext/>
              <w:spacing w:line="360" w:lineRule="auto"/>
              <w:jc w:val="both"/>
              <w:rPr>
                <w:rFonts w:ascii="Arial" w:hAnsi="Arial" w:cs="Arial"/>
                <w:sz w:val="24"/>
                <w:szCs w:val="24"/>
              </w:rPr>
            </w:pPr>
            <w:r>
              <w:rPr>
                <w:noProof/>
              </w:rPr>
              <w:drawing>
                <wp:anchor distT="0" distB="0" distL="114300" distR="114300" simplePos="0" relativeHeight="251673600" behindDoc="0" locked="0" layoutInCell="1" allowOverlap="1" wp14:anchorId="1779F1FF" wp14:editId="44E563F2">
                  <wp:simplePos x="0" y="0"/>
                  <wp:positionH relativeFrom="column">
                    <wp:posOffset>1270</wp:posOffset>
                  </wp:positionH>
                  <wp:positionV relativeFrom="paragraph">
                    <wp:posOffset>0</wp:posOffset>
                  </wp:positionV>
                  <wp:extent cx="4076700" cy="18859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76700" cy="1885950"/>
                          </a:xfrm>
                          <a:prstGeom prst="rect">
                            <a:avLst/>
                          </a:prstGeom>
                        </pic:spPr>
                      </pic:pic>
                    </a:graphicData>
                  </a:graphic>
                </wp:anchor>
              </w:drawing>
            </w:r>
          </w:p>
        </w:tc>
      </w:tr>
    </w:tbl>
    <w:p w14:paraId="7984B3E8" w14:textId="77777777" w:rsidR="00C05C90" w:rsidRPr="007070F6" w:rsidRDefault="00C05C90" w:rsidP="00C05C90">
      <w:pPr>
        <w:pStyle w:val="Caption"/>
        <w:jc w:val="center"/>
        <w:rPr>
          <w:rFonts w:ascii="Arial" w:hAnsi="Arial" w:cs="Arial"/>
          <w:i w:val="0"/>
          <w:iCs w:val="0"/>
          <w:color w:val="auto"/>
          <w:sz w:val="36"/>
          <w:szCs w:val="36"/>
        </w:rPr>
      </w:pPr>
      <w:r w:rsidRPr="007070F6">
        <w:rPr>
          <w:rFonts w:ascii="Arial" w:hAnsi="Arial" w:cs="Arial"/>
          <w:i w:val="0"/>
          <w:iCs w:val="0"/>
          <w:color w:val="auto"/>
          <w:sz w:val="24"/>
          <w:szCs w:val="24"/>
        </w:rPr>
        <w:t xml:space="preserve">Fonte: IBGE, FGV, Cálculos </w:t>
      </w:r>
      <w:r>
        <w:rPr>
          <w:rFonts w:ascii="Arial" w:hAnsi="Arial" w:cs="Arial"/>
          <w:i w:val="0"/>
          <w:iCs w:val="0"/>
          <w:color w:val="auto"/>
          <w:sz w:val="24"/>
          <w:szCs w:val="24"/>
        </w:rPr>
        <w:t>p</w:t>
      </w:r>
      <w:r w:rsidRPr="007070F6">
        <w:rPr>
          <w:rFonts w:ascii="Arial" w:hAnsi="Arial" w:cs="Arial"/>
          <w:i w:val="0"/>
          <w:iCs w:val="0"/>
          <w:color w:val="auto"/>
          <w:sz w:val="24"/>
          <w:szCs w:val="24"/>
        </w:rPr>
        <w:t>róprios</w:t>
      </w:r>
    </w:p>
    <w:p w14:paraId="25704C33" w14:textId="77777777" w:rsidR="00D77C04" w:rsidRDefault="00D77C04" w:rsidP="00DF3B60">
      <w:pPr>
        <w:pStyle w:val="Caption"/>
        <w:keepNext/>
        <w:jc w:val="center"/>
        <w:rPr>
          <w:rFonts w:ascii="Arial" w:hAnsi="Arial" w:cs="Arial"/>
          <w:b/>
          <w:bCs/>
          <w:i w:val="0"/>
          <w:iCs w:val="0"/>
          <w:color w:val="auto"/>
          <w:sz w:val="24"/>
          <w:szCs w:val="24"/>
        </w:rPr>
      </w:pPr>
    </w:p>
    <w:p w14:paraId="07DF0395" w14:textId="1DC83A46" w:rsidR="00DF3B60" w:rsidRPr="007070F6" w:rsidRDefault="00DF3B60" w:rsidP="00DF3B60">
      <w:pPr>
        <w:pStyle w:val="Caption"/>
        <w:keepNext/>
        <w:jc w:val="center"/>
        <w:rPr>
          <w:rFonts w:ascii="Arial" w:hAnsi="Arial" w:cs="Arial"/>
          <w:b/>
          <w:bCs/>
          <w:i w:val="0"/>
          <w:iCs w:val="0"/>
          <w:color w:val="auto"/>
          <w:sz w:val="24"/>
          <w:szCs w:val="24"/>
        </w:rPr>
      </w:pPr>
      <w:r w:rsidRPr="007070F6">
        <w:rPr>
          <w:rFonts w:ascii="Arial" w:hAnsi="Arial" w:cs="Arial"/>
          <w:b/>
          <w:bCs/>
          <w:i w:val="0"/>
          <w:iCs w:val="0"/>
          <w:color w:val="auto"/>
          <w:sz w:val="24"/>
          <w:szCs w:val="24"/>
        </w:rPr>
        <w:t xml:space="preserve">Figura </w:t>
      </w:r>
      <w:r w:rsidRPr="007070F6">
        <w:rPr>
          <w:rFonts w:ascii="Arial" w:hAnsi="Arial" w:cs="Arial"/>
          <w:b/>
          <w:bCs/>
          <w:i w:val="0"/>
          <w:iCs w:val="0"/>
          <w:color w:val="auto"/>
          <w:sz w:val="24"/>
          <w:szCs w:val="24"/>
        </w:rPr>
        <w:fldChar w:fldCharType="begin"/>
      </w:r>
      <w:r w:rsidRPr="007070F6">
        <w:rPr>
          <w:rFonts w:ascii="Arial" w:hAnsi="Arial" w:cs="Arial"/>
          <w:b/>
          <w:bCs/>
          <w:i w:val="0"/>
          <w:iCs w:val="0"/>
          <w:color w:val="auto"/>
          <w:sz w:val="24"/>
          <w:szCs w:val="24"/>
        </w:rPr>
        <w:instrText xml:space="preserve"> SEQ Figura \* ARABIC </w:instrText>
      </w:r>
      <w:r w:rsidRPr="007070F6">
        <w:rPr>
          <w:rFonts w:ascii="Arial" w:hAnsi="Arial" w:cs="Arial"/>
          <w:b/>
          <w:bCs/>
          <w:i w:val="0"/>
          <w:iCs w:val="0"/>
          <w:color w:val="auto"/>
          <w:sz w:val="24"/>
          <w:szCs w:val="24"/>
        </w:rPr>
        <w:fldChar w:fldCharType="separate"/>
      </w:r>
      <w:r>
        <w:rPr>
          <w:rFonts w:ascii="Arial" w:hAnsi="Arial" w:cs="Arial"/>
          <w:b/>
          <w:bCs/>
          <w:i w:val="0"/>
          <w:iCs w:val="0"/>
          <w:noProof/>
          <w:color w:val="auto"/>
          <w:sz w:val="24"/>
          <w:szCs w:val="24"/>
        </w:rPr>
        <w:t>3</w:t>
      </w:r>
      <w:r w:rsidRPr="007070F6">
        <w:rPr>
          <w:rFonts w:ascii="Arial" w:hAnsi="Arial" w:cs="Arial"/>
          <w:b/>
          <w:bCs/>
          <w:i w:val="0"/>
          <w:iCs w:val="0"/>
          <w:color w:val="auto"/>
          <w:sz w:val="24"/>
          <w:szCs w:val="24"/>
        </w:rPr>
        <w:fldChar w:fldCharType="end"/>
      </w:r>
      <w:r w:rsidRPr="007070F6">
        <w:rPr>
          <w:rFonts w:ascii="Arial" w:hAnsi="Arial" w:cs="Arial"/>
          <w:b/>
          <w:bCs/>
          <w:i w:val="0"/>
          <w:iCs w:val="0"/>
          <w:color w:val="auto"/>
          <w:sz w:val="24"/>
          <w:szCs w:val="24"/>
        </w:rPr>
        <w:t>:</w:t>
      </w:r>
      <w:r>
        <w:rPr>
          <w:rFonts w:ascii="Arial" w:hAnsi="Arial" w:cs="Arial"/>
          <w:b/>
          <w:bCs/>
          <w:i w:val="0"/>
          <w:iCs w:val="0"/>
          <w:color w:val="auto"/>
          <w:sz w:val="24"/>
          <w:szCs w:val="24"/>
        </w:rPr>
        <w:t xml:space="preserve"> Resíduos da equação entre o Monitor e PMC</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6"/>
      </w:tblGrid>
      <w:tr w:rsidR="00DF3B60" w14:paraId="39DBF61F" w14:textId="77777777" w:rsidTr="002019E5">
        <w:trPr>
          <w:trHeight w:val="3220"/>
          <w:jc w:val="center"/>
        </w:trPr>
        <w:tc>
          <w:tcPr>
            <w:tcW w:w="6846" w:type="dxa"/>
          </w:tcPr>
          <w:p w14:paraId="11991C36" w14:textId="7B9A6193" w:rsidR="00DF3B60" w:rsidRDefault="00DF3B60" w:rsidP="002019E5">
            <w:pPr>
              <w:keepNext/>
              <w:spacing w:line="360" w:lineRule="auto"/>
              <w:jc w:val="both"/>
              <w:rPr>
                <w:rFonts w:ascii="Arial" w:hAnsi="Arial" w:cs="Arial"/>
                <w:sz w:val="24"/>
                <w:szCs w:val="24"/>
              </w:rPr>
            </w:pPr>
            <w:r w:rsidRPr="00DF3B60">
              <w:rPr>
                <w:rFonts w:ascii="Arial" w:hAnsi="Arial" w:cs="Arial"/>
                <w:noProof/>
                <w:sz w:val="24"/>
                <w:szCs w:val="24"/>
              </w:rPr>
              <w:drawing>
                <wp:anchor distT="0" distB="0" distL="114300" distR="114300" simplePos="0" relativeHeight="251674624" behindDoc="0" locked="0" layoutInCell="1" allowOverlap="1" wp14:anchorId="5CA9F0C3" wp14:editId="79AB3DF4">
                  <wp:simplePos x="0" y="0"/>
                  <wp:positionH relativeFrom="column">
                    <wp:posOffset>1270</wp:posOffset>
                  </wp:positionH>
                  <wp:positionV relativeFrom="paragraph">
                    <wp:posOffset>4445</wp:posOffset>
                  </wp:positionV>
                  <wp:extent cx="4562475" cy="287655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2475" cy="2876550"/>
                          </a:xfrm>
                          <a:prstGeom prst="rect">
                            <a:avLst/>
                          </a:prstGeom>
                          <a:noFill/>
                          <a:ln>
                            <a:noFill/>
                          </a:ln>
                        </pic:spPr>
                      </pic:pic>
                    </a:graphicData>
                  </a:graphic>
                </wp:anchor>
              </w:drawing>
            </w:r>
          </w:p>
        </w:tc>
      </w:tr>
    </w:tbl>
    <w:p w14:paraId="467DC712" w14:textId="77777777" w:rsidR="00DF3B60" w:rsidRPr="007070F6" w:rsidRDefault="00DF3B60" w:rsidP="00DF3B60">
      <w:pPr>
        <w:pStyle w:val="Caption"/>
        <w:jc w:val="center"/>
        <w:rPr>
          <w:rFonts w:ascii="Arial" w:hAnsi="Arial" w:cs="Arial"/>
          <w:i w:val="0"/>
          <w:iCs w:val="0"/>
          <w:color w:val="auto"/>
          <w:sz w:val="36"/>
          <w:szCs w:val="36"/>
        </w:rPr>
      </w:pPr>
      <w:r w:rsidRPr="007070F6">
        <w:rPr>
          <w:rFonts w:ascii="Arial" w:hAnsi="Arial" w:cs="Arial"/>
          <w:i w:val="0"/>
          <w:iCs w:val="0"/>
          <w:color w:val="auto"/>
          <w:sz w:val="24"/>
          <w:szCs w:val="24"/>
        </w:rPr>
        <w:t xml:space="preserve">Fonte: IBGE, FGV, Cálculos </w:t>
      </w:r>
      <w:r>
        <w:rPr>
          <w:rFonts w:ascii="Arial" w:hAnsi="Arial" w:cs="Arial"/>
          <w:i w:val="0"/>
          <w:iCs w:val="0"/>
          <w:color w:val="auto"/>
          <w:sz w:val="24"/>
          <w:szCs w:val="24"/>
        </w:rPr>
        <w:t>p</w:t>
      </w:r>
      <w:r w:rsidRPr="007070F6">
        <w:rPr>
          <w:rFonts w:ascii="Arial" w:hAnsi="Arial" w:cs="Arial"/>
          <w:i w:val="0"/>
          <w:iCs w:val="0"/>
          <w:color w:val="auto"/>
          <w:sz w:val="24"/>
          <w:szCs w:val="24"/>
        </w:rPr>
        <w:t>róprios</w:t>
      </w:r>
    </w:p>
    <w:p w14:paraId="68650563" w14:textId="3974B7BF" w:rsidR="00C05C90" w:rsidRDefault="00C05C90" w:rsidP="00C05C90">
      <w:pPr>
        <w:spacing w:line="360" w:lineRule="auto"/>
        <w:rPr>
          <w:rFonts w:ascii="Arial" w:hAnsi="Arial" w:cs="Arial"/>
          <w:sz w:val="24"/>
          <w:szCs w:val="24"/>
        </w:rPr>
      </w:pPr>
    </w:p>
    <w:p w14:paraId="4DB9E8D6" w14:textId="76BB21FF" w:rsidR="00DF3B60" w:rsidRDefault="00DF3B60" w:rsidP="00C05C90">
      <w:pPr>
        <w:spacing w:line="360" w:lineRule="auto"/>
        <w:rPr>
          <w:rFonts w:ascii="Arial" w:hAnsi="Arial" w:cs="Arial"/>
          <w:sz w:val="24"/>
          <w:szCs w:val="24"/>
        </w:rPr>
      </w:pPr>
      <w:r>
        <w:rPr>
          <w:rFonts w:ascii="Arial" w:hAnsi="Arial" w:cs="Arial"/>
          <w:sz w:val="24"/>
          <w:szCs w:val="24"/>
        </w:rPr>
        <w:t>No entanto, se a amostra for reduzida para 2002-2013, o mesmo teste já acusa cointegração.</w:t>
      </w:r>
    </w:p>
    <w:p w14:paraId="618648C3" w14:textId="77777777" w:rsidR="00DF3B60" w:rsidRDefault="00DF3B60" w:rsidP="00DF3B60">
      <w:pPr>
        <w:spacing w:line="360" w:lineRule="auto"/>
        <w:rPr>
          <w:rFonts w:ascii="Arial" w:hAnsi="Arial" w:cs="Arial"/>
          <w:b/>
          <w:bCs/>
          <w:sz w:val="24"/>
          <w:szCs w:val="24"/>
        </w:rPr>
      </w:pPr>
    </w:p>
    <w:p w14:paraId="77A23AFA" w14:textId="753F936F" w:rsidR="00DF3B60" w:rsidRPr="007070F6" w:rsidRDefault="00DF3B60" w:rsidP="00DF3B60">
      <w:pPr>
        <w:pStyle w:val="Caption"/>
        <w:keepNext/>
        <w:jc w:val="center"/>
        <w:rPr>
          <w:rFonts w:ascii="Arial" w:hAnsi="Arial" w:cs="Arial"/>
          <w:b/>
          <w:bCs/>
          <w:i w:val="0"/>
          <w:iCs w:val="0"/>
          <w:color w:val="auto"/>
          <w:sz w:val="24"/>
          <w:szCs w:val="24"/>
        </w:rPr>
      </w:pPr>
      <w:r w:rsidRPr="007070F6">
        <w:rPr>
          <w:rFonts w:ascii="Arial" w:hAnsi="Arial" w:cs="Arial"/>
          <w:b/>
          <w:bCs/>
          <w:i w:val="0"/>
          <w:iCs w:val="0"/>
          <w:color w:val="auto"/>
          <w:sz w:val="24"/>
          <w:szCs w:val="24"/>
        </w:rPr>
        <w:t xml:space="preserve">Figura </w:t>
      </w:r>
      <w:r w:rsidRPr="007070F6">
        <w:rPr>
          <w:rFonts w:ascii="Arial" w:hAnsi="Arial" w:cs="Arial"/>
          <w:b/>
          <w:bCs/>
          <w:i w:val="0"/>
          <w:iCs w:val="0"/>
          <w:color w:val="auto"/>
          <w:sz w:val="24"/>
          <w:szCs w:val="24"/>
        </w:rPr>
        <w:fldChar w:fldCharType="begin"/>
      </w:r>
      <w:r w:rsidRPr="007070F6">
        <w:rPr>
          <w:rFonts w:ascii="Arial" w:hAnsi="Arial" w:cs="Arial"/>
          <w:b/>
          <w:bCs/>
          <w:i w:val="0"/>
          <w:iCs w:val="0"/>
          <w:color w:val="auto"/>
          <w:sz w:val="24"/>
          <w:szCs w:val="24"/>
        </w:rPr>
        <w:instrText xml:space="preserve"> SEQ Figura \* ARABIC </w:instrText>
      </w:r>
      <w:r w:rsidRPr="007070F6">
        <w:rPr>
          <w:rFonts w:ascii="Arial" w:hAnsi="Arial" w:cs="Arial"/>
          <w:b/>
          <w:bCs/>
          <w:i w:val="0"/>
          <w:iCs w:val="0"/>
          <w:color w:val="auto"/>
          <w:sz w:val="24"/>
          <w:szCs w:val="24"/>
        </w:rPr>
        <w:fldChar w:fldCharType="separate"/>
      </w:r>
      <w:r>
        <w:rPr>
          <w:rFonts w:ascii="Arial" w:hAnsi="Arial" w:cs="Arial"/>
          <w:b/>
          <w:bCs/>
          <w:i w:val="0"/>
          <w:iCs w:val="0"/>
          <w:noProof/>
          <w:color w:val="auto"/>
          <w:sz w:val="24"/>
          <w:szCs w:val="24"/>
        </w:rPr>
        <w:t>3</w:t>
      </w:r>
      <w:r w:rsidRPr="007070F6">
        <w:rPr>
          <w:rFonts w:ascii="Arial" w:hAnsi="Arial" w:cs="Arial"/>
          <w:b/>
          <w:bCs/>
          <w:i w:val="0"/>
          <w:iCs w:val="0"/>
          <w:color w:val="auto"/>
          <w:sz w:val="24"/>
          <w:szCs w:val="24"/>
        </w:rPr>
        <w:fldChar w:fldCharType="end"/>
      </w:r>
      <w:r w:rsidRPr="007070F6">
        <w:rPr>
          <w:rFonts w:ascii="Arial" w:hAnsi="Arial" w:cs="Arial"/>
          <w:b/>
          <w:bCs/>
          <w:i w:val="0"/>
          <w:iCs w:val="0"/>
          <w:color w:val="auto"/>
          <w:sz w:val="24"/>
          <w:szCs w:val="24"/>
        </w:rPr>
        <w:t>:</w:t>
      </w:r>
      <w:r>
        <w:rPr>
          <w:rFonts w:ascii="Arial" w:hAnsi="Arial" w:cs="Arial"/>
          <w:b/>
          <w:bCs/>
          <w:i w:val="0"/>
          <w:iCs w:val="0"/>
          <w:color w:val="auto"/>
          <w:sz w:val="24"/>
          <w:szCs w:val="24"/>
        </w:rPr>
        <w:t xml:space="preserve"> </w:t>
      </w:r>
      <w:r w:rsidRPr="007070F6">
        <w:rPr>
          <w:rFonts w:ascii="Arial" w:hAnsi="Arial" w:cs="Arial"/>
          <w:b/>
          <w:bCs/>
          <w:i w:val="0"/>
          <w:iCs w:val="0"/>
          <w:color w:val="auto"/>
          <w:sz w:val="24"/>
          <w:szCs w:val="24"/>
        </w:rPr>
        <w:t xml:space="preserve">Teste de cointegração </w:t>
      </w:r>
      <w:r>
        <w:rPr>
          <w:rFonts w:ascii="Arial" w:hAnsi="Arial" w:cs="Arial"/>
          <w:b/>
          <w:bCs/>
          <w:i w:val="0"/>
          <w:iCs w:val="0"/>
          <w:color w:val="auto"/>
          <w:sz w:val="24"/>
          <w:szCs w:val="24"/>
        </w:rPr>
        <w:t>Engle-Granger</w:t>
      </w:r>
      <w:r>
        <w:rPr>
          <w:rFonts w:ascii="Arial" w:hAnsi="Arial" w:cs="Arial"/>
          <w:b/>
          <w:bCs/>
          <w:i w:val="0"/>
          <w:iCs w:val="0"/>
          <w:color w:val="auto"/>
          <w:sz w:val="24"/>
          <w:szCs w:val="24"/>
        </w:rPr>
        <w:t xml:space="preserve"> com amostra ajustada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6"/>
      </w:tblGrid>
      <w:tr w:rsidR="00DF3B60" w14:paraId="7072BD33" w14:textId="77777777" w:rsidTr="002019E5">
        <w:trPr>
          <w:trHeight w:val="3220"/>
          <w:jc w:val="center"/>
        </w:trPr>
        <w:tc>
          <w:tcPr>
            <w:tcW w:w="6846" w:type="dxa"/>
          </w:tcPr>
          <w:p w14:paraId="25BD765E" w14:textId="0142628A" w:rsidR="00DF3B60" w:rsidRDefault="00DF3B60" w:rsidP="002019E5">
            <w:pPr>
              <w:keepNext/>
              <w:spacing w:line="360" w:lineRule="auto"/>
              <w:jc w:val="both"/>
              <w:rPr>
                <w:rFonts w:ascii="Arial" w:hAnsi="Arial" w:cs="Arial"/>
                <w:sz w:val="24"/>
                <w:szCs w:val="24"/>
              </w:rPr>
            </w:pPr>
            <w:r>
              <w:rPr>
                <w:noProof/>
              </w:rPr>
              <w:drawing>
                <wp:anchor distT="0" distB="0" distL="114300" distR="114300" simplePos="0" relativeHeight="251675648" behindDoc="0" locked="0" layoutInCell="1" allowOverlap="1" wp14:anchorId="6ACAEEA5" wp14:editId="56E92C0D">
                  <wp:simplePos x="0" y="0"/>
                  <wp:positionH relativeFrom="column">
                    <wp:posOffset>1270</wp:posOffset>
                  </wp:positionH>
                  <wp:positionV relativeFrom="paragraph">
                    <wp:posOffset>0</wp:posOffset>
                  </wp:positionV>
                  <wp:extent cx="4076700" cy="1876425"/>
                  <wp:effectExtent l="0" t="0" r="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76700" cy="1876425"/>
                          </a:xfrm>
                          <a:prstGeom prst="rect">
                            <a:avLst/>
                          </a:prstGeom>
                        </pic:spPr>
                      </pic:pic>
                    </a:graphicData>
                  </a:graphic>
                </wp:anchor>
              </w:drawing>
            </w:r>
          </w:p>
        </w:tc>
      </w:tr>
    </w:tbl>
    <w:p w14:paraId="7CD1518C" w14:textId="77777777" w:rsidR="00DF3B60" w:rsidRPr="007070F6" w:rsidRDefault="00DF3B60" w:rsidP="00DF3B60">
      <w:pPr>
        <w:pStyle w:val="Caption"/>
        <w:jc w:val="center"/>
        <w:rPr>
          <w:rFonts w:ascii="Arial" w:hAnsi="Arial" w:cs="Arial"/>
          <w:i w:val="0"/>
          <w:iCs w:val="0"/>
          <w:color w:val="auto"/>
          <w:sz w:val="36"/>
          <w:szCs w:val="36"/>
        </w:rPr>
      </w:pPr>
      <w:r w:rsidRPr="007070F6">
        <w:rPr>
          <w:rFonts w:ascii="Arial" w:hAnsi="Arial" w:cs="Arial"/>
          <w:i w:val="0"/>
          <w:iCs w:val="0"/>
          <w:color w:val="auto"/>
          <w:sz w:val="24"/>
          <w:szCs w:val="24"/>
        </w:rPr>
        <w:t xml:space="preserve">Fonte: IBGE, FGV, Cálculos </w:t>
      </w:r>
      <w:r>
        <w:rPr>
          <w:rFonts w:ascii="Arial" w:hAnsi="Arial" w:cs="Arial"/>
          <w:i w:val="0"/>
          <w:iCs w:val="0"/>
          <w:color w:val="auto"/>
          <w:sz w:val="24"/>
          <w:szCs w:val="24"/>
        </w:rPr>
        <w:t>p</w:t>
      </w:r>
      <w:r w:rsidRPr="007070F6">
        <w:rPr>
          <w:rFonts w:ascii="Arial" w:hAnsi="Arial" w:cs="Arial"/>
          <w:i w:val="0"/>
          <w:iCs w:val="0"/>
          <w:color w:val="auto"/>
          <w:sz w:val="24"/>
          <w:szCs w:val="24"/>
        </w:rPr>
        <w:t>róprios</w:t>
      </w:r>
    </w:p>
    <w:p w14:paraId="0414260E" w14:textId="77777777" w:rsidR="00DF3B60" w:rsidRDefault="00DF3B60" w:rsidP="00C05C90">
      <w:pPr>
        <w:spacing w:line="360" w:lineRule="auto"/>
        <w:rPr>
          <w:rFonts w:ascii="Arial" w:hAnsi="Arial" w:cs="Arial"/>
          <w:sz w:val="24"/>
          <w:szCs w:val="24"/>
        </w:rPr>
      </w:pPr>
    </w:p>
    <w:p w14:paraId="068C8A8C" w14:textId="0985037D" w:rsidR="00C05C90" w:rsidRDefault="00DF3B60" w:rsidP="00C05C90">
      <w:pPr>
        <w:spacing w:line="360" w:lineRule="auto"/>
        <w:jc w:val="both"/>
        <w:rPr>
          <w:rFonts w:ascii="Arial" w:hAnsi="Arial" w:cs="Arial"/>
          <w:sz w:val="24"/>
          <w:szCs w:val="24"/>
        </w:rPr>
      </w:pPr>
      <w:r w:rsidRPr="00DF3B60">
        <w:rPr>
          <w:rFonts w:ascii="Arial" w:hAnsi="Arial" w:cs="Arial"/>
          <w:sz w:val="24"/>
          <w:szCs w:val="24"/>
        </w:rPr>
        <w:t>Apesar</w:t>
      </w:r>
      <w:r>
        <w:rPr>
          <w:rFonts w:ascii="Arial" w:hAnsi="Arial" w:cs="Arial"/>
          <w:sz w:val="24"/>
          <w:szCs w:val="24"/>
        </w:rPr>
        <w:t xml:space="preserve"> do descolamento das séries ao final da amostra, as séries mostram, segundo o gráfico do Capítulo 2, uma relação mais forte de curto prazo mas não necessariamente de longo prazo.</w:t>
      </w:r>
    </w:p>
    <w:p w14:paraId="4EE39459" w14:textId="0BBEEE2E" w:rsidR="00DF3B60" w:rsidRDefault="00DF3B60" w:rsidP="00C05C90">
      <w:pPr>
        <w:spacing w:line="360" w:lineRule="auto"/>
        <w:jc w:val="both"/>
        <w:rPr>
          <w:rFonts w:ascii="Arial" w:hAnsi="Arial" w:cs="Arial"/>
          <w:sz w:val="24"/>
          <w:szCs w:val="24"/>
        </w:rPr>
      </w:pPr>
    </w:p>
    <w:p w14:paraId="34B40D1A" w14:textId="79C95C6A" w:rsidR="00DF3B60" w:rsidRPr="00E40158" w:rsidRDefault="00DF3B60" w:rsidP="00DF3B60">
      <w:pPr>
        <w:spacing w:line="360" w:lineRule="auto"/>
        <w:jc w:val="both"/>
        <w:rPr>
          <w:rFonts w:ascii="Arial" w:hAnsi="Arial" w:cs="Arial"/>
          <w:b/>
          <w:bCs/>
          <w:sz w:val="24"/>
          <w:szCs w:val="24"/>
        </w:rPr>
      </w:pPr>
      <w:r w:rsidRPr="00E40158">
        <w:rPr>
          <w:rFonts w:ascii="Arial" w:hAnsi="Arial" w:cs="Arial"/>
          <w:b/>
          <w:bCs/>
          <w:sz w:val="24"/>
          <w:szCs w:val="24"/>
        </w:rPr>
        <w:t>4.2.</w:t>
      </w:r>
      <w:r>
        <w:rPr>
          <w:rFonts w:ascii="Arial" w:hAnsi="Arial" w:cs="Arial"/>
          <w:b/>
          <w:bCs/>
          <w:sz w:val="24"/>
          <w:szCs w:val="24"/>
        </w:rPr>
        <w:t>3</w:t>
      </w:r>
      <w:r w:rsidRPr="00E40158">
        <w:rPr>
          <w:rFonts w:ascii="Arial" w:hAnsi="Arial" w:cs="Arial"/>
          <w:b/>
          <w:bCs/>
          <w:sz w:val="24"/>
          <w:szCs w:val="24"/>
        </w:rPr>
        <w:t xml:space="preserve"> </w:t>
      </w:r>
      <w:r>
        <w:rPr>
          <w:rFonts w:ascii="Arial" w:hAnsi="Arial" w:cs="Arial"/>
          <w:b/>
          <w:bCs/>
          <w:sz w:val="24"/>
          <w:szCs w:val="24"/>
        </w:rPr>
        <w:t>Duráveis</w:t>
      </w:r>
    </w:p>
    <w:p w14:paraId="36C41801" w14:textId="31E6C32D" w:rsidR="00DF3B60" w:rsidRPr="00DF3B60" w:rsidRDefault="004C3791" w:rsidP="00C05C90">
      <w:pPr>
        <w:spacing w:line="360" w:lineRule="auto"/>
        <w:jc w:val="both"/>
        <w:rPr>
          <w:rFonts w:ascii="Arial" w:hAnsi="Arial" w:cs="Arial"/>
          <w:sz w:val="24"/>
          <w:szCs w:val="24"/>
        </w:rPr>
      </w:pPr>
      <w:r>
        <w:rPr>
          <w:rFonts w:ascii="Arial" w:hAnsi="Arial" w:cs="Arial"/>
          <w:sz w:val="24"/>
          <w:szCs w:val="24"/>
        </w:rPr>
        <w:t>Para o grupo dos Duráveis</w:t>
      </w:r>
      <w:r w:rsidR="008A582D">
        <w:rPr>
          <w:rFonts w:ascii="Arial" w:hAnsi="Arial" w:cs="Arial"/>
          <w:sz w:val="24"/>
          <w:szCs w:val="24"/>
        </w:rPr>
        <w:t xml:space="preserve"> (drb_sa)</w:t>
      </w:r>
      <w:r>
        <w:rPr>
          <w:rFonts w:ascii="Arial" w:hAnsi="Arial" w:cs="Arial"/>
          <w:sz w:val="24"/>
          <w:szCs w:val="24"/>
        </w:rPr>
        <w:t xml:space="preserve"> foram escolhidos dois grupos da PMC, </w:t>
      </w:r>
      <w:r>
        <w:rPr>
          <w:rFonts w:ascii="Arial" w:hAnsi="Arial" w:cs="Arial"/>
          <w:sz w:val="24"/>
          <w:szCs w:val="24"/>
        </w:rPr>
        <w:t>“Móveis e eletrodomésticos”</w:t>
      </w:r>
      <w:r w:rsidR="008A582D">
        <w:rPr>
          <w:rFonts w:ascii="Arial" w:hAnsi="Arial" w:cs="Arial"/>
          <w:sz w:val="24"/>
          <w:szCs w:val="24"/>
        </w:rPr>
        <w:t xml:space="preserve"> (mv_sa)</w:t>
      </w:r>
      <w:r>
        <w:rPr>
          <w:rFonts w:ascii="Arial" w:hAnsi="Arial" w:cs="Arial"/>
          <w:sz w:val="24"/>
          <w:szCs w:val="24"/>
        </w:rPr>
        <w:t xml:space="preserve"> e “Veículos, motocicletas, partes e peças”</w:t>
      </w:r>
      <w:r w:rsidR="008A582D">
        <w:rPr>
          <w:rFonts w:ascii="Arial" w:hAnsi="Arial" w:cs="Arial"/>
          <w:sz w:val="24"/>
          <w:szCs w:val="24"/>
        </w:rPr>
        <w:t xml:space="preserve"> (veic_sa), todos ajustados sazonalmente</w:t>
      </w:r>
      <w:r>
        <w:rPr>
          <w:rFonts w:ascii="Arial" w:hAnsi="Arial" w:cs="Arial"/>
          <w:sz w:val="24"/>
          <w:szCs w:val="24"/>
        </w:rPr>
        <w:t>.</w:t>
      </w:r>
      <w:r>
        <w:rPr>
          <w:rFonts w:ascii="Arial" w:hAnsi="Arial" w:cs="Arial"/>
          <w:sz w:val="24"/>
          <w:szCs w:val="24"/>
        </w:rPr>
        <w:t xml:space="preserve"> Ambos mostraram uma relação próxima de curto prazo</w:t>
      </w:r>
      <w:r w:rsidR="008A582D">
        <w:rPr>
          <w:rFonts w:ascii="Arial" w:hAnsi="Arial" w:cs="Arial"/>
          <w:sz w:val="24"/>
          <w:szCs w:val="24"/>
        </w:rPr>
        <w:t xml:space="preserve"> com o Monitor</w:t>
      </w:r>
      <w:r>
        <w:rPr>
          <w:rFonts w:ascii="Arial" w:hAnsi="Arial" w:cs="Arial"/>
          <w:sz w:val="24"/>
          <w:szCs w:val="24"/>
        </w:rPr>
        <w:t>, pelo menos graficamente.</w:t>
      </w:r>
    </w:p>
    <w:p w14:paraId="0400ED36" w14:textId="2BCE6F14" w:rsidR="00DF3B60" w:rsidRDefault="008A582D" w:rsidP="00C05C90">
      <w:pPr>
        <w:spacing w:line="360" w:lineRule="auto"/>
        <w:jc w:val="both"/>
        <w:rPr>
          <w:rFonts w:ascii="Arial" w:hAnsi="Arial" w:cs="Arial"/>
          <w:sz w:val="24"/>
          <w:szCs w:val="24"/>
        </w:rPr>
      </w:pPr>
      <w:r>
        <w:rPr>
          <w:rFonts w:ascii="Arial" w:hAnsi="Arial" w:cs="Arial"/>
          <w:sz w:val="24"/>
          <w:szCs w:val="24"/>
        </w:rPr>
        <w:t>No entanto, o teste indica cointegração apenas com a série de veículos, que compreende um pouco mais de 50% dos duráveis, aos pesos de janeiro de 2020 no IPCA. Já móveis e eletrodomésticos somam um pouco menos de 30%.</w:t>
      </w:r>
    </w:p>
    <w:p w14:paraId="29881D45" w14:textId="74126D89" w:rsidR="008A582D" w:rsidRDefault="008A582D" w:rsidP="00C05C90">
      <w:pPr>
        <w:spacing w:line="360" w:lineRule="auto"/>
        <w:jc w:val="both"/>
        <w:rPr>
          <w:rFonts w:ascii="Arial" w:hAnsi="Arial" w:cs="Arial"/>
          <w:sz w:val="24"/>
          <w:szCs w:val="24"/>
        </w:rPr>
      </w:pPr>
      <w:r>
        <w:rPr>
          <w:rFonts w:ascii="Arial" w:hAnsi="Arial" w:cs="Arial"/>
          <w:sz w:val="24"/>
          <w:szCs w:val="24"/>
        </w:rPr>
        <w:t>Todavia, todos indicam boa relação de curto, mas apenas a série de veículos aparenta ter um equilíbrio de longo prazo.</w:t>
      </w:r>
    </w:p>
    <w:p w14:paraId="02010A59" w14:textId="77777777" w:rsidR="00D77C04" w:rsidRDefault="00D77C04" w:rsidP="00C05C90">
      <w:pPr>
        <w:spacing w:line="360" w:lineRule="auto"/>
        <w:jc w:val="both"/>
        <w:rPr>
          <w:rFonts w:ascii="Arial" w:hAnsi="Arial" w:cs="Arial"/>
          <w:sz w:val="24"/>
          <w:szCs w:val="24"/>
        </w:rPr>
      </w:pPr>
    </w:p>
    <w:p w14:paraId="4C162B3E" w14:textId="77777777" w:rsidR="008A582D" w:rsidRPr="007070F6" w:rsidRDefault="008A582D" w:rsidP="008A582D">
      <w:pPr>
        <w:pStyle w:val="Caption"/>
        <w:keepNext/>
        <w:jc w:val="center"/>
        <w:rPr>
          <w:rFonts w:ascii="Arial" w:hAnsi="Arial" w:cs="Arial"/>
          <w:b/>
          <w:bCs/>
          <w:i w:val="0"/>
          <w:iCs w:val="0"/>
          <w:color w:val="auto"/>
          <w:sz w:val="24"/>
          <w:szCs w:val="24"/>
        </w:rPr>
      </w:pPr>
      <w:r w:rsidRPr="007070F6">
        <w:rPr>
          <w:rFonts w:ascii="Arial" w:hAnsi="Arial" w:cs="Arial"/>
          <w:b/>
          <w:bCs/>
          <w:i w:val="0"/>
          <w:iCs w:val="0"/>
          <w:color w:val="auto"/>
          <w:sz w:val="24"/>
          <w:szCs w:val="24"/>
        </w:rPr>
        <w:t xml:space="preserve">Figura </w:t>
      </w:r>
      <w:r w:rsidRPr="007070F6">
        <w:rPr>
          <w:rFonts w:ascii="Arial" w:hAnsi="Arial" w:cs="Arial"/>
          <w:b/>
          <w:bCs/>
          <w:i w:val="0"/>
          <w:iCs w:val="0"/>
          <w:color w:val="auto"/>
          <w:sz w:val="24"/>
          <w:szCs w:val="24"/>
        </w:rPr>
        <w:fldChar w:fldCharType="begin"/>
      </w:r>
      <w:r w:rsidRPr="007070F6">
        <w:rPr>
          <w:rFonts w:ascii="Arial" w:hAnsi="Arial" w:cs="Arial"/>
          <w:b/>
          <w:bCs/>
          <w:i w:val="0"/>
          <w:iCs w:val="0"/>
          <w:color w:val="auto"/>
          <w:sz w:val="24"/>
          <w:szCs w:val="24"/>
        </w:rPr>
        <w:instrText xml:space="preserve"> SEQ Figura \* ARABIC </w:instrText>
      </w:r>
      <w:r w:rsidRPr="007070F6">
        <w:rPr>
          <w:rFonts w:ascii="Arial" w:hAnsi="Arial" w:cs="Arial"/>
          <w:b/>
          <w:bCs/>
          <w:i w:val="0"/>
          <w:iCs w:val="0"/>
          <w:color w:val="auto"/>
          <w:sz w:val="24"/>
          <w:szCs w:val="24"/>
        </w:rPr>
        <w:fldChar w:fldCharType="separate"/>
      </w:r>
      <w:r>
        <w:rPr>
          <w:rFonts w:ascii="Arial" w:hAnsi="Arial" w:cs="Arial"/>
          <w:b/>
          <w:bCs/>
          <w:i w:val="0"/>
          <w:iCs w:val="0"/>
          <w:noProof/>
          <w:color w:val="auto"/>
          <w:sz w:val="24"/>
          <w:szCs w:val="24"/>
        </w:rPr>
        <w:t>2</w:t>
      </w:r>
      <w:r w:rsidRPr="007070F6">
        <w:rPr>
          <w:rFonts w:ascii="Arial" w:hAnsi="Arial" w:cs="Arial"/>
          <w:b/>
          <w:bCs/>
          <w:i w:val="0"/>
          <w:iCs w:val="0"/>
          <w:color w:val="auto"/>
          <w:sz w:val="24"/>
          <w:szCs w:val="24"/>
        </w:rPr>
        <w:fldChar w:fldCharType="end"/>
      </w:r>
      <w:r w:rsidRPr="007070F6">
        <w:rPr>
          <w:rFonts w:ascii="Arial" w:hAnsi="Arial" w:cs="Arial"/>
          <w:b/>
          <w:bCs/>
          <w:i w:val="0"/>
          <w:iCs w:val="0"/>
          <w:color w:val="auto"/>
          <w:sz w:val="24"/>
          <w:szCs w:val="24"/>
        </w:rPr>
        <w:t xml:space="preserve">:Teste de cointegração </w:t>
      </w:r>
      <w:r>
        <w:rPr>
          <w:rFonts w:ascii="Arial" w:hAnsi="Arial" w:cs="Arial"/>
          <w:b/>
          <w:bCs/>
          <w:i w:val="0"/>
          <w:iCs w:val="0"/>
          <w:color w:val="auto"/>
          <w:sz w:val="24"/>
          <w:szCs w:val="24"/>
        </w:rPr>
        <w:t>Engle-Granger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6"/>
      </w:tblGrid>
      <w:tr w:rsidR="008A582D" w14:paraId="6C98ED76" w14:textId="77777777" w:rsidTr="002019E5">
        <w:trPr>
          <w:trHeight w:val="3220"/>
          <w:jc w:val="center"/>
        </w:trPr>
        <w:tc>
          <w:tcPr>
            <w:tcW w:w="6846" w:type="dxa"/>
          </w:tcPr>
          <w:p w14:paraId="0985C9BC" w14:textId="7656086A" w:rsidR="008A582D" w:rsidRDefault="008A582D" w:rsidP="002019E5">
            <w:pPr>
              <w:keepNext/>
              <w:spacing w:line="360" w:lineRule="auto"/>
              <w:jc w:val="both"/>
              <w:rPr>
                <w:rFonts w:ascii="Arial" w:hAnsi="Arial" w:cs="Arial"/>
                <w:sz w:val="24"/>
                <w:szCs w:val="24"/>
              </w:rPr>
            </w:pPr>
            <w:r>
              <w:rPr>
                <w:noProof/>
              </w:rPr>
              <w:drawing>
                <wp:anchor distT="0" distB="0" distL="114300" distR="114300" simplePos="0" relativeHeight="251676672" behindDoc="0" locked="0" layoutInCell="1" allowOverlap="1" wp14:anchorId="5D8DBAC0" wp14:editId="3B5AF7CB">
                  <wp:simplePos x="0" y="0"/>
                  <wp:positionH relativeFrom="column">
                    <wp:posOffset>1270</wp:posOffset>
                  </wp:positionH>
                  <wp:positionV relativeFrom="paragraph">
                    <wp:posOffset>0</wp:posOffset>
                  </wp:positionV>
                  <wp:extent cx="4095750" cy="20002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95750" cy="2000250"/>
                          </a:xfrm>
                          <a:prstGeom prst="rect">
                            <a:avLst/>
                          </a:prstGeom>
                        </pic:spPr>
                      </pic:pic>
                    </a:graphicData>
                  </a:graphic>
                </wp:anchor>
              </w:drawing>
            </w:r>
          </w:p>
        </w:tc>
      </w:tr>
    </w:tbl>
    <w:p w14:paraId="41DAC29A" w14:textId="77777777" w:rsidR="008A582D" w:rsidRPr="007070F6" w:rsidRDefault="008A582D" w:rsidP="008A582D">
      <w:pPr>
        <w:pStyle w:val="Caption"/>
        <w:jc w:val="center"/>
        <w:rPr>
          <w:rFonts w:ascii="Arial" w:hAnsi="Arial" w:cs="Arial"/>
          <w:i w:val="0"/>
          <w:iCs w:val="0"/>
          <w:color w:val="auto"/>
          <w:sz w:val="36"/>
          <w:szCs w:val="36"/>
        </w:rPr>
      </w:pPr>
      <w:r w:rsidRPr="007070F6">
        <w:rPr>
          <w:rFonts w:ascii="Arial" w:hAnsi="Arial" w:cs="Arial"/>
          <w:i w:val="0"/>
          <w:iCs w:val="0"/>
          <w:color w:val="auto"/>
          <w:sz w:val="24"/>
          <w:szCs w:val="24"/>
        </w:rPr>
        <w:t xml:space="preserve">Fonte: IBGE, FGV, Cálculos </w:t>
      </w:r>
      <w:r>
        <w:rPr>
          <w:rFonts w:ascii="Arial" w:hAnsi="Arial" w:cs="Arial"/>
          <w:i w:val="0"/>
          <w:iCs w:val="0"/>
          <w:color w:val="auto"/>
          <w:sz w:val="24"/>
          <w:szCs w:val="24"/>
        </w:rPr>
        <w:t>p</w:t>
      </w:r>
      <w:r w:rsidRPr="007070F6">
        <w:rPr>
          <w:rFonts w:ascii="Arial" w:hAnsi="Arial" w:cs="Arial"/>
          <w:i w:val="0"/>
          <w:iCs w:val="0"/>
          <w:color w:val="auto"/>
          <w:sz w:val="24"/>
          <w:szCs w:val="24"/>
        </w:rPr>
        <w:t>róprios</w:t>
      </w:r>
    </w:p>
    <w:p w14:paraId="2A7B923D" w14:textId="2BE109E1" w:rsidR="008A582D" w:rsidRDefault="008A582D" w:rsidP="00C05C90">
      <w:pPr>
        <w:spacing w:line="360" w:lineRule="auto"/>
        <w:jc w:val="both"/>
        <w:rPr>
          <w:rFonts w:ascii="Arial" w:hAnsi="Arial" w:cs="Arial"/>
          <w:sz w:val="24"/>
          <w:szCs w:val="24"/>
        </w:rPr>
      </w:pPr>
    </w:p>
    <w:p w14:paraId="7344BC20" w14:textId="047CC9D2" w:rsidR="008A582D" w:rsidRPr="008A582D" w:rsidRDefault="008A582D" w:rsidP="00C05C90">
      <w:pPr>
        <w:spacing w:line="360" w:lineRule="auto"/>
        <w:jc w:val="both"/>
        <w:rPr>
          <w:rFonts w:ascii="Arial" w:hAnsi="Arial" w:cs="Arial"/>
          <w:b/>
          <w:bCs/>
          <w:sz w:val="24"/>
          <w:szCs w:val="24"/>
        </w:rPr>
      </w:pPr>
      <w:r w:rsidRPr="008A582D">
        <w:rPr>
          <w:rFonts w:ascii="Arial" w:hAnsi="Arial" w:cs="Arial"/>
          <w:b/>
          <w:bCs/>
          <w:sz w:val="24"/>
          <w:szCs w:val="24"/>
        </w:rPr>
        <w:t>4.2.4 Serviços</w:t>
      </w:r>
    </w:p>
    <w:p w14:paraId="44AA185E" w14:textId="63D2A346" w:rsidR="00D77C04" w:rsidRDefault="008A582D" w:rsidP="00C05C90">
      <w:pPr>
        <w:spacing w:line="360" w:lineRule="auto"/>
        <w:jc w:val="both"/>
        <w:rPr>
          <w:rFonts w:ascii="Arial" w:hAnsi="Arial" w:cs="Arial"/>
          <w:sz w:val="24"/>
          <w:szCs w:val="24"/>
        </w:rPr>
      </w:pPr>
      <w:r>
        <w:rPr>
          <w:rFonts w:ascii="Arial" w:hAnsi="Arial" w:cs="Arial"/>
          <w:sz w:val="24"/>
          <w:szCs w:val="24"/>
        </w:rPr>
        <w:t xml:space="preserve">Por último, para o grupo de Serviços (srv_sa) foi utilizada a série da PMS (pms_sa), como explicado no Capítulo 2. O teste com ambas as séries ajustadas sazonalmente </w:t>
      </w:r>
      <w:r w:rsidR="001905D9">
        <w:rPr>
          <w:rFonts w:ascii="Arial" w:hAnsi="Arial" w:cs="Arial"/>
          <w:sz w:val="24"/>
          <w:szCs w:val="24"/>
        </w:rPr>
        <w:t>não indica cointegração, apesar da relação de curto prazo parecer existir graficamente. Isso pode se dar ao fato da série da PMS ser menor em relação à PMC; a primeira começa em 2011 enquanto a segunda existe desde 2000. Um teste para detectar uma relação de cointegração, que é de longo prazo, com uma série com menos de 10 anos de dados pode apresentar resultados não desejáveis. Por esse motivo, os resultados desse teste em específico possuem menor importância que os outros.</w:t>
      </w:r>
    </w:p>
    <w:p w14:paraId="6DFF231D" w14:textId="77777777" w:rsidR="001905D9" w:rsidRPr="007070F6" w:rsidRDefault="001905D9" w:rsidP="001905D9">
      <w:pPr>
        <w:pStyle w:val="Caption"/>
        <w:keepNext/>
        <w:jc w:val="center"/>
        <w:rPr>
          <w:rFonts w:ascii="Arial" w:hAnsi="Arial" w:cs="Arial"/>
          <w:b/>
          <w:bCs/>
          <w:i w:val="0"/>
          <w:iCs w:val="0"/>
          <w:color w:val="auto"/>
          <w:sz w:val="24"/>
          <w:szCs w:val="24"/>
        </w:rPr>
      </w:pPr>
      <w:r w:rsidRPr="007070F6">
        <w:rPr>
          <w:rFonts w:ascii="Arial" w:hAnsi="Arial" w:cs="Arial"/>
          <w:b/>
          <w:bCs/>
          <w:i w:val="0"/>
          <w:iCs w:val="0"/>
          <w:color w:val="auto"/>
          <w:sz w:val="24"/>
          <w:szCs w:val="24"/>
        </w:rPr>
        <w:lastRenderedPageBreak/>
        <w:t xml:space="preserve">Figura </w:t>
      </w:r>
      <w:r w:rsidRPr="007070F6">
        <w:rPr>
          <w:rFonts w:ascii="Arial" w:hAnsi="Arial" w:cs="Arial"/>
          <w:b/>
          <w:bCs/>
          <w:i w:val="0"/>
          <w:iCs w:val="0"/>
          <w:color w:val="auto"/>
          <w:sz w:val="24"/>
          <w:szCs w:val="24"/>
        </w:rPr>
        <w:fldChar w:fldCharType="begin"/>
      </w:r>
      <w:r w:rsidRPr="007070F6">
        <w:rPr>
          <w:rFonts w:ascii="Arial" w:hAnsi="Arial" w:cs="Arial"/>
          <w:b/>
          <w:bCs/>
          <w:i w:val="0"/>
          <w:iCs w:val="0"/>
          <w:color w:val="auto"/>
          <w:sz w:val="24"/>
          <w:szCs w:val="24"/>
        </w:rPr>
        <w:instrText xml:space="preserve"> SEQ Figura \* ARABIC </w:instrText>
      </w:r>
      <w:r w:rsidRPr="007070F6">
        <w:rPr>
          <w:rFonts w:ascii="Arial" w:hAnsi="Arial" w:cs="Arial"/>
          <w:b/>
          <w:bCs/>
          <w:i w:val="0"/>
          <w:iCs w:val="0"/>
          <w:color w:val="auto"/>
          <w:sz w:val="24"/>
          <w:szCs w:val="24"/>
        </w:rPr>
        <w:fldChar w:fldCharType="separate"/>
      </w:r>
      <w:r>
        <w:rPr>
          <w:rFonts w:ascii="Arial" w:hAnsi="Arial" w:cs="Arial"/>
          <w:b/>
          <w:bCs/>
          <w:i w:val="0"/>
          <w:iCs w:val="0"/>
          <w:noProof/>
          <w:color w:val="auto"/>
          <w:sz w:val="24"/>
          <w:szCs w:val="24"/>
        </w:rPr>
        <w:t>2</w:t>
      </w:r>
      <w:r w:rsidRPr="007070F6">
        <w:rPr>
          <w:rFonts w:ascii="Arial" w:hAnsi="Arial" w:cs="Arial"/>
          <w:b/>
          <w:bCs/>
          <w:i w:val="0"/>
          <w:iCs w:val="0"/>
          <w:color w:val="auto"/>
          <w:sz w:val="24"/>
          <w:szCs w:val="24"/>
        </w:rPr>
        <w:fldChar w:fldCharType="end"/>
      </w:r>
      <w:r w:rsidRPr="007070F6">
        <w:rPr>
          <w:rFonts w:ascii="Arial" w:hAnsi="Arial" w:cs="Arial"/>
          <w:b/>
          <w:bCs/>
          <w:i w:val="0"/>
          <w:iCs w:val="0"/>
          <w:color w:val="auto"/>
          <w:sz w:val="24"/>
          <w:szCs w:val="24"/>
        </w:rPr>
        <w:t xml:space="preserve">:Teste de cointegração </w:t>
      </w:r>
      <w:r>
        <w:rPr>
          <w:rFonts w:ascii="Arial" w:hAnsi="Arial" w:cs="Arial"/>
          <w:b/>
          <w:bCs/>
          <w:i w:val="0"/>
          <w:iCs w:val="0"/>
          <w:color w:val="auto"/>
          <w:sz w:val="24"/>
          <w:szCs w:val="24"/>
        </w:rPr>
        <w:t>Engle-Granger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6"/>
      </w:tblGrid>
      <w:tr w:rsidR="001905D9" w14:paraId="5998C406" w14:textId="77777777" w:rsidTr="002019E5">
        <w:trPr>
          <w:trHeight w:val="3220"/>
          <w:jc w:val="center"/>
        </w:trPr>
        <w:tc>
          <w:tcPr>
            <w:tcW w:w="6846" w:type="dxa"/>
          </w:tcPr>
          <w:p w14:paraId="6FF30878" w14:textId="087A4A00" w:rsidR="001905D9" w:rsidRDefault="001905D9" w:rsidP="002019E5">
            <w:pPr>
              <w:keepNext/>
              <w:spacing w:line="360" w:lineRule="auto"/>
              <w:jc w:val="both"/>
              <w:rPr>
                <w:rFonts w:ascii="Arial" w:hAnsi="Arial" w:cs="Arial"/>
                <w:sz w:val="24"/>
                <w:szCs w:val="24"/>
              </w:rPr>
            </w:pPr>
            <w:r>
              <w:rPr>
                <w:noProof/>
              </w:rPr>
              <w:drawing>
                <wp:anchor distT="0" distB="0" distL="114300" distR="114300" simplePos="0" relativeHeight="251677696" behindDoc="0" locked="0" layoutInCell="1" allowOverlap="1" wp14:anchorId="56759BB2" wp14:editId="084CEC94">
                  <wp:simplePos x="0" y="0"/>
                  <wp:positionH relativeFrom="column">
                    <wp:posOffset>1270</wp:posOffset>
                  </wp:positionH>
                  <wp:positionV relativeFrom="paragraph">
                    <wp:posOffset>1270</wp:posOffset>
                  </wp:positionV>
                  <wp:extent cx="4124325" cy="1905000"/>
                  <wp:effectExtent l="0" t="0" r="952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24325" cy="1905000"/>
                          </a:xfrm>
                          <a:prstGeom prst="rect">
                            <a:avLst/>
                          </a:prstGeom>
                        </pic:spPr>
                      </pic:pic>
                    </a:graphicData>
                  </a:graphic>
                </wp:anchor>
              </w:drawing>
            </w:r>
          </w:p>
        </w:tc>
      </w:tr>
    </w:tbl>
    <w:p w14:paraId="54A511B0" w14:textId="77777777" w:rsidR="001905D9" w:rsidRPr="007070F6" w:rsidRDefault="001905D9" w:rsidP="001905D9">
      <w:pPr>
        <w:pStyle w:val="Caption"/>
        <w:jc w:val="center"/>
        <w:rPr>
          <w:rFonts w:ascii="Arial" w:hAnsi="Arial" w:cs="Arial"/>
          <w:i w:val="0"/>
          <w:iCs w:val="0"/>
          <w:color w:val="auto"/>
          <w:sz w:val="36"/>
          <w:szCs w:val="36"/>
        </w:rPr>
      </w:pPr>
      <w:r w:rsidRPr="007070F6">
        <w:rPr>
          <w:rFonts w:ascii="Arial" w:hAnsi="Arial" w:cs="Arial"/>
          <w:i w:val="0"/>
          <w:iCs w:val="0"/>
          <w:color w:val="auto"/>
          <w:sz w:val="24"/>
          <w:szCs w:val="24"/>
        </w:rPr>
        <w:t xml:space="preserve">Fonte: IBGE, FGV, Cálculos </w:t>
      </w:r>
      <w:r>
        <w:rPr>
          <w:rFonts w:ascii="Arial" w:hAnsi="Arial" w:cs="Arial"/>
          <w:i w:val="0"/>
          <w:iCs w:val="0"/>
          <w:color w:val="auto"/>
          <w:sz w:val="24"/>
          <w:szCs w:val="24"/>
        </w:rPr>
        <w:t>p</w:t>
      </w:r>
      <w:r w:rsidRPr="007070F6">
        <w:rPr>
          <w:rFonts w:ascii="Arial" w:hAnsi="Arial" w:cs="Arial"/>
          <w:i w:val="0"/>
          <w:iCs w:val="0"/>
          <w:color w:val="auto"/>
          <w:sz w:val="24"/>
          <w:szCs w:val="24"/>
        </w:rPr>
        <w:t>róprios</w:t>
      </w:r>
    </w:p>
    <w:sectPr w:rsidR="001905D9" w:rsidRPr="007070F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9C101" w14:textId="77777777" w:rsidR="009E3AE4" w:rsidRDefault="009E3AE4" w:rsidP="00C05C90">
      <w:pPr>
        <w:spacing w:after="0" w:line="240" w:lineRule="auto"/>
      </w:pPr>
      <w:r>
        <w:separator/>
      </w:r>
    </w:p>
  </w:endnote>
  <w:endnote w:type="continuationSeparator" w:id="0">
    <w:p w14:paraId="64F03B4A" w14:textId="77777777" w:rsidR="009E3AE4" w:rsidRDefault="009E3AE4" w:rsidP="00C05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B67B2" w14:textId="77777777" w:rsidR="009E3AE4" w:rsidRDefault="009E3AE4" w:rsidP="00C05C90">
      <w:pPr>
        <w:spacing w:after="0" w:line="240" w:lineRule="auto"/>
      </w:pPr>
      <w:r>
        <w:separator/>
      </w:r>
    </w:p>
  </w:footnote>
  <w:footnote w:type="continuationSeparator" w:id="0">
    <w:p w14:paraId="7FA87143" w14:textId="77777777" w:rsidR="009E3AE4" w:rsidRDefault="009E3AE4" w:rsidP="00C05C90">
      <w:pPr>
        <w:spacing w:after="0" w:line="240" w:lineRule="auto"/>
      </w:pPr>
      <w:r>
        <w:continuationSeparator/>
      </w:r>
    </w:p>
  </w:footnote>
  <w:footnote w:id="1">
    <w:p w14:paraId="528B1C50" w14:textId="5A78FADA" w:rsidR="008C3905" w:rsidRDefault="008C3905">
      <w:pPr>
        <w:pStyle w:val="FootnoteText"/>
      </w:pPr>
      <w:r>
        <w:rPr>
          <w:rStyle w:val="FootnoteReference"/>
        </w:rPr>
        <w:footnoteRef/>
      </w:r>
      <w:r>
        <w:t xml:space="preserve"> Teste de raiz unitária do tipo ADF (</w:t>
      </w:r>
      <w:r w:rsidRPr="008C3905">
        <w:t xml:space="preserve">Dickey-Fuller </w:t>
      </w:r>
      <w:r>
        <w:t>A</w:t>
      </w:r>
      <w:r w:rsidRPr="008C3905">
        <w:t>umentad</w:t>
      </w:r>
      <w:r>
        <w:t>o)</w:t>
      </w:r>
    </w:p>
  </w:footnote>
  <w:footnote w:id="2">
    <w:p w14:paraId="09A9F440" w14:textId="03361BA1" w:rsidR="000F2BA3" w:rsidRDefault="000F2BA3">
      <w:pPr>
        <w:pStyle w:val="FootnoteText"/>
      </w:pPr>
      <w:r>
        <w:rPr>
          <w:rStyle w:val="FootnoteReference"/>
        </w:rPr>
        <w:footnoteRef/>
      </w:r>
      <w:r>
        <w:t xml:space="preserve"> Indicando a provável existência de raiz unitária.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16F42"/>
    <w:multiLevelType w:val="hybridMultilevel"/>
    <w:tmpl w:val="D6A2B99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699"/>
    <w:rsid w:val="00083699"/>
    <w:rsid w:val="000F2BA3"/>
    <w:rsid w:val="001905D9"/>
    <w:rsid w:val="001C1259"/>
    <w:rsid w:val="002C1D54"/>
    <w:rsid w:val="002D3C6E"/>
    <w:rsid w:val="00314ACE"/>
    <w:rsid w:val="00343FC7"/>
    <w:rsid w:val="003F2862"/>
    <w:rsid w:val="00413E73"/>
    <w:rsid w:val="004C0686"/>
    <w:rsid w:val="004C3791"/>
    <w:rsid w:val="005546F0"/>
    <w:rsid w:val="005A58B8"/>
    <w:rsid w:val="005B005D"/>
    <w:rsid w:val="00612F51"/>
    <w:rsid w:val="007E1FCA"/>
    <w:rsid w:val="00883CBA"/>
    <w:rsid w:val="008A582D"/>
    <w:rsid w:val="008C3905"/>
    <w:rsid w:val="00937737"/>
    <w:rsid w:val="009E3AE4"/>
    <w:rsid w:val="00BB481A"/>
    <w:rsid w:val="00C05C90"/>
    <w:rsid w:val="00D27E9D"/>
    <w:rsid w:val="00D77C04"/>
    <w:rsid w:val="00DF1186"/>
    <w:rsid w:val="00DF3B60"/>
    <w:rsid w:val="00E40158"/>
    <w:rsid w:val="00EC019E"/>
    <w:rsid w:val="00F767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EB029"/>
  <w15:chartTrackingRefBased/>
  <w15:docId w15:val="{6AEC59A1-D3C8-4213-980A-D9A9E33EB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6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58B8"/>
    <w:rPr>
      <w:color w:val="0563C1" w:themeColor="hyperlink"/>
      <w:u w:val="single"/>
    </w:rPr>
  </w:style>
  <w:style w:type="character" w:styleId="FollowedHyperlink">
    <w:name w:val="FollowedHyperlink"/>
    <w:basedOn w:val="DefaultParagraphFont"/>
    <w:uiPriority w:val="99"/>
    <w:semiHidden/>
    <w:unhideWhenUsed/>
    <w:rsid w:val="005A58B8"/>
    <w:rPr>
      <w:color w:val="954F72" w:themeColor="followedHyperlink"/>
      <w:u w:val="single"/>
    </w:rPr>
  </w:style>
  <w:style w:type="paragraph" w:styleId="FootnoteText">
    <w:name w:val="footnote text"/>
    <w:basedOn w:val="Normal"/>
    <w:link w:val="FootnoteTextChar"/>
    <w:uiPriority w:val="99"/>
    <w:semiHidden/>
    <w:unhideWhenUsed/>
    <w:rsid w:val="00C05C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5C90"/>
    <w:rPr>
      <w:sz w:val="20"/>
      <w:szCs w:val="20"/>
    </w:rPr>
  </w:style>
  <w:style w:type="character" w:styleId="FootnoteReference">
    <w:name w:val="footnote reference"/>
    <w:basedOn w:val="DefaultParagraphFont"/>
    <w:uiPriority w:val="99"/>
    <w:semiHidden/>
    <w:unhideWhenUsed/>
    <w:rsid w:val="00C05C90"/>
    <w:rPr>
      <w:vertAlign w:val="superscript"/>
    </w:rPr>
  </w:style>
  <w:style w:type="paragraph" w:styleId="Caption">
    <w:name w:val="caption"/>
    <w:basedOn w:val="Normal"/>
    <w:next w:val="Normal"/>
    <w:uiPriority w:val="35"/>
    <w:unhideWhenUsed/>
    <w:qFormat/>
    <w:rsid w:val="00C05C90"/>
    <w:pPr>
      <w:spacing w:after="200" w:line="240" w:lineRule="auto"/>
    </w:pPr>
    <w:rPr>
      <w:i/>
      <w:iCs/>
      <w:color w:val="44546A" w:themeColor="text2"/>
      <w:sz w:val="18"/>
      <w:szCs w:val="18"/>
    </w:rPr>
  </w:style>
  <w:style w:type="table" w:styleId="TableGrid">
    <w:name w:val="Table Grid"/>
    <w:basedOn w:val="TableNormal"/>
    <w:uiPriority w:val="39"/>
    <w:rsid w:val="00C05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1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5504">
      <w:bodyDiv w:val="1"/>
      <w:marLeft w:val="0"/>
      <w:marRight w:val="0"/>
      <w:marTop w:val="0"/>
      <w:marBottom w:val="0"/>
      <w:divBdr>
        <w:top w:val="none" w:sz="0" w:space="0" w:color="auto"/>
        <w:left w:val="none" w:sz="0" w:space="0" w:color="auto"/>
        <w:bottom w:val="none" w:sz="0" w:space="0" w:color="auto"/>
        <w:right w:val="none" w:sz="0" w:space="0" w:color="auto"/>
      </w:divBdr>
    </w:div>
    <w:div w:id="492914644">
      <w:bodyDiv w:val="1"/>
      <w:marLeft w:val="0"/>
      <w:marRight w:val="0"/>
      <w:marTop w:val="0"/>
      <w:marBottom w:val="0"/>
      <w:divBdr>
        <w:top w:val="none" w:sz="0" w:space="0" w:color="auto"/>
        <w:left w:val="none" w:sz="0" w:space="0" w:color="auto"/>
        <w:bottom w:val="none" w:sz="0" w:space="0" w:color="auto"/>
        <w:right w:val="none" w:sz="0" w:space="0" w:color="auto"/>
      </w:divBdr>
    </w:div>
    <w:div w:id="129487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38800-DF3C-4901-A7BB-FB54A59C3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8</Pages>
  <Words>1283</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dc:creator>
  <cp:keywords/>
  <dc:description/>
  <cp:lastModifiedBy>Rodrigo</cp:lastModifiedBy>
  <cp:revision>24</cp:revision>
  <dcterms:created xsi:type="dcterms:W3CDTF">2021-11-07T22:25:00Z</dcterms:created>
  <dcterms:modified xsi:type="dcterms:W3CDTF">2021-11-08T01:55:00Z</dcterms:modified>
</cp:coreProperties>
</file>