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9D2E" w14:textId="176197F2" w:rsidR="004E0DA3" w:rsidRDefault="004E0DA3" w:rsidP="004E0DA3">
      <w:pPr>
        <w:spacing w:line="360" w:lineRule="auto"/>
        <w:jc w:val="both"/>
        <w:rPr>
          <w:rFonts w:ascii="Arial" w:hAnsi="Arial" w:cs="Arial"/>
          <w:b/>
          <w:bCs/>
          <w:sz w:val="24"/>
          <w:szCs w:val="24"/>
        </w:rPr>
      </w:pPr>
      <w:r>
        <w:rPr>
          <w:rFonts w:ascii="Arial" w:hAnsi="Arial" w:cs="Arial"/>
          <w:b/>
          <w:bCs/>
          <w:sz w:val="24"/>
          <w:szCs w:val="24"/>
        </w:rPr>
        <w:t xml:space="preserve">Capítulo 2: </w:t>
      </w:r>
      <w:r w:rsidR="002A46FA">
        <w:rPr>
          <w:rFonts w:ascii="Arial" w:hAnsi="Arial" w:cs="Arial"/>
          <w:b/>
          <w:bCs/>
          <w:sz w:val="24"/>
          <w:szCs w:val="24"/>
        </w:rPr>
        <w:t>Descrição dos dados e metodologia</w:t>
      </w:r>
    </w:p>
    <w:p w14:paraId="3C000654" w14:textId="67E6C174" w:rsidR="004E0DA3" w:rsidRDefault="004E0DA3" w:rsidP="004E0DA3">
      <w:pPr>
        <w:spacing w:line="360" w:lineRule="auto"/>
        <w:jc w:val="both"/>
        <w:rPr>
          <w:rFonts w:ascii="Arial" w:hAnsi="Arial" w:cs="Arial"/>
          <w:sz w:val="24"/>
          <w:szCs w:val="24"/>
        </w:rPr>
      </w:pPr>
    </w:p>
    <w:p w14:paraId="6DCC1587" w14:textId="77777777" w:rsidR="00B47BFD" w:rsidRDefault="00EF5689" w:rsidP="004E0DA3">
      <w:pPr>
        <w:spacing w:line="360" w:lineRule="auto"/>
        <w:jc w:val="both"/>
        <w:rPr>
          <w:rFonts w:ascii="Arial" w:hAnsi="Arial" w:cs="Arial"/>
          <w:sz w:val="24"/>
          <w:szCs w:val="24"/>
        </w:rPr>
      </w:pPr>
      <w:r w:rsidRPr="00785A37">
        <w:rPr>
          <w:rFonts w:ascii="Arial" w:hAnsi="Arial" w:cs="Arial"/>
          <w:sz w:val="24"/>
          <w:szCs w:val="24"/>
        </w:rPr>
        <w:t xml:space="preserve">Para rebasearmos os pesos dos índices de inflação, precisamos de indicadores que nos mostrem o comportamente do consumo durante os meses de interesse. Dados de consumo com cartão de crédito seriam ideais para tal cálculo, como apresentado anteriormente. No entanto, esses dados não estão disponíveis abertamente no Brasil. </w:t>
      </w:r>
    </w:p>
    <w:p w14:paraId="1F5B5F37" w14:textId="7D876EDD" w:rsidR="00B47BFD" w:rsidRDefault="00B47BFD" w:rsidP="004E0DA3">
      <w:pPr>
        <w:spacing w:line="360" w:lineRule="auto"/>
        <w:jc w:val="both"/>
        <w:rPr>
          <w:rFonts w:ascii="Arial" w:hAnsi="Arial" w:cs="Arial"/>
          <w:sz w:val="24"/>
          <w:szCs w:val="24"/>
        </w:rPr>
      </w:pPr>
      <w:r>
        <w:rPr>
          <w:rFonts w:ascii="Arial" w:hAnsi="Arial" w:cs="Arial"/>
          <w:sz w:val="24"/>
          <w:szCs w:val="24"/>
        </w:rPr>
        <w:t xml:space="preserve">Dado </w:t>
      </w:r>
      <w:r w:rsidR="00EF5689" w:rsidRPr="00785A37">
        <w:rPr>
          <w:rFonts w:ascii="Arial" w:hAnsi="Arial" w:cs="Arial"/>
          <w:sz w:val="24"/>
          <w:szCs w:val="24"/>
        </w:rPr>
        <w:t>isso, foi</w:t>
      </w:r>
      <w:r w:rsidR="00EF5689">
        <w:rPr>
          <w:rFonts w:ascii="Arial" w:hAnsi="Arial" w:cs="Arial"/>
          <w:sz w:val="24"/>
          <w:szCs w:val="24"/>
        </w:rPr>
        <w:t xml:space="preserve"> escolhido trabalhar com a abertura do Monitor do PIB da FGV (Fundação Getúlio Vargas)</w:t>
      </w:r>
      <w:r>
        <w:rPr>
          <w:rFonts w:ascii="Arial" w:hAnsi="Arial" w:cs="Arial"/>
          <w:sz w:val="24"/>
          <w:szCs w:val="24"/>
        </w:rPr>
        <w:t xml:space="preserve"> que, apesar de serem dados fechados, foram concedidos pela Fundação para o uso específico desta Monografia. Para poupar a nomenclatura, ele </w:t>
      </w:r>
      <w:r w:rsidR="00883875">
        <w:rPr>
          <w:rFonts w:ascii="Arial" w:hAnsi="Arial" w:cs="Arial"/>
          <w:sz w:val="24"/>
          <w:szCs w:val="24"/>
        </w:rPr>
        <w:t>será chamado apenas de Monitor de agora em diante</w:t>
      </w:r>
      <w:r w:rsidR="00EF5689">
        <w:rPr>
          <w:rFonts w:ascii="Arial" w:hAnsi="Arial" w:cs="Arial"/>
          <w:sz w:val="24"/>
          <w:szCs w:val="24"/>
        </w:rPr>
        <w:t>.</w:t>
      </w:r>
    </w:p>
    <w:p w14:paraId="18776362" w14:textId="546A7994" w:rsidR="00EF5689" w:rsidRDefault="00EF5689" w:rsidP="004E0DA3">
      <w:pPr>
        <w:spacing w:line="360" w:lineRule="auto"/>
        <w:jc w:val="both"/>
        <w:rPr>
          <w:rFonts w:ascii="Arial" w:hAnsi="Arial" w:cs="Arial"/>
          <w:sz w:val="24"/>
          <w:szCs w:val="24"/>
        </w:rPr>
      </w:pPr>
      <w:r>
        <w:rPr>
          <w:rFonts w:ascii="Arial" w:hAnsi="Arial" w:cs="Arial"/>
          <w:sz w:val="24"/>
          <w:szCs w:val="24"/>
        </w:rPr>
        <w:t xml:space="preserve">O Monitor demonstrou ser uma escolha interessante pois, em uma de suas aberturas, ele é dividido nas mesmas categorias de uma das aberturas de inflação utilizada pelo Banco Central do Brasil (BCB). </w:t>
      </w:r>
      <w:r w:rsidR="00883875">
        <w:rPr>
          <w:rFonts w:ascii="Arial" w:hAnsi="Arial" w:cs="Arial"/>
          <w:sz w:val="24"/>
          <w:szCs w:val="24"/>
        </w:rPr>
        <w:t xml:space="preserve">Ele </w:t>
      </w:r>
      <w:r>
        <w:rPr>
          <w:rFonts w:ascii="Arial" w:hAnsi="Arial" w:cs="Arial"/>
          <w:sz w:val="24"/>
          <w:szCs w:val="24"/>
        </w:rPr>
        <w:t>nos mostra uma divisão entre Bens Duráveis, Semiduráveis, Não duráveis e Serviços</w:t>
      </w:r>
      <w:r>
        <w:rPr>
          <w:rStyle w:val="FootnoteReference"/>
          <w:rFonts w:ascii="Arial" w:hAnsi="Arial" w:cs="Arial"/>
          <w:sz w:val="24"/>
          <w:szCs w:val="24"/>
        </w:rPr>
        <w:footnoteReference w:id="1"/>
      </w:r>
      <w:r>
        <w:rPr>
          <w:rFonts w:ascii="Arial" w:hAnsi="Arial" w:cs="Arial"/>
          <w:sz w:val="24"/>
          <w:szCs w:val="24"/>
        </w:rPr>
        <w:t>, enquanto a abertura do BCB segue na</w:t>
      </w:r>
      <w:r w:rsidR="00FD7A18">
        <w:rPr>
          <w:rFonts w:ascii="Arial" w:hAnsi="Arial" w:cs="Arial"/>
          <w:sz w:val="24"/>
          <w:szCs w:val="24"/>
        </w:rPr>
        <w:t xml:space="preserve"> </w:t>
      </w:r>
      <w:r w:rsidR="00FD7A18" w:rsidRPr="00FD7A18">
        <w:rPr>
          <w:rFonts w:ascii="Arial" w:hAnsi="Arial" w:cs="Arial"/>
          <w:sz w:val="24"/>
          <w:szCs w:val="24"/>
        </w:rPr>
        <w:fldChar w:fldCharType="begin"/>
      </w:r>
      <w:r w:rsidR="00FD7A18" w:rsidRPr="00FD7A18">
        <w:rPr>
          <w:rFonts w:ascii="Arial" w:hAnsi="Arial" w:cs="Arial"/>
          <w:sz w:val="24"/>
          <w:szCs w:val="24"/>
        </w:rPr>
        <w:instrText xml:space="preserve"> REF _Ref75029499 \h  \* MERGEFORMAT </w:instrText>
      </w:r>
      <w:r w:rsidR="00FD7A18" w:rsidRPr="00FD7A18">
        <w:rPr>
          <w:rFonts w:ascii="Arial" w:hAnsi="Arial" w:cs="Arial"/>
          <w:sz w:val="24"/>
          <w:szCs w:val="24"/>
        </w:rPr>
      </w:r>
      <w:r w:rsidR="00FD7A18" w:rsidRPr="00FD7A18">
        <w:rPr>
          <w:rFonts w:ascii="Arial" w:hAnsi="Arial" w:cs="Arial"/>
          <w:sz w:val="24"/>
          <w:szCs w:val="24"/>
        </w:rPr>
        <w:fldChar w:fldCharType="separate"/>
      </w:r>
      <w:r w:rsidR="00FD7A18" w:rsidRPr="00FD7A18">
        <w:rPr>
          <w:rFonts w:ascii="Arial" w:hAnsi="Arial" w:cs="Arial"/>
          <w:sz w:val="24"/>
          <w:szCs w:val="24"/>
        </w:rPr>
        <w:t xml:space="preserve">Tabela </w:t>
      </w:r>
      <w:r w:rsidR="00FD7A18" w:rsidRPr="00FD7A18">
        <w:rPr>
          <w:rFonts w:ascii="Arial" w:hAnsi="Arial" w:cs="Arial"/>
          <w:noProof/>
          <w:sz w:val="24"/>
          <w:szCs w:val="24"/>
        </w:rPr>
        <w:t>1</w:t>
      </w:r>
      <w:r w:rsidR="00FD7A18" w:rsidRPr="00FD7A18">
        <w:rPr>
          <w:rFonts w:ascii="Arial" w:hAnsi="Arial" w:cs="Arial"/>
          <w:sz w:val="24"/>
          <w:szCs w:val="24"/>
        </w:rPr>
        <w:fldChar w:fldCharType="end"/>
      </w:r>
      <w:r>
        <w:rPr>
          <w:rFonts w:ascii="Arial" w:hAnsi="Arial" w:cs="Arial"/>
          <w:sz w:val="24"/>
          <w:szCs w:val="24"/>
        </w:rPr>
        <w:t>.</w:t>
      </w:r>
    </w:p>
    <w:p w14:paraId="13C6FC7F" w14:textId="77777777" w:rsidR="00515812" w:rsidRDefault="00515812" w:rsidP="004E0DA3">
      <w:pPr>
        <w:spacing w:line="360" w:lineRule="auto"/>
        <w:jc w:val="both"/>
        <w:rPr>
          <w:rFonts w:ascii="Arial" w:hAnsi="Arial" w:cs="Arial"/>
          <w:sz w:val="24"/>
          <w:szCs w:val="24"/>
        </w:rPr>
      </w:pPr>
    </w:p>
    <w:p w14:paraId="405A95C6" w14:textId="1FE32906" w:rsidR="00FD7A18" w:rsidRPr="00FD7A18" w:rsidRDefault="00FD7A18" w:rsidP="00FD7A18">
      <w:pPr>
        <w:pStyle w:val="Caption"/>
        <w:keepNext/>
        <w:jc w:val="center"/>
        <w:rPr>
          <w:rFonts w:ascii="Arial" w:hAnsi="Arial" w:cs="Arial"/>
          <w:b/>
          <w:bCs/>
          <w:i w:val="0"/>
          <w:iCs w:val="0"/>
          <w:color w:val="auto"/>
          <w:sz w:val="24"/>
          <w:szCs w:val="24"/>
        </w:rPr>
      </w:pPr>
      <w:bookmarkStart w:id="0" w:name="_Ref75029499"/>
      <w:r w:rsidRPr="00FD7A18">
        <w:rPr>
          <w:rFonts w:ascii="Arial" w:hAnsi="Arial" w:cs="Arial"/>
          <w:b/>
          <w:bCs/>
          <w:i w:val="0"/>
          <w:iCs w:val="0"/>
          <w:color w:val="auto"/>
          <w:sz w:val="24"/>
          <w:szCs w:val="24"/>
        </w:rPr>
        <w:t xml:space="preserve">Tabela </w:t>
      </w:r>
      <w:r w:rsidRPr="00FD7A18">
        <w:rPr>
          <w:rFonts w:ascii="Arial" w:hAnsi="Arial" w:cs="Arial"/>
          <w:b/>
          <w:bCs/>
          <w:i w:val="0"/>
          <w:iCs w:val="0"/>
          <w:color w:val="auto"/>
          <w:sz w:val="24"/>
          <w:szCs w:val="24"/>
        </w:rPr>
        <w:fldChar w:fldCharType="begin"/>
      </w:r>
      <w:r w:rsidRPr="00FD7A18">
        <w:rPr>
          <w:rFonts w:ascii="Arial" w:hAnsi="Arial" w:cs="Arial"/>
          <w:b/>
          <w:bCs/>
          <w:i w:val="0"/>
          <w:iCs w:val="0"/>
          <w:color w:val="auto"/>
          <w:sz w:val="24"/>
          <w:szCs w:val="24"/>
        </w:rPr>
        <w:instrText xml:space="preserve"> SEQ Tabela \* ARABIC </w:instrText>
      </w:r>
      <w:r w:rsidRPr="00FD7A18">
        <w:rPr>
          <w:rFonts w:ascii="Arial" w:hAnsi="Arial" w:cs="Arial"/>
          <w:b/>
          <w:bCs/>
          <w:i w:val="0"/>
          <w:iCs w:val="0"/>
          <w:color w:val="auto"/>
          <w:sz w:val="24"/>
          <w:szCs w:val="24"/>
        </w:rPr>
        <w:fldChar w:fldCharType="separate"/>
      </w:r>
      <w:r w:rsidRPr="00FD7A18">
        <w:rPr>
          <w:rFonts w:ascii="Arial" w:hAnsi="Arial" w:cs="Arial"/>
          <w:b/>
          <w:bCs/>
          <w:i w:val="0"/>
          <w:iCs w:val="0"/>
          <w:noProof/>
          <w:color w:val="auto"/>
          <w:sz w:val="24"/>
          <w:szCs w:val="24"/>
        </w:rPr>
        <w:t>1</w:t>
      </w:r>
      <w:r w:rsidRPr="00FD7A18">
        <w:rPr>
          <w:rFonts w:ascii="Arial" w:hAnsi="Arial" w:cs="Arial"/>
          <w:b/>
          <w:bCs/>
          <w:i w:val="0"/>
          <w:iCs w:val="0"/>
          <w:color w:val="auto"/>
          <w:sz w:val="24"/>
          <w:szCs w:val="24"/>
        </w:rPr>
        <w:fldChar w:fldCharType="end"/>
      </w:r>
      <w:bookmarkEnd w:id="0"/>
      <w:r w:rsidRPr="00FD7A18">
        <w:rPr>
          <w:rFonts w:ascii="Arial" w:hAnsi="Arial" w:cs="Arial"/>
          <w:b/>
          <w:bCs/>
          <w:i w:val="0"/>
          <w:iCs w:val="0"/>
          <w:color w:val="auto"/>
          <w:sz w:val="24"/>
          <w:szCs w:val="24"/>
        </w:rPr>
        <w:t xml:space="preserve">: </w:t>
      </w:r>
      <w:r>
        <w:rPr>
          <w:rFonts w:ascii="Arial" w:hAnsi="Arial" w:cs="Arial"/>
          <w:b/>
          <w:bCs/>
          <w:i w:val="0"/>
          <w:iCs w:val="0"/>
          <w:color w:val="auto"/>
          <w:sz w:val="24"/>
          <w:szCs w:val="24"/>
        </w:rPr>
        <w:t>Abertura</w:t>
      </w:r>
      <w:r w:rsidRPr="00FD7A18">
        <w:rPr>
          <w:rFonts w:ascii="Arial" w:hAnsi="Arial" w:cs="Arial"/>
          <w:b/>
          <w:bCs/>
          <w:i w:val="0"/>
          <w:iCs w:val="0"/>
          <w:color w:val="auto"/>
          <w:sz w:val="24"/>
          <w:szCs w:val="24"/>
        </w:rPr>
        <w:t xml:space="preserve"> do IPCA </w:t>
      </w:r>
      <w:r>
        <w:rPr>
          <w:rFonts w:ascii="Arial" w:hAnsi="Arial" w:cs="Arial"/>
          <w:b/>
          <w:bCs/>
          <w:i w:val="0"/>
          <w:iCs w:val="0"/>
          <w:color w:val="auto"/>
          <w:sz w:val="24"/>
          <w:szCs w:val="24"/>
        </w:rPr>
        <w:t>(p</w:t>
      </w:r>
      <w:r w:rsidRPr="00FD7A18">
        <w:rPr>
          <w:rFonts w:ascii="Arial" w:hAnsi="Arial" w:cs="Arial"/>
          <w:b/>
          <w:bCs/>
          <w:i w:val="0"/>
          <w:iCs w:val="0"/>
          <w:color w:val="auto"/>
          <w:sz w:val="24"/>
          <w:szCs w:val="24"/>
        </w:rPr>
        <w:t>esos POF 2017/18</w:t>
      </w:r>
      <w:r w:rsidR="004834E8">
        <w:rPr>
          <w:rFonts w:ascii="Arial" w:hAnsi="Arial" w:cs="Arial"/>
          <w:b/>
          <w:bCs/>
          <w:i w:val="0"/>
          <w:iCs w:val="0"/>
          <w:color w:val="auto"/>
          <w:sz w:val="24"/>
          <w:szCs w:val="24"/>
        </w:rPr>
        <w:t xml:space="preserve"> </w:t>
      </w:r>
      <w:r w:rsidR="004834E8" w:rsidRPr="00F43BE1">
        <w:rPr>
          <w:rFonts w:ascii="Arial" w:hAnsi="Arial" w:cs="Arial"/>
          <w:b/>
          <w:bCs/>
          <w:i w:val="0"/>
          <w:iCs w:val="0"/>
          <w:color w:val="auto"/>
          <w:sz w:val="24"/>
          <w:szCs w:val="24"/>
          <w:highlight w:val="yellow"/>
        </w:rPr>
        <w:t>(</w:t>
      </w:r>
      <w:r w:rsidR="00F43BE1" w:rsidRPr="00F43BE1">
        <w:rPr>
          <w:rFonts w:ascii="Arial" w:hAnsi="Arial" w:cs="Arial"/>
          <w:b/>
          <w:bCs/>
          <w:i w:val="0"/>
          <w:iCs w:val="0"/>
          <w:color w:val="auto"/>
          <w:sz w:val="24"/>
          <w:szCs w:val="24"/>
          <w:highlight w:val="yellow"/>
        </w:rPr>
        <w:t>COLOCAR PESOS JAN20</w:t>
      </w:r>
      <w:r w:rsidRPr="00F43BE1">
        <w:rPr>
          <w:rFonts w:ascii="Arial" w:hAnsi="Arial" w:cs="Arial"/>
          <w:b/>
          <w:bCs/>
          <w:i w:val="0"/>
          <w:iCs w:val="0"/>
          <w:color w:val="auto"/>
          <w:sz w:val="24"/>
          <w:szCs w:val="24"/>
          <w:highlight w:val="yellow"/>
        </w:rPr>
        <w:t>)</w:t>
      </w:r>
    </w:p>
    <w:tbl>
      <w:tblPr>
        <w:tblW w:w="3806" w:type="dxa"/>
        <w:jc w:val="center"/>
        <w:tblCellMar>
          <w:left w:w="70" w:type="dxa"/>
          <w:right w:w="70" w:type="dxa"/>
        </w:tblCellMar>
        <w:tblLook w:val="04A0" w:firstRow="1" w:lastRow="0" w:firstColumn="1" w:lastColumn="0" w:noHBand="0" w:noVBand="1"/>
      </w:tblPr>
      <w:tblGrid>
        <w:gridCol w:w="2586"/>
        <w:gridCol w:w="1220"/>
      </w:tblGrid>
      <w:tr w:rsidR="00FD7A18" w:rsidRPr="00BB179A" w14:paraId="77625744" w14:textId="77777777" w:rsidTr="003F7196">
        <w:trPr>
          <w:trHeight w:val="300"/>
          <w:jc w:val="center"/>
        </w:trPr>
        <w:tc>
          <w:tcPr>
            <w:tcW w:w="2586" w:type="dxa"/>
            <w:tcBorders>
              <w:top w:val="single" w:sz="4" w:space="0" w:color="auto"/>
              <w:left w:val="nil"/>
              <w:bottom w:val="single" w:sz="4" w:space="0" w:color="auto"/>
              <w:right w:val="nil"/>
            </w:tcBorders>
            <w:shd w:val="clear" w:color="auto" w:fill="auto"/>
            <w:noWrap/>
            <w:vAlign w:val="bottom"/>
            <w:hideMark/>
          </w:tcPr>
          <w:p w14:paraId="6E30A904" w14:textId="77777777" w:rsidR="00FD7A18" w:rsidRPr="00BB179A" w:rsidRDefault="00FD7A18" w:rsidP="003F7196">
            <w:pPr>
              <w:spacing w:after="0" w:line="240" w:lineRule="auto"/>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 </w:t>
            </w:r>
          </w:p>
        </w:tc>
        <w:tc>
          <w:tcPr>
            <w:tcW w:w="1220" w:type="dxa"/>
            <w:tcBorders>
              <w:top w:val="single" w:sz="4" w:space="0" w:color="auto"/>
              <w:left w:val="nil"/>
              <w:bottom w:val="single" w:sz="4" w:space="0" w:color="auto"/>
              <w:right w:val="nil"/>
            </w:tcBorders>
            <w:shd w:val="clear" w:color="auto" w:fill="auto"/>
            <w:noWrap/>
            <w:vAlign w:val="bottom"/>
            <w:hideMark/>
          </w:tcPr>
          <w:p w14:paraId="5BD0E15B" w14:textId="77777777" w:rsidR="00FD7A18" w:rsidRPr="00BB179A" w:rsidRDefault="00FD7A18" w:rsidP="003F7196">
            <w:pPr>
              <w:spacing w:after="0" w:line="240" w:lineRule="auto"/>
              <w:jc w:val="center"/>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Pesos (%)</w:t>
            </w:r>
          </w:p>
        </w:tc>
      </w:tr>
      <w:tr w:rsidR="00FD7A18" w:rsidRPr="00BB179A" w14:paraId="75C69C51" w14:textId="77777777" w:rsidTr="003F7196">
        <w:trPr>
          <w:trHeight w:val="300"/>
          <w:jc w:val="center"/>
        </w:trPr>
        <w:tc>
          <w:tcPr>
            <w:tcW w:w="2586" w:type="dxa"/>
            <w:tcBorders>
              <w:top w:val="nil"/>
              <w:left w:val="nil"/>
              <w:bottom w:val="nil"/>
              <w:right w:val="nil"/>
            </w:tcBorders>
            <w:shd w:val="clear" w:color="auto" w:fill="auto"/>
            <w:noWrap/>
            <w:vAlign w:val="bottom"/>
            <w:hideMark/>
          </w:tcPr>
          <w:p w14:paraId="12BACB89" w14:textId="77777777" w:rsidR="00FD7A18" w:rsidRPr="00BB179A" w:rsidRDefault="00FD7A18" w:rsidP="003F7196">
            <w:pPr>
              <w:spacing w:after="0" w:line="240" w:lineRule="auto"/>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IPCA</w:t>
            </w:r>
          </w:p>
        </w:tc>
        <w:tc>
          <w:tcPr>
            <w:tcW w:w="1220" w:type="dxa"/>
            <w:tcBorders>
              <w:top w:val="nil"/>
              <w:left w:val="nil"/>
              <w:bottom w:val="nil"/>
              <w:right w:val="nil"/>
            </w:tcBorders>
            <w:shd w:val="clear" w:color="auto" w:fill="auto"/>
            <w:noWrap/>
            <w:vAlign w:val="bottom"/>
            <w:hideMark/>
          </w:tcPr>
          <w:p w14:paraId="231EF5C0" w14:textId="77777777" w:rsidR="00FD7A18" w:rsidRPr="00BB179A" w:rsidRDefault="00FD7A18" w:rsidP="003F7196">
            <w:pPr>
              <w:spacing w:after="0" w:line="240" w:lineRule="auto"/>
              <w:jc w:val="right"/>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100,00</w:t>
            </w:r>
          </w:p>
        </w:tc>
      </w:tr>
      <w:tr w:rsidR="00FD7A18" w:rsidRPr="00BB179A" w14:paraId="04FE5ADE" w14:textId="77777777" w:rsidTr="003F7196">
        <w:trPr>
          <w:trHeight w:val="300"/>
          <w:jc w:val="center"/>
        </w:trPr>
        <w:tc>
          <w:tcPr>
            <w:tcW w:w="2586" w:type="dxa"/>
            <w:tcBorders>
              <w:top w:val="nil"/>
              <w:left w:val="nil"/>
              <w:bottom w:val="nil"/>
              <w:right w:val="nil"/>
            </w:tcBorders>
            <w:shd w:val="clear" w:color="auto" w:fill="auto"/>
            <w:noWrap/>
            <w:vAlign w:val="bottom"/>
            <w:hideMark/>
          </w:tcPr>
          <w:p w14:paraId="5F67B9E6" w14:textId="77777777" w:rsidR="00FD7A18" w:rsidRPr="00BB179A" w:rsidRDefault="00FD7A18" w:rsidP="003F7196">
            <w:pPr>
              <w:spacing w:after="0" w:line="240" w:lineRule="auto"/>
              <w:ind w:firstLineChars="100" w:firstLine="200"/>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Livres</w:t>
            </w:r>
          </w:p>
        </w:tc>
        <w:tc>
          <w:tcPr>
            <w:tcW w:w="1220" w:type="dxa"/>
            <w:tcBorders>
              <w:top w:val="nil"/>
              <w:left w:val="nil"/>
              <w:bottom w:val="nil"/>
              <w:right w:val="nil"/>
            </w:tcBorders>
            <w:shd w:val="clear" w:color="auto" w:fill="auto"/>
            <w:noWrap/>
            <w:vAlign w:val="bottom"/>
            <w:hideMark/>
          </w:tcPr>
          <w:p w14:paraId="29538ABE" w14:textId="77777777" w:rsidR="00FD7A18" w:rsidRPr="00BB179A" w:rsidRDefault="00FD7A18" w:rsidP="003F7196">
            <w:pPr>
              <w:spacing w:after="0" w:line="240" w:lineRule="auto"/>
              <w:jc w:val="right"/>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74,91</w:t>
            </w:r>
          </w:p>
        </w:tc>
      </w:tr>
      <w:tr w:rsidR="00FD7A18" w:rsidRPr="00BB179A" w14:paraId="7028758E" w14:textId="77777777" w:rsidTr="003F7196">
        <w:trPr>
          <w:trHeight w:val="300"/>
          <w:jc w:val="center"/>
        </w:trPr>
        <w:tc>
          <w:tcPr>
            <w:tcW w:w="2586" w:type="dxa"/>
            <w:tcBorders>
              <w:top w:val="nil"/>
              <w:left w:val="nil"/>
              <w:bottom w:val="nil"/>
              <w:right w:val="nil"/>
            </w:tcBorders>
            <w:shd w:val="clear" w:color="auto" w:fill="auto"/>
            <w:noWrap/>
            <w:vAlign w:val="bottom"/>
            <w:hideMark/>
          </w:tcPr>
          <w:p w14:paraId="2CF0A0D6" w14:textId="77777777" w:rsidR="00FD7A18" w:rsidRPr="00BB179A" w:rsidRDefault="00FD7A18" w:rsidP="003F7196">
            <w:pPr>
              <w:spacing w:after="0" w:line="240" w:lineRule="auto"/>
              <w:ind w:firstLineChars="200" w:firstLine="400"/>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Alimentos</w:t>
            </w:r>
          </w:p>
        </w:tc>
        <w:tc>
          <w:tcPr>
            <w:tcW w:w="1220" w:type="dxa"/>
            <w:tcBorders>
              <w:top w:val="nil"/>
              <w:left w:val="nil"/>
              <w:bottom w:val="nil"/>
              <w:right w:val="nil"/>
            </w:tcBorders>
            <w:shd w:val="clear" w:color="auto" w:fill="auto"/>
            <w:noWrap/>
            <w:vAlign w:val="bottom"/>
            <w:hideMark/>
          </w:tcPr>
          <w:p w14:paraId="2656EF56" w14:textId="77777777" w:rsidR="00FD7A18" w:rsidRPr="00BB179A" w:rsidRDefault="00FD7A18" w:rsidP="003F7196">
            <w:pPr>
              <w:spacing w:after="0" w:line="240" w:lineRule="auto"/>
              <w:jc w:val="right"/>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13,11</w:t>
            </w:r>
          </w:p>
        </w:tc>
      </w:tr>
      <w:tr w:rsidR="00FD7A18" w:rsidRPr="00BB179A" w14:paraId="65508C3B" w14:textId="77777777" w:rsidTr="003F7196">
        <w:trPr>
          <w:trHeight w:val="300"/>
          <w:jc w:val="center"/>
        </w:trPr>
        <w:tc>
          <w:tcPr>
            <w:tcW w:w="2586" w:type="dxa"/>
            <w:tcBorders>
              <w:top w:val="nil"/>
              <w:left w:val="nil"/>
              <w:bottom w:val="nil"/>
              <w:right w:val="nil"/>
            </w:tcBorders>
            <w:shd w:val="clear" w:color="auto" w:fill="auto"/>
            <w:noWrap/>
            <w:vAlign w:val="bottom"/>
            <w:hideMark/>
          </w:tcPr>
          <w:p w14:paraId="5B32B515" w14:textId="77777777" w:rsidR="00FD7A18" w:rsidRPr="00BB179A" w:rsidRDefault="00FD7A18" w:rsidP="003F7196">
            <w:pPr>
              <w:spacing w:after="0" w:line="240" w:lineRule="auto"/>
              <w:ind w:firstLineChars="200" w:firstLine="400"/>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Serviços</w:t>
            </w:r>
          </w:p>
        </w:tc>
        <w:tc>
          <w:tcPr>
            <w:tcW w:w="1220" w:type="dxa"/>
            <w:tcBorders>
              <w:top w:val="nil"/>
              <w:left w:val="nil"/>
              <w:bottom w:val="nil"/>
              <w:right w:val="nil"/>
            </w:tcBorders>
            <w:shd w:val="clear" w:color="auto" w:fill="auto"/>
            <w:noWrap/>
            <w:vAlign w:val="bottom"/>
            <w:hideMark/>
          </w:tcPr>
          <w:p w14:paraId="4359C111" w14:textId="77777777" w:rsidR="00FD7A18" w:rsidRPr="00BB179A" w:rsidRDefault="00FD7A18" w:rsidP="003F7196">
            <w:pPr>
              <w:spacing w:after="0" w:line="240" w:lineRule="auto"/>
              <w:jc w:val="right"/>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37,22</w:t>
            </w:r>
          </w:p>
        </w:tc>
      </w:tr>
      <w:tr w:rsidR="00FD7A18" w:rsidRPr="00BB179A" w14:paraId="7911739E" w14:textId="77777777" w:rsidTr="003F7196">
        <w:trPr>
          <w:trHeight w:val="300"/>
          <w:jc w:val="center"/>
        </w:trPr>
        <w:tc>
          <w:tcPr>
            <w:tcW w:w="2586" w:type="dxa"/>
            <w:tcBorders>
              <w:top w:val="nil"/>
              <w:left w:val="nil"/>
              <w:bottom w:val="nil"/>
              <w:right w:val="nil"/>
            </w:tcBorders>
            <w:shd w:val="clear" w:color="auto" w:fill="auto"/>
            <w:noWrap/>
            <w:vAlign w:val="bottom"/>
            <w:hideMark/>
          </w:tcPr>
          <w:p w14:paraId="5E209237" w14:textId="77777777" w:rsidR="00FD7A18" w:rsidRPr="00BB179A" w:rsidRDefault="00FD7A18" w:rsidP="003F7196">
            <w:pPr>
              <w:spacing w:after="0" w:line="240" w:lineRule="auto"/>
              <w:ind w:firstLineChars="200" w:firstLine="400"/>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Bens industriais</w:t>
            </w:r>
          </w:p>
        </w:tc>
        <w:tc>
          <w:tcPr>
            <w:tcW w:w="1220" w:type="dxa"/>
            <w:tcBorders>
              <w:top w:val="nil"/>
              <w:left w:val="nil"/>
              <w:bottom w:val="nil"/>
              <w:right w:val="nil"/>
            </w:tcBorders>
            <w:shd w:val="clear" w:color="auto" w:fill="auto"/>
            <w:noWrap/>
            <w:vAlign w:val="bottom"/>
            <w:hideMark/>
          </w:tcPr>
          <w:p w14:paraId="22963F91" w14:textId="77777777" w:rsidR="00FD7A18" w:rsidRPr="00BB179A" w:rsidRDefault="00FD7A18" w:rsidP="003F7196">
            <w:pPr>
              <w:spacing w:after="0" w:line="240" w:lineRule="auto"/>
              <w:jc w:val="right"/>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24,59</w:t>
            </w:r>
          </w:p>
        </w:tc>
      </w:tr>
      <w:tr w:rsidR="00FD7A18" w:rsidRPr="00BB179A" w14:paraId="5F352660" w14:textId="77777777" w:rsidTr="003F7196">
        <w:trPr>
          <w:trHeight w:val="300"/>
          <w:jc w:val="center"/>
        </w:trPr>
        <w:tc>
          <w:tcPr>
            <w:tcW w:w="2586" w:type="dxa"/>
            <w:tcBorders>
              <w:top w:val="nil"/>
              <w:left w:val="nil"/>
              <w:bottom w:val="nil"/>
              <w:right w:val="nil"/>
            </w:tcBorders>
            <w:shd w:val="clear" w:color="auto" w:fill="auto"/>
            <w:noWrap/>
            <w:vAlign w:val="bottom"/>
            <w:hideMark/>
          </w:tcPr>
          <w:p w14:paraId="2D8D5B5A" w14:textId="77777777" w:rsidR="00FD7A18" w:rsidRPr="00BB179A" w:rsidRDefault="00FD7A18" w:rsidP="003F7196">
            <w:pPr>
              <w:spacing w:after="0" w:line="240" w:lineRule="auto"/>
              <w:ind w:firstLineChars="300" w:firstLine="600"/>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Duráveis</w:t>
            </w:r>
          </w:p>
        </w:tc>
        <w:tc>
          <w:tcPr>
            <w:tcW w:w="1220" w:type="dxa"/>
            <w:tcBorders>
              <w:top w:val="nil"/>
              <w:left w:val="nil"/>
              <w:bottom w:val="nil"/>
              <w:right w:val="nil"/>
            </w:tcBorders>
            <w:shd w:val="clear" w:color="auto" w:fill="auto"/>
            <w:noWrap/>
            <w:vAlign w:val="bottom"/>
            <w:hideMark/>
          </w:tcPr>
          <w:p w14:paraId="22F6555A" w14:textId="77777777" w:rsidR="00FD7A18" w:rsidRPr="00BB179A" w:rsidRDefault="00FD7A18" w:rsidP="003F7196">
            <w:pPr>
              <w:spacing w:after="0" w:line="240" w:lineRule="auto"/>
              <w:jc w:val="right"/>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10,82</w:t>
            </w:r>
          </w:p>
        </w:tc>
      </w:tr>
      <w:tr w:rsidR="00FD7A18" w:rsidRPr="00BB179A" w14:paraId="04419AD9" w14:textId="77777777" w:rsidTr="003F7196">
        <w:trPr>
          <w:trHeight w:val="300"/>
          <w:jc w:val="center"/>
        </w:trPr>
        <w:tc>
          <w:tcPr>
            <w:tcW w:w="2586" w:type="dxa"/>
            <w:tcBorders>
              <w:top w:val="nil"/>
              <w:left w:val="nil"/>
              <w:bottom w:val="nil"/>
              <w:right w:val="nil"/>
            </w:tcBorders>
            <w:shd w:val="clear" w:color="auto" w:fill="auto"/>
            <w:noWrap/>
            <w:vAlign w:val="bottom"/>
            <w:hideMark/>
          </w:tcPr>
          <w:p w14:paraId="150E120F" w14:textId="06A930AC" w:rsidR="00FD7A18" w:rsidRPr="00BB179A" w:rsidRDefault="00FD7A18" w:rsidP="003F7196">
            <w:pPr>
              <w:spacing w:after="0" w:line="240" w:lineRule="auto"/>
              <w:ind w:firstLineChars="300" w:firstLine="600"/>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Semiduráveis</w:t>
            </w:r>
          </w:p>
        </w:tc>
        <w:tc>
          <w:tcPr>
            <w:tcW w:w="1220" w:type="dxa"/>
            <w:tcBorders>
              <w:top w:val="nil"/>
              <w:left w:val="nil"/>
              <w:bottom w:val="nil"/>
              <w:right w:val="nil"/>
            </w:tcBorders>
            <w:shd w:val="clear" w:color="auto" w:fill="auto"/>
            <w:noWrap/>
            <w:vAlign w:val="bottom"/>
            <w:hideMark/>
          </w:tcPr>
          <w:p w14:paraId="57D7937A" w14:textId="77777777" w:rsidR="00FD7A18" w:rsidRPr="00BB179A" w:rsidRDefault="00FD7A18" w:rsidP="003F7196">
            <w:pPr>
              <w:spacing w:after="0" w:line="240" w:lineRule="auto"/>
              <w:jc w:val="right"/>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6,29</w:t>
            </w:r>
          </w:p>
        </w:tc>
      </w:tr>
      <w:tr w:rsidR="00FD7A18" w:rsidRPr="00BB179A" w14:paraId="21C1E142" w14:textId="77777777" w:rsidTr="003F7196">
        <w:trPr>
          <w:trHeight w:val="300"/>
          <w:jc w:val="center"/>
        </w:trPr>
        <w:tc>
          <w:tcPr>
            <w:tcW w:w="2586" w:type="dxa"/>
            <w:tcBorders>
              <w:top w:val="nil"/>
              <w:left w:val="nil"/>
              <w:bottom w:val="nil"/>
              <w:right w:val="nil"/>
            </w:tcBorders>
            <w:shd w:val="clear" w:color="auto" w:fill="auto"/>
            <w:noWrap/>
            <w:vAlign w:val="bottom"/>
            <w:hideMark/>
          </w:tcPr>
          <w:p w14:paraId="63DE1D0B" w14:textId="02459D23" w:rsidR="00FD7A18" w:rsidRPr="00BB179A" w:rsidRDefault="00FD7A18" w:rsidP="003F7196">
            <w:pPr>
              <w:spacing w:after="0" w:line="240" w:lineRule="auto"/>
              <w:ind w:firstLineChars="300" w:firstLine="600"/>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Não</w:t>
            </w:r>
            <w:r w:rsidR="00883875">
              <w:rPr>
                <w:rFonts w:ascii="Arial" w:eastAsia="Times New Roman" w:hAnsi="Arial" w:cs="Arial"/>
                <w:color w:val="000000"/>
                <w:sz w:val="20"/>
                <w:szCs w:val="20"/>
                <w:lang w:eastAsia="pt-BR"/>
              </w:rPr>
              <w:t xml:space="preserve"> </w:t>
            </w:r>
            <w:r w:rsidRPr="00BB179A">
              <w:rPr>
                <w:rFonts w:ascii="Arial" w:eastAsia="Times New Roman" w:hAnsi="Arial" w:cs="Arial"/>
                <w:color w:val="000000"/>
                <w:sz w:val="20"/>
                <w:szCs w:val="20"/>
                <w:lang w:eastAsia="pt-BR"/>
              </w:rPr>
              <w:t>duráveis</w:t>
            </w:r>
          </w:p>
        </w:tc>
        <w:tc>
          <w:tcPr>
            <w:tcW w:w="1220" w:type="dxa"/>
            <w:tcBorders>
              <w:top w:val="nil"/>
              <w:left w:val="nil"/>
              <w:bottom w:val="nil"/>
              <w:right w:val="nil"/>
            </w:tcBorders>
            <w:shd w:val="clear" w:color="auto" w:fill="auto"/>
            <w:noWrap/>
            <w:vAlign w:val="bottom"/>
            <w:hideMark/>
          </w:tcPr>
          <w:p w14:paraId="5B0D2143" w14:textId="77777777" w:rsidR="00FD7A18" w:rsidRPr="00BB179A" w:rsidRDefault="00FD7A18" w:rsidP="003F7196">
            <w:pPr>
              <w:spacing w:after="0" w:line="240" w:lineRule="auto"/>
              <w:jc w:val="right"/>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7,48</w:t>
            </w:r>
          </w:p>
        </w:tc>
      </w:tr>
      <w:tr w:rsidR="00FD7A18" w:rsidRPr="00BB179A" w14:paraId="3B18E1B4" w14:textId="77777777" w:rsidTr="003F7196">
        <w:trPr>
          <w:trHeight w:val="300"/>
          <w:jc w:val="center"/>
        </w:trPr>
        <w:tc>
          <w:tcPr>
            <w:tcW w:w="2586" w:type="dxa"/>
            <w:tcBorders>
              <w:top w:val="nil"/>
              <w:left w:val="nil"/>
              <w:bottom w:val="single" w:sz="4" w:space="0" w:color="auto"/>
              <w:right w:val="nil"/>
            </w:tcBorders>
            <w:shd w:val="clear" w:color="auto" w:fill="auto"/>
            <w:noWrap/>
            <w:vAlign w:val="bottom"/>
            <w:hideMark/>
          </w:tcPr>
          <w:p w14:paraId="25EB5341" w14:textId="77777777" w:rsidR="00FD7A18" w:rsidRPr="00BB179A" w:rsidRDefault="00FD7A18" w:rsidP="003F7196">
            <w:pPr>
              <w:spacing w:after="0" w:line="240" w:lineRule="auto"/>
              <w:ind w:firstLineChars="100" w:firstLine="200"/>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Monitorados</w:t>
            </w:r>
          </w:p>
        </w:tc>
        <w:tc>
          <w:tcPr>
            <w:tcW w:w="1220" w:type="dxa"/>
            <w:tcBorders>
              <w:top w:val="nil"/>
              <w:left w:val="nil"/>
              <w:bottom w:val="single" w:sz="4" w:space="0" w:color="auto"/>
              <w:right w:val="nil"/>
            </w:tcBorders>
            <w:shd w:val="clear" w:color="auto" w:fill="auto"/>
            <w:noWrap/>
            <w:vAlign w:val="bottom"/>
            <w:hideMark/>
          </w:tcPr>
          <w:p w14:paraId="4FE5B9E2" w14:textId="77777777" w:rsidR="00FD7A18" w:rsidRPr="00BB179A" w:rsidRDefault="00FD7A18" w:rsidP="003F7196">
            <w:pPr>
              <w:spacing w:after="0" w:line="240" w:lineRule="auto"/>
              <w:jc w:val="right"/>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25,09</w:t>
            </w:r>
          </w:p>
        </w:tc>
      </w:tr>
      <w:tr w:rsidR="00FD7A18" w:rsidRPr="00BB179A" w14:paraId="1EB225E5" w14:textId="77777777" w:rsidTr="003F7196">
        <w:trPr>
          <w:trHeight w:val="300"/>
          <w:jc w:val="center"/>
        </w:trPr>
        <w:tc>
          <w:tcPr>
            <w:tcW w:w="2586" w:type="dxa"/>
            <w:tcBorders>
              <w:top w:val="nil"/>
              <w:left w:val="nil"/>
              <w:bottom w:val="nil"/>
              <w:right w:val="nil"/>
            </w:tcBorders>
            <w:shd w:val="clear" w:color="auto" w:fill="auto"/>
            <w:noWrap/>
            <w:vAlign w:val="bottom"/>
            <w:hideMark/>
          </w:tcPr>
          <w:p w14:paraId="44977E9F" w14:textId="77777777" w:rsidR="00FD7A18" w:rsidRPr="00BB179A" w:rsidRDefault="00FD7A18" w:rsidP="003F7196">
            <w:pPr>
              <w:spacing w:after="0" w:line="240" w:lineRule="auto"/>
              <w:ind w:firstLineChars="100" w:firstLine="200"/>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Livres</w:t>
            </w:r>
          </w:p>
        </w:tc>
        <w:tc>
          <w:tcPr>
            <w:tcW w:w="1220" w:type="dxa"/>
            <w:tcBorders>
              <w:top w:val="nil"/>
              <w:left w:val="nil"/>
              <w:bottom w:val="nil"/>
              <w:right w:val="nil"/>
            </w:tcBorders>
            <w:shd w:val="clear" w:color="auto" w:fill="auto"/>
            <w:noWrap/>
            <w:vAlign w:val="bottom"/>
            <w:hideMark/>
          </w:tcPr>
          <w:p w14:paraId="02E17780" w14:textId="77777777" w:rsidR="00FD7A18" w:rsidRPr="00BB179A" w:rsidRDefault="00FD7A18" w:rsidP="003F7196">
            <w:pPr>
              <w:spacing w:after="0" w:line="240" w:lineRule="auto"/>
              <w:jc w:val="right"/>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74,91</w:t>
            </w:r>
          </w:p>
        </w:tc>
      </w:tr>
      <w:tr w:rsidR="00FD7A18" w:rsidRPr="00BB179A" w14:paraId="3C44DCE9" w14:textId="77777777" w:rsidTr="003F7196">
        <w:trPr>
          <w:trHeight w:val="300"/>
          <w:jc w:val="center"/>
        </w:trPr>
        <w:tc>
          <w:tcPr>
            <w:tcW w:w="2586" w:type="dxa"/>
            <w:tcBorders>
              <w:top w:val="nil"/>
              <w:left w:val="nil"/>
              <w:bottom w:val="nil"/>
              <w:right w:val="nil"/>
            </w:tcBorders>
            <w:shd w:val="clear" w:color="auto" w:fill="auto"/>
            <w:noWrap/>
            <w:vAlign w:val="bottom"/>
            <w:hideMark/>
          </w:tcPr>
          <w:p w14:paraId="3364851B" w14:textId="77777777" w:rsidR="00FD7A18" w:rsidRPr="00BB179A" w:rsidRDefault="00FD7A18" w:rsidP="003F7196">
            <w:pPr>
              <w:spacing w:after="0" w:line="240" w:lineRule="auto"/>
              <w:ind w:firstLineChars="200" w:firstLine="400"/>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Comercializáveis</w:t>
            </w:r>
          </w:p>
        </w:tc>
        <w:tc>
          <w:tcPr>
            <w:tcW w:w="1220" w:type="dxa"/>
            <w:tcBorders>
              <w:top w:val="nil"/>
              <w:left w:val="nil"/>
              <w:bottom w:val="nil"/>
              <w:right w:val="nil"/>
            </w:tcBorders>
            <w:shd w:val="clear" w:color="auto" w:fill="auto"/>
            <w:noWrap/>
            <w:vAlign w:val="bottom"/>
            <w:hideMark/>
          </w:tcPr>
          <w:p w14:paraId="32532F28" w14:textId="77777777" w:rsidR="00FD7A18" w:rsidRPr="00BB179A" w:rsidRDefault="00FD7A18" w:rsidP="003F7196">
            <w:pPr>
              <w:spacing w:after="0" w:line="240" w:lineRule="auto"/>
              <w:jc w:val="right"/>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30,87</w:t>
            </w:r>
          </w:p>
        </w:tc>
      </w:tr>
      <w:tr w:rsidR="00FD7A18" w:rsidRPr="00BB179A" w14:paraId="522C9552" w14:textId="77777777" w:rsidTr="003F7196">
        <w:trPr>
          <w:trHeight w:val="300"/>
          <w:jc w:val="center"/>
        </w:trPr>
        <w:tc>
          <w:tcPr>
            <w:tcW w:w="2586" w:type="dxa"/>
            <w:tcBorders>
              <w:top w:val="nil"/>
              <w:left w:val="nil"/>
              <w:bottom w:val="nil"/>
              <w:right w:val="nil"/>
            </w:tcBorders>
            <w:shd w:val="clear" w:color="auto" w:fill="auto"/>
            <w:noWrap/>
            <w:vAlign w:val="bottom"/>
            <w:hideMark/>
          </w:tcPr>
          <w:p w14:paraId="38DBA625" w14:textId="77777777" w:rsidR="00FD7A18" w:rsidRPr="00BB179A" w:rsidRDefault="00FD7A18" w:rsidP="003F7196">
            <w:pPr>
              <w:spacing w:after="0" w:line="240" w:lineRule="auto"/>
              <w:ind w:firstLineChars="200" w:firstLine="400"/>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Não-comercializáveis</w:t>
            </w:r>
          </w:p>
        </w:tc>
        <w:tc>
          <w:tcPr>
            <w:tcW w:w="1220" w:type="dxa"/>
            <w:tcBorders>
              <w:top w:val="nil"/>
              <w:left w:val="nil"/>
              <w:bottom w:val="nil"/>
              <w:right w:val="nil"/>
            </w:tcBorders>
            <w:shd w:val="clear" w:color="auto" w:fill="auto"/>
            <w:noWrap/>
            <w:vAlign w:val="bottom"/>
            <w:hideMark/>
          </w:tcPr>
          <w:p w14:paraId="5D81A890" w14:textId="77777777" w:rsidR="00FD7A18" w:rsidRPr="00BB179A" w:rsidRDefault="00FD7A18" w:rsidP="003F7196">
            <w:pPr>
              <w:spacing w:after="0" w:line="240" w:lineRule="auto"/>
              <w:jc w:val="right"/>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44,04</w:t>
            </w:r>
          </w:p>
        </w:tc>
      </w:tr>
      <w:tr w:rsidR="00FD7A18" w:rsidRPr="00BB179A" w14:paraId="3F8156B7" w14:textId="77777777" w:rsidTr="003F7196">
        <w:trPr>
          <w:trHeight w:val="300"/>
          <w:jc w:val="center"/>
        </w:trPr>
        <w:tc>
          <w:tcPr>
            <w:tcW w:w="2586" w:type="dxa"/>
            <w:tcBorders>
              <w:top w:val="nil"/>
              <w:left w:val="nil"/>
              <w:bottom w:val="single" w:sz="4" w:space="0" w:color="auto"/>
              <w:right w:val="nil"/>
            </w:tcBorders>
            <w:shd w:val="clear" w:color="auto" w:fill="auto"/>
            <w:noWrap/>
            <w:vAlign w:val="bottom"/>
            <w:hideMark/>
          </w:tcPr>
          <w:p w14:paraId="1369520B" w14:textId="77777777" w:rsidR="00FD7A18" w:rsidRPr="00BB179A" w:rsidRDefault="00FD7A18" w:rsidP="003F7196">
            <w:pPr>
              <w:spacing w:after="0" w:line="240" w:lineRule="auto"/>
              <w:ind w:firstLineChars="100" w:firstLine="200"/>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Monitorados</w:t>
            </w:r>
          </w:p>
        </w:tc>
        <w:tc>
          <w:tcPr>
            <w:tcW w:w="1220" w:type="dxa"/>
            <w:tcBorders>
              <w:top w:val="nil"/>
              <w:left w:val="nil"/>
              <w:bottom w:val="single" w:sz="4" w:space="0" w:color="auto"/>
              <w:right w:val="nil"/>
            </w:tcBorders>
            <w:shd w:val="clear" w:color="auto" w:fill="auto"/>
            <w:noWrap/>
            <w:vAlign w:val="bottom"/>
            <w:hideMark/>
          </w:tcPr>
          <w:p w14:paraId="4A7D2F03" w14:textId="77777777" w:rsidR="00FD7A18" w:rsidRPr="00BB179A" w:rsidRDefault="00FD7A18" w:rsidP="003F7196">
            <w:pPr>
              <w:spacing w:after="0" w:line="240" w:lineRule="auto"/>
              <w:jc w:val="right"/>
              <w:rPr>
                <w:rFonts w:ascii="Arial" w:eastAsia="Times New Roman" w:hAnsi="Arial" w:cs="Arial"/>
                <w:color w:val="000000"/>
                <w:sz w:val="20"/>
                <w:szCs w:val="20"/>
                <w:lang w:eastAsia="pt-BR"/>
              </w:rPr>
            </w:pPr>
            <w:r w:rsidRPr="00BB179A">
              <w:rPr>
                <w:rFonts w:ascii="Arial" w:eastAsia="Times New Roman" w:hAnsi="Arial" w:cs="Arial"/>
                <w:color w:val="000000"/>
                <w:sz w:val="20"/>
                <w:szCs w:val="20"/>
                <w:lang w:eastAsia="pt-BR"/>
              </w:rPr>
              <w:t>25,09</w:t>
            </w:r>
          </w:p>
        </w:tc>
      </w:tr>
    </w:tbl>
    <w:p w14:paraId="4F101908" w14:textId="16111D48" w:rsidR="007E0D68" w:rsidRPr="00515812" w:rsidRDefault="00FD7A18" w:rsidP="00515812">
      <w:pPr>
        <w:spacing w:line="360" w:lineRule="auto"/>
        <w:jc w:val="center"/>
        <w:rPr>
          <w:rFonts w:ascii="Arial" w:hAnsi="Arial" w:cs="Arial"/>
          <w:sz w:val="24"/>
          <w:szCs w:val="24"/>
        </w:rPr>
      </w:pPr>
      <w:r>
        <w:rPr>
          <w:rFonts w:ascii="Arial" w:hAnsi="Arial" w:cs="Arial"/>
          <w:sz w:val="24"/>
          <w:szCs w:val="24"/>
        </w:rPr>
        <w:lastRenderedPageBreak/>
        <w:br/>
      </w:r>
      <w:r w:rsidRPr="00FD7A18">
        <w:rPr>
          <w:rFonts w:ascii="Arial" w:hAnsi="Arial" w:cs="Arial"/>
          <w:sz w:val="24"/>
          <w:szCs w:val="24"/>
        </w:rPr>
        <w:t xml:space="preserve">Fonte: </w:t>
      </w:r>
      <w:r w:rsidR="00785A37">
        <w:rPr>
          <w:rFonts w:ascii="Arial" w:hAnsi="Arial" w:cs="Arial"/>
          <w:sz w:val="24"/>
          <w:szCs w:val="24"/>
        </w:rPr>
        <w:t>BCB</w:t>
      </w:r>
    </w:p>
    <w:p w14:paraId="60354156" w14:textId="785CECEA" w:rsidR="00785A37" w:rsidRDefault="00785A37" w:rsidP="00EF5689">
      <w:pPr>
        <w:spacing w:line="360" w:lineRule="auto"/>
        <w:jc w:val="both"/>
        <w:rPr>
          <w:rFonts w:ascii="Arial" w:hAnsi="Arial" w:cs="Arial"/>
          <w:b/>
          <w:bCs/>
          <w:sz w:val="24"/>
          <w:szCs w:val="24"/>
        </w:rPr>
      </w:pPr>
      <w:r w:rsidRPr="00785A37">
        <w:rPr>
          <w:rFonts w:ascii="Arial" w:hAnsi="Arial" w:cs="Arial"/>
          <w:sz w:val="24"/>
          <w:szCs w:val="24"/>
        </w:rPr>
        <w:t>Notadamente</w:t>
      </w:r>
      <w:r>
        <w:rPr>
          <w:rFonts w:ascii="Arial" w:hAnsi="Arial" w:cs="Arial"/>
          <w:sz w:val="24"/>
          <w:szCs w:val="24"/>
        </w:rPr>
        <w:t>, a diferença principal entre eles é a existência do grupo Monitorados para o IPCA, enquanto o Monitor permanece com as Grandes Categorias Econômicas</w:t>
      </w:r>
      <w:r w:rsidR="009973A4">
        <w:rPr>
          <w:rFonts w:ascii="Arial" w:hAnsi="Arial" w:cs="Arial"/>
          <w:sz w:val="24"/>
          <w:szCs w:val="24"/>
        </w:rPr>
        <w:t xml:space="preserve"> (GCE)</w:t>
      </w:r>
      <w:r>
        <w:rPr>
          <w:rFonts w:ascii="Arial" w:hAnsi="Arial" w:cs="Arial"/>
          <w:sz w:val="24"/>
          <w:szCs w:val="24"/>
        </w:rPr>
        <w:t>. A forma de tratar estes dados será descrita à frente.</w:t>
      </w:r>
    </w:p>
    <w:p w14:paraId="1FE2C231" w14:textId="77777777" w:rsidR="00785A37" w:rsidRDefault="00785A37" w:rsidP="00EF5689">
      <w:pPr>
        <w:spacing w:line="360" w:lineRule="auto"/>
        <w:jc w:val="both"/>
        <w:rPr>
          <w:rFonts w:ascii="Arial" w:hAnsi="Arial" w:cs="Arial"/>
          <w:b/>
          <w:bCs/>
          <w:sz w:val="24"/>
          <w:szCs w:val="24"/>
        </w:rPr>
      </w:pPr>
    </w:p>
    <w:p w14:paraId="11CD2550" w14:textId="76185E33" w:rsidR="007E0D68" w:rsidRPr="007E0D68" w:rsidRDefault="007E0D68" w:rsidP="00EF5689">
      <w:pPr>
        <w:spacing w:line="360" w:lineRule="auto"/>
        <w:jc w:val="both"/>
        <w:rPr>
          <w:rFonts w:ascii="Arial" w:hAnsi="Arial" w:cs="Arial"/>
          <w:b/>
          <w:bCs/>
          <w:sz w:val="24"/>
          <w:szCs w:val="24"/>
        </w:rPr>
      </w:pPr>
      <w:r w:rsidRPr="007E0D68">
        <w:rPr>
          <w:rFonts w:ascii="Arial" w:hAnsi="Arial" w:cs="Arial"/>
          <w:b/>
          <w:bCs/>
          <w:sz w:val="24"/>
          <w:szCs w:val="24"/>
        </w:rPr>
        <w:t xml:space="preserve">2.1 </w:t>
      </w:r>
      <w:r w:rsidR="002C1DEF">
        <w:rPr>
          <w:rFonts w:ascii="Arial" w:hAnsi="Arial" w:cs="Arial"/>
          <w:b/>
          <w:bCs/>
          <w:sz w:val="24"/>
          <w:szCs w:val="24"/>
        </w:rPr>
        <w:t>Descrição dos dados</w:t>
      </w:r>
    </w:p>
    <w:p w14:paraId="72A01F7B" w14:textId="75E94A1D" w:rsidR="00837472" w:rsidRDefault="004C11BB" w:rsidP="00EF5689">
      <w:pPr>
        <w:spacing w:line="360" w:lineRule="auto"/>
        <w:jc w:val="both"/>
        <w:rPr>
          <w:rFonts w:ascii="Arial" w:hAnsi="Arial" w:cs="Arial"/>
          <w:sz w:val="24"/>
          <w:szCs w:val="24"/>
        </w:rPr>
      </w:pPr>
      <w:r>
        <w:rPr>
          <w:rFonts w:ascii="Arial" w:hAnsi="Arial" w:cs="Arial"/>
          <w:sz w:val="24"/>
          <w:szCs w:val="24"/>
        </w:rPr>
        <w:t>A principal fonte a ser utilizada, como adiantado, será o Monitor do PIB da FGV. Segunda a própria metodologia do indicador</w:t>
      </w:r>
      <w:r>
        <w:rPr>
          <w:rStyle w:val="FootnoteReference"/>
          <w:rFonts w:ascii="Arial" w:hAnsi="Arial" w:cs="Arial"/>
          <w:sz w:val="24"/>
          <w:szCs w:val="24"/>
        </w:rPr>
        <w:footnoteReference w:id="2"/>
      </w:r>
      <w:r w:rsidR="000D5E99">
        <w:rPr>
          <w:rFonts w:ascii="Arial" w:hAnsi="Arial" w:cs="Arial"/>
          <w:sz w:val="24"/>
          <w:szCs w:val="24"/>
        </w:rPr>
        <w:t>, e</w:t>
      </w:r>
      <w:r>
        <w:rPr>
          <w:rFonts w:ascii="Arial" w:hAnsi="Arial" w:cs="Arial"/>
          <w:sz w:val="24"/>
          <w:szCs w:val="24"/>
        </w:rPr>
        <w:t xml:space="preserve">le é construído tendo como base a metodologia das Contas Nacionais Trimestrais (CNT) do IBGE. A abertura geral divulgada segue as CNT, </w:t>
      </w:r>
      <w:r w:rsidR="000D5E99">
        <w:rPr>
          <w:rFonts w:ascii="Arial" w:hAnsi="Arial" w:cs="Arial"/>
          <w:sz w:val="24"/>
          <w:szCs w:val="24"/>
        </w:rPr>
        <w:t xml:space="preserve">sendo </w:t>
      </w:r>
      <w:r>
        <w:rPr>
          <w:rFonts w:ascii="Arial" w:hAnsi="Arial" w:cs="Arial"/>
          <w:sz w:val="24"/>
          <w:szCs w:val="24"/>
        </w:rPr>
        <w:t>desagregada em 22 séries (17 pela ótica da oferta e 5 pela ótica da demanda).</w:t>
      </w:r>
      <w:r w:rsidR="000D5E99">
        <w:rPr>
          <w:rFonts w:ascii="Arial" w:hAnsi="Arial" w:cs="Arial"/>
          <w:sz w:val="24"/>
          <w:szCs w:val="24"/>
        </w:rPr>
        <w:t xml:space="preserve"> Além disso, o Monitor disponibiliza desagregações dos principais componentes da demanda (consumo das famílias, formação bruta de capital fixo, exportação e importação), totalizando 59 séries.</w:t>
      </w:r>
    </w:p>
    <w:p w14:paraId="1FD0883F" w14:textId="7B09E1AC" w:rsidR="000D5E99" w:rsidRDefault="000D5E99" w:rsidP="000D5E99">
      <w:pPr>
        <w:spacing w:line="360" w:lineRule="auto"/>
        <w:jc w:val="both"/>
        <w:rPr>
          <w:rFonts w:ascii="Arial" w:hAnsi="Arial" w:cs="Arial"/>
          <w:sz w:val="24"/>
          <w:szCs w:val="24"/>
        </w:rPr>
      </w:pPr>
      <w:r>
        <w:rPr>
          <w:rFonts w:ascii="Arial" w:hAnsi="Arial" w:cs="Arial"/>
          <w:sz w:val="24"/>
          <w:szCs w:val="24"/>
        </w:rPr>
        <w:t>Dentro dessa abertura, a FGV publica dados em</w:t>
      </w:r>
      <w:r w:rsidRPr="000D5E99">
        <w:t xml:space="preserve"> </w:t>
      </w:r>
      <w:r w:rsidRPr="000D5E99">
        <w:rPr>
          <w:rFonts w:ascii="Arial" w:hAnsi="Arial" w:cs="Arial"/>
          <w:sz w:val="24"/>
          <w:szCs w:val="24"/>
        </w:rPr>
        <w:t>i) números-índices de volume (base móvel</w:t>
      </w:r>
      <w:r>
        <w:rPr>
          <w:rFonts w:ascii="Arial" w:hAnsi="Arial" w:cs="Arial"/>
          <w:sz w:val="24"/>
          <w:szCs w:val="24"/>
        </w:rPr>
        <w:t xml:space="preserve">, </w:t>
      </w:r>
      <w:r w:rsidRPr="000D5E99">
        <w:rPr>
          <w:rFonts w:ascii="Arial" w:hAnsi="Arial" w:cs="Arial"/>
          <w:sz w:val="24"/>
          <w:szCs w:val="24"/>
        </w:rPr>
        <w:t>série encadeada e</w:t>
      </w:r>
      <w:r>
        <w:rPr>
          <w:rFonts w:ascii="Arial" w:hAnsi="Arial" w:cs="Arial"/>
          <w:sz w:val="24"/>
          <w:szCs w:val="24"/>
        </w:rPr>
        <w:t xml:space="preserve"> </w:t>
      </w:r>
      <w:r w:rsidRPr="000D5E99">
        <w:rPr>
          <w:rFonts w:ascii="Arial" w:hAnsi="Arial" w:cs="Arial"/>
          <w:sz w:val="24"/>
          <w:szCs w:val="24"/>
        </w:rPr>
        <w:t>série encadeada ajustada sazonalmente</w:t>
      </w:r>
      <w:r>
        <w:rPr>
          <w:rFonts w:ascii="Arial" w:hAnsi="Arial" w:cs="Arial"/>
          <w:sz w:val="24"/>
          <w:szCs w:val="24"/>
        </w:rPr>
        <w:t xml:space="preserve">), </w:t>
      </w:r>
      <w:r w:rsidRPr="000D5E99">
        <w:rPr>
          <w:rFonts w:ascii="Arial" w:hAnsi="Arial" w:cs="Arial"/>
          <w:sz w:val="24"/>
          <w:szCs w:val="24"/>
        </w:rPr>
        <w:t>ii) taxas de variação de volume (mensal,</w:t>
      </w:r>
      <w:r>
        <w:rPr>
          <w:rFonts w:ascii="Arial" w:hAnsi="Arial" w:cs="Arial"/>
          <w:sz w:val="24"/>
          <w:szCs w:val="24"/>
        </w:rPr>
        <w:t xml:space="preserve"> </w:t>
      </w:r>
      <w:r w:rsidRPr="000D5E99">
        <w:rPr>
          <w:rFonts w:ascii="Arial" w:hAnsi="Arial" w:cs="Arial"/>
          <w:sz w:val="24"/>
          <w:szCs w:val="24"/>
        </w:rPr>
        <w:t>trimestral</w:t>
      </w:r>
      <w:r>
        <w:rPr>
          <w:rFonts w:ascii="Arial" w:hAnsi="Arial" w:cs="Arial"/>
          <w:sz w:val="24"/>
          <w:szCs w:val="24"/>
        </w:rPr>
        <w:t xml:space="preserve"> e</w:t>
      </w:r>
      <w:r w:rsidRPr="000D5E99">
        <w:rPr>
          <w:rFonts w:ascii="Arial" w:hAnsi="Arial" w:cs="Arial"/>
          <w:sz w:val="24"/>
          <w:szCs w:val="24"/>
        </w:rPr>
        <w:t xml:space="preserve"> acumulada em 12 meses)</w:t>
      </w:r>
      <w:r>
        <w:rPr>
          <w:rFonts w:ascii="Arial" w:hAnsi="Arial" w:cs="Arial"/>
          <w:sz w:val="24"/>
          <w:szCs w:val="24"/>
        </w:rPr>
        <w:t xml:space="preserve"> e </w:t>
      </w:r>
      <w:r w:rsidRPr="000D5E99">
        <w:rPr>
          <w:rFonts w:ascii="Arial" w:hAnsi="Arial" w:cs="Arial"/>
          <w:sz w:val="24"/>
          <w:szCs w:val="24"/>
        </w:rPr>
        <w:t>iii)</w:t>
      </w:r>
      <w:r>
        <w:rPr>
          <w:rFonts w:ascii="Arial" w:hAnsi="Arial" w:cs="Arial"/>
          <w:sz w:val="24"/>
          <w:szCs w:val="24"/>
        </w:rPr>
        <w:t xml:space="preserve"> </w:t>
      </w:r>
      <w:r w:rsidRPr="000D5E99">
        <w:rPr>
          <w:rFonts w:ascii="Arial" w:hAnsi="Arial" w:cs="Arial"/>
          <w:sz w:val="24"/>
          <w:szCs w:val="24"/>
        </w:rPr>
        <w:t>informações em valores (Reais correntes e Reais a preços de 1995).</w:t>
      </w:r>
    </w:p>
    <w:p w14:paraId="77BCE0E1" w14:textId="2C022274" w:rsidR="00837472" w:rsidRDefault="000D5E99" w:rsidP="00EF5689">
      <w:pPr>
        <w:spacing w:line="360" w:lineRule="auto"/>
        <w:jc w:val="both"/>
        <w:rPr>
          <w:rFonts w:ascii="Arial" w:hAnsi="Arial" w:cs="Arial"/>
          <w:sz w:val="24"/>
          <w:szCs w:val="24"/>
        </w:rPr>
      </w:pPr>
      <w:r>
        <w:rPr>
          <w:rFonts w:ascii="Arial" w:hAnsi="Arial" w:cs="Arial"/>
          <w:sz w:val="24"/>
          <w:szCs w:val="24"/>
        </w:rPr>
        <w:t xml:space="preserve">Os dados que serão utilizados nesta Monografia são </w:t>
      </w:r>
      <w:r w:rsidR="00810FBA">
        <w:rPr>
          <w:rFonts w:ascii="Arial" w:hAnsi="Arial" w:cs="Arial"/>
          <w:sz w:val="24"/>
          <w:szCs w:val="24"/>
        </w:rPr>
        <w:t xml:space="preserve">da série encadeada do índice de volume do </w:t>
      </w:r>
      <w:r w:rsidR="00387B95">
        <w:rPr>
          <w:rFonts w:ascii="Arial" w:hAnsi="Arial" w:cs="Arial"/>
          <w:sz w:val="24"/>
          <w:szCs w:val="24"/>
        </w:rPr>
        <w:t>C</w:t>
      </w:r>
      <w:r w:rsidR="00810FBA">
        <w:rPr>
          <w:rFonts w:ascii="Arial" w:hAnsi="Arial" w:cs="Arial"/>
          <w:sz w:val="24"/>
          <w:szCs w:val="24"/>
        </w:rPr>
        <w:t xml:space="preserve">onsumo das </w:t>
      </w:r>
      <w:r w:rsidR="00387B95">
        <w:rPr>
          <w:rFonts w:ascii="Arial" w:hAnsi="Arial" w:cs="Arial"/>
          <w:sz w:val="24"/>
          <w:szCs w:val="24"/>
        </w:rPr>
        <w:t>F</w:t>
      </w:r>
      <w:r w:rsidR="00810FBA">
        <w:rPr>
          <w:rFonts w:ascii="Arial" w:hAnsi="Arial" w:cs="Arial"/>
          <w:sz w:val="24"/>
          <w:szCs w:val="24"/>
        </w:rPr>
        <w:t>amílias, com uma divisão entre Bens Duráveis, Semiduráveis, Não duráveis</w:t>
      </w:r>
      <w:r w:rsidR="00785A37">
        <w:rPr>
          <w:rFonts w:ascii="Arial" w:hAnsi="Arial" w:cs="Arial"/>
          <w:sz w:val="24"/>
          <w:szCs w:val="24"/>
        </w:rPr>
        <w:t xml:space="preserve"> e</w:t>
      </w:r>
      <w:r w:rsidR="00810FBA">
        <w:rPr>
          <w:rFonts w:ascii="Arial" w:hAnsi="Arial" w:cs="Arial"/>
          <w:sz w:val="24"/>
          <w:szCs w:val="24"/>
        </w:rPr>
        <w:t xml:space="preserve"> Serviços</w:t>
      </w:r>
      <w:r w:rsidR="00247108">
        <w:rPr>
          <w:rFonts w:ascii="Arial" w:hAnsi="Arial" w:cs="Arial"/>
          <w:sz w:val="24"/>
          <w:szCs w:val="24"/>
        </w:rPr>
        <w:t>, a fim de estabelecer uma boa proxy quantum para o consumo das famílias.</w:t>
      </w:r>
    </w:p>
    <w:p w14:paraId="48AC8648" w14:textId="60EE4139" w:rsidR="00785A37" w:rsidRDefault="00785A37" w:rsidP="00EF5689">
      <w:pPr>
        <w:spacing w:line="360" w:lineRule="auto"/>
        <w:jc w:val="both"/>
        <w:rPr>
          <w:rFonts w:ascii="Arial" w:hAnsi="Arial" w:cs="Arial"/>
          <w:sz w:val="24"/>
          <w:szCs w:val="24"/>
        </w:rPr>
      </w:pPr>
      <w:r>
        <w:rPr>
          <w:rFonts w:ascii="Arial" w:hAnsi="Arial" w:cs="Arial"/>
          <w:sz w:val="24"/>
          <w:szCs w:val="24"/>
        </w:rPr>
        <w:t>No entanto, como comentado, é preciso tratar o grupo dos Monitorados de forma diferente. Por questões discricionárias, o IPCA separa 24 subitens que não são totalmente sujeitos à precificação de mercado, seja por administração de preços por parte do governo ou alguma dinâmica de mercado idiossincrática do subitem.</w:t>
      </w:r>
    </w:p>
    <w:p w14:paraId="5CA67D96" w14:textId="22079A88" w:rsidR="00785A37" w:rsidRDefault="00B47BFD" w:rsidP="00EF5689">
      <w:pPr>
        <w:spacing w:line="360" w:lineRule="auto"/>
        <w:jc w:val="both"/>
        <w:rPr>
          <w:rFonts w:ascii="Arial" w:hAnsi="Arial" w:cs="Arial"/>
          <w:sz w:val="24"/>
          <w:szCs w:val="24"/>
        </w:rPr>
      </w:pPr>
      <w:r>
        <w:rPr>
          <w:rFonts w:ascii="Arial" w:hAnsi="Arial" w:cs="Arial"/>
          <w:sz w:val="24"/>
          <w:szCs w:val="24"/>
        </w:rPr>
        <w:t xml:space="preserve">Todavia, tal escolha é puramente metodológica, sem uma razão intrínseca para diferenciar tais bens e serviços do resto dos grupos. Ou seja, apesar de estarem </w:t>
      </w:r>
      <w:r>
        <w:rPr>
          <w:rFonts w:ascii="Arial" w:hAnsi="Arial" w:cs="Arial"/>
          <w:sz w:val="24"/>
          <w:szCs w:val="24"/>
        </w:rPr>
        <w:lastRenderedPageBreak/>
        <w:t>classificados como Monitorados, os itens continuam pertence</w:t>
      </w:r>
      <w:r w:rsidR="00770BBE">
        <w:rPr>
          <w:rFonts w:ascii="Arial" w:hAnsi="Arial" w:cs="Arial"/>
          <w:sz w:val="24"/>
          <w:szCs w:val="24"/>
        </w:rPr>
        <w:t>ndo</w:t>
      </w:r>
      <w:r>
        <w:rPr>
          <w:rFonts w:ascii="Arial" w:hAnsi="Arial" w:cs="Arial"/>
          <w:sz w:val="24"/>
          <w:szCs w:val="24"/>
        </w:rPr>
        <w:t xml:space="preserve"> aos grupos das Grandes Categorias Econômicas.</w:t>
      </w:r>
      <w:r w:rsidR="00770BBE">
        <w:rPr>
          <w:rFonts w:ascii="Arial" w:hAnsi="Arial" w:cs="Arial"/>
          <w:sz w:val="24"/>
          <w:szCs w:val="24"/>
        </w:rPr>
        <w:t xml:space="preserve"> Este foi exatamente o caminho escolhido para adaptar as bases.</w:t>
      </w:r>
    </w:p>
    <w:p w14:paraId="651F4B53" w14:textId="719E988C" w:rsidR="00785A37" w:rsidRDefault="00770BBE" w:rsidP="00EF5689">
      <w:pPr>
        <w:spacing w:line="360" w:lineRule="auto"/>
        <w:jc w:val="both"/>
        <w:rPr>
          <w:rFonts w:ascii="Arial" w:hAnsi="Arial" w:cs="Arial"/>
          <w:sz w:val="24"/>
          <w:szCs w:val="24"/>
        </w:rPr>
      </w:pPr>
      <w:r>
        <w:rPr>
          <w:rFonts w:ascii="Arial" w:hAnsi="Arial" w:cs="Arial"/>
          <w:sz w:val="24"/>
          <w:szCs w:val="24"/>
        </w:rPr>
        <w:t>Como o IPCA é feito com base Laspeyres e seus índices são aditivos (pesos contributivos), dada uma base fixa, podemos dissolver os pesos dos subitens Monitorados nos outros grupos de interesse. A Figura X mostra tal separação.</w:t>
      </w:r>
    </w:p>
    <w:p w14:paraId="6C4F207A" w14:textId="7B45857D" w:rsidR="00770BBE" w:rsidRDefault="00770BBE" w:rsidP="00EF5689">
      <w:pPr>
        <w:spacing w:line="360" w:lineRule="auto"/>
        <w:jc w:val="both"/>
        <w:rPr>
          <w:rFonts w:ascii="Arial" w:hAnsi="Arial" w:cs="Arial"/>
          <w:sz w:val="24"/>
          <w:szCs w:val="24"/>
        </w:rPr>
      </w:pPr>
      <w:r>
        <w:rPr>
          <w:rFonts w:ascii="Arial" w:hAnsi="Arial" w:cs="Arial"/>
          <w:sz w:val="24"/>
          <w:szCs w:val="24"/>
        </w:rPr>
        <w:t>Xxxxxxxxxxx</w:t>
      </w:r>
      <w:r w:rsidR="00A15AED">
        <w:rPr>
          <w:rFonts w:ascii="Arial" w:hAnsi="Arial" w:cs="Arial"/>
          <w:sz w:val="24"/>
          <w:szCs w:val="24"/>
        </w:rPr>
        <w:t xml:space="preserve"> (tabela com os monitorados e em qual GCE se encaixam)</w:t>
      </w:r>
    </w:p>
    <w:p w14:paraId="46305873" w14:textId="545573AA" w:rsidR="00770BBE" w:rsidRDefault="00770BBE" w:rsidP="00EF5689">
      <w:pPr>
        <w:spacing w:line="360" w:lineRule="auto"/>
        <w:jc w:val="both"/>
        <w:rPr>
          <w:rFonts w:ascii="Arial" w:hAnsi="Arial" w:cs="Arial"/>
          <w:sz w:val="24"/>
          <w:szCs w:val="24"/>
        </w:rPr>
      </w:pPr>
      <w:r>
        <w:rPr>
          <w:rFonts w:ascii="Arial" w:hAnsi="Arial" w:cs="Arial"/>
          <w:sz w:val="24"/>
          <w:szCs w:val="24"/>
        </w:rPr>
        <w:t>Os Monitorados, que originalmente pesavam 26,14%, agoram foram distribuídos conforme a Figura X</w:t>
      </w:r>
      <w:r w:rsidR="004514C1">
        <w:rPr>
          <w:rFonts w:ascii="Arial" w:hAnsi="Arial" w:cs="Arial"/>
          <w:sz w:val="24"/>
          <w:szCs w:val="24"/>
        </w:rPr>
        <w:t>, seguindo a tabela da metodologia do Monitor, que cita como os produtos do consumo das famílias estão distribuídos entre as GCE</w:t>
      </w:r>
      <w:r w:rsidR="004514C1">
        <w:rPr>
          <w:rStyle w:val="FootnoteReference"/>
          <w:rFonts w:ascii="Arial" w:hAnsi="Arial" w:cs="Arial"/>
          <w:sz w:val="24"/>
          <w:szCs w:val="24"/>
        </w:rPr>
        <w:footnoteReference w:id="3"/>
      </w:r>
      <w:r w:rsidR="004514C1">
        <w:rPr>
          <w:rFonts w:ascii="Arial" w:hAnsi="Arial" w:cs="Arial"/>
          <w:sz w:val="24"/>
          <w:szCs w:val="24"/>
        </w:rPr>
        <w:t>.</w:t>
      </w:r>
    </w:p>
    <w:p w14:paraId="3322E690" w14:textId="77D99196" w:rsidR="00770BBE" w:rsidRDefault="00770BBE" w:rsidP="00EF5689">
      <w:pPr>
        <w:spacing w:line="360" w:lineRule="auto"/>
        <w:jc w:val="both"/>
        <w:rPr>
          <w:rFonts w:ascii="Arial" w:hAnsi="Arial" w:cs="Arial"/>
          <w:sz w:val="24"/>
          <w:szCs w:val="24"/>
        </w:rPr>
      </w:pPr>
      <w:r>
        <w:rPr>
          <w:rFonts w:ascii="Arial" w:hAnsi="Arial" w:cs="Arial"/>
          <w:sz w:val="24"/>
          <w:szCs w:val="24"/>
        </w:rPr>
        <w:t>Xxxxxxxx (tabela com pesos antigos das GCE e novos pesos)</w:t>
      </w:r>
    </w:p>
    <w:p w14:paraId="78B86155" w14:textId="1065402D" w:rsidR="00321180" w:rsidRDefault="00321180" w:rsidP="00EF5689">
      <w:pPr>
        <w:spacing w:line="360" w:lineRule="auto"/>
        <w:jc w:val="both"/>
        <w:rPr>
          <w:rFonts w:ascii="Arial" w:hAnsi="Arial" w:cs="Arial"/>
          <w:sz w:val="24"/>
          <w:szCs w:val="24"/>
        </w:rPr>
      </w:pPr>
      <w:r>
        <w:rPr>
          <w:rFonts w:ascii="Arial" w:hAnsi="Arial" w:cs="Arial"/>
          <w:sz w:val="24"/>
          <w:szCs w:val="24"/>
        </w:rPr>
        <w:t xml:space="preserve">Com os novos índices construídos de forma aditiva, temos </w:t>
      </w:r>
      <w:r w:rsidR="00786DB0">
        <w:rPr>
          <w:rFonts w:ascii="Arial" w:hAnsi="Arial" w:cs="Arial"/>
          <w:sz w:val="24"/>
          <w:szCs w:val="24"/>
        </w:rPr>
        <w:t xml:space="preserve">também </w:t>
      </w:r>
      <w:r>
        <w:rPr>
          <w:rFonts w:ascii="Arial" w:hAnsi="Arial" w:cs="Arial"/>
          <w:sz w:val="24"/>
          <w:szCs w:val="24"/>
        </w:rPr>
        <w:t>as novas variações agregadas dos novos grupos com monitorados.</w:t>
      </w:r>
    </w:p>
    <w:p w14:paraId="70B3321B" w14:textId="2F30A861" w:rsidR="00A15AED" w:rsidRDefault="0065633D" w:rsidP="00EF5689">
      <w:pPr>
        <w:spacing w:line="360" w:lineRule="auto"/>
        <w:jc w:val="both"/>
        <w:rPr>
          <w:rFonts w:ascii="Arial" w:hAnsi="Arial" w:cs="Arial"/>
          <w:sz w:val="24"/>
          <w:szCs w:val="24"/>
        </w:rPr>
      </w:pPr>
      <w:r>
        <w:rPr>
          <w:rFonts w:ascii="Arial" w:hAnsi="Arial" w:cs="Arial"/>
          <w:sz w:val="24"/>
          <w:szCs w:val="24"/>
        </w:rPr>
        <w:t xml:space="preserve">Feita a nova ponderação do IPCA, podemos agora comparar com a ponderação do Monitor, que está definido apenas dentro das GCE, </w:t>
      </w:r>
      <w:r w:rsidR="009973A4">
        <w:rPr>
          <w:rFonts w:ascii="Arial" w:hAnsi="Arial" w:cs="Arial"/>
          <w:sz w:val="24"/>
          <w:szCs w:val="24"/>
        </w:rPr>
        <w:t>já que não faz sentido uma separação de Monitorados em índices quantum.</w:t>
      </w:r>
    </w:p>
    <w:p w14:paraId="242CF793" w14:textId="6C22901A" w:rsidR="004E7D68" w:rsidRDefault="00387B95" w:rsidP="00EF5689">
      <w:pPr>
        <w:spacing w:line="360" w:lineRule="auto"/>
        <w:jc w:val="both"/>
        <w:rPr>
          <w:rFonts w:ascii="Arial" w:hAnsi="Arial" w:cs="Arial"/>
          <w:sz w:val="24"/>
          <w:szCs w:val="24"/>
        </w:rPr>
      </w:pPr>
      <w:r>
        <w:rPr>
          <w:rFonts w:ascii="Arial" w:hAnsi="Arial" w:cs="Arial"/>
          <w:sz w:val="24"/>
          <w:szCs w:val="24"/>
        </w:rPr>
        <w:t xml:space="preserve">Ela, no entanto, não é divulgada diretamente pela FGV, </w:t>
      </w:r>
      <w:r w:rsidR="004E7D68">
        <w:rPr>
          <w:rFonts w:ascii="Arial" w:hAnsi="Arial" w:cs="Arial"/>
          <w:sz w:val="24"/>
          <w:szCs w:val="24"/>
        </w:rPr>
        <w:t xml:space="preserve">então não temos uma sinalização de que, apesar da reponderação, o Monitor será uma boa proxy (em termos de pesos) para o exercíocio. Para isso, </w:t>
      </w:r>
      <w:r>
        <w:rPr>
          <w:rFonts w:ascii="Arial" w:hAnsi="Arial" w:cs="Arial"/>
          <w:sz w:val="24"/>
          <w:szCs w:val="24"/>
        </w:rPr>
        <w:t>podemos fazer uma aproximação utilizando uma simples regressão para estimar os coeficientes de cada grupo.</w:t>
      </w:r>
    </w:p>
    <w:p w14:paraId="55DE599D" w14:textId="43F4DF72" w:rsidR="00387B95" w:rsidRDefault="00387B95" w:rsidP="00EF5689">
      <w:pPr>
        <w:spacing w:line="360" w:lineRule="auto"/>
        <w:jc w:val="both"/>
        <w:rPr>
          <w:rFonts w:ascii="Arial" w:hAnsi="Arial" w:cs="Arial"/>
          <w:sz w:val="24"/>
          <w:szCs w:val="24"/>
        </w:rPr>
      </w:pPr>
      <w:r>
        <w:rPr>
          <w:rFonts w:ascii="Arial" w:hAnsi="Arial" w:cs="Arial"/>
          <w:sz w:val="24"/>
          <w:szCs w:val="24"/>
        </w:rPr>
        <w:t>Sabemos, por construção, que os grupos de Não-Duráveis, Semiduráveis, Duráveis e Serviços devem totalizar o índice do Consumo das Famílias total.</w:t>
      </w:r>
      <w:r w:rsidR="004E7D68">
        <w:rPr>
          <w:rFonts w:ascii="Arial" w:hAnsi="Arial" w:cs="Arial"/>
          <w:sz w:val="24"/>
          <w:szCs w:val="24"/>
        </w:rPr>
        <w:t xml:space="preserve"> Dado isso, foi feita uma regressão a fim de estimar os coeficientes. Os resultados seguem na Figura X.</w:t>
      </w:r>
    </w:p>
    <w:p w14:paraId="527FB9BD" w14:textId="4D20C678" w:rsidR="004E7D68" w:rsidRDefault="004E7D68" w:rsidP="00EF5689">
      <w:pPr>
        <w:spacing w:line="360" w:lineRule="auto"/>
        <w:jc w:val="both"/>
        <w:rPr>
          <w:rFonts w:ascii="Arial" w:hAnsi="Arial" w:cs="Arial"/>
          <w:sz w:val="24"/>
          <w:szCs w:val="24"/>
        </w:rPr>
      </w:pPr>
      <w:r>
        <w:rPr>
          <w:rFonts w:ascii="Arial" w:hAnsi="Arial" w:cs="Arial"/>
          <w:sz w:val="24"/>
          <w:szCs w:val="24"/>
        </w:rPr>
        <w:t>Xxxxxxxxxxxx (imagem equação eviews)</w:t>
      </w:r>
    </w:p>
    <w:p w14:paraId="7D6ACD8B" w14:textId="005D12B0" w:rsidR="004E7D68" w:rsidRDefault="004E7D68" w:rsidP="00EF5689">
      <w:pPr>
        <w:spacing w:line="360" w:lineRule="auto"/>
        <w:jc w:val="both"/>
        <w:rPr>
          <w:rFonts w:ascii="Arial" w:hAnsi="Arial" w:cs="Arial"/>
          <w:sz w:val="24"/>
          <w:szCs w:val="24"/>
        </w:rPr>
      </w:pPr>
      <w:r>
        <w:rPr>
          <w:rFonts w:ascii="Arial" w:hAnsi="Arial" w:cs="Arial"/>
          <w:sz w:val="24"/>
          <w:szCs w:val="24"/>
        </w:rPr>
        <w:t>Pode-se perceber que o R</w:t>
      </w:r>
      <w:r>
        <w:rPr>
          <w:rFonts w:ascii="Arial" w:hAnsi="Arial" w:cs="Arial"/>
          <w:sz w:val="24"/>
          <w:szCs w:val="24"/>
          <w:vertAlign w:val="superscript"/>
        </w:rPr>
        <w:t>2</w:t>
      </w:r>
      <w:r>
        <w:rPr>
          <w:rFonts w:ascii="Arial" w:hAnsi="Arial" w:cs="Arial"/>
          <w:sz w:val="24"/>
          <w:szCs w:val="24"/>
        </w:rPr>
        <w:t xml:space="preserve"> da equação fica muito próximo de 1, sinalizando que, de fato, os subgrupos compreendem o total (como esperado por construção). </w:t>
      </w:r>
      <w:r>
        <w:rPr>
          <w:rFonts w:ascii="Arial" w:hAnsi="Arial" w:cs="Arial"/>
          <w:sz w:val="24"/>
          <w:szCs w:val="24"/>
        </w:rPr>
        <w:lastRenderedPageBreak/>
        <w:t>Observando os coeficientes resultantes, os valores são relativamente próximos dos encontrados após a reponderação do IPCA, como segue na Figura X.</w:t>
      </w:r>
    </w:p>
    <w:p w14:paraId="0DA2A49C" w14:textId="5A79B938" w:rsidR="004E7D68" w:rsidRDefault="004E7D68" w:rsidP="00EF5689">
      <w:pPr>
        <w:spacing w:line="360" w:lineRule="auto"/>
        <w:jc w:val="both"/>
        <w:rPr>
          <w:rFonts w:ascii="Arial" w:hAnsi="Arial" w:cs="Arial"/>
          <w:sz w:val="24"/>
          <w:szCs w:val="24"/>
        </w:rPr>
      </w:pPr>
      <w:r>
        <w:rPr>
          <w:rFonts w:ascii="Arial" w:hAnsi="Arial" w:cs="Arial"/>
          <w:sz w:val="24"/>
          <w:szCs w:val="24"/>
        </w:rPr>
        <w:t>Xxxxxxxxxxx (comparação coeficientes da equação e IPCA com monit dissolvidos)</w:t>
      </w:r>
    </w:p>
    <w:p w14:paraId="0AC38D30" w14:textId="7B9327D3" w:rsidR="004E7D68" w:rsidRDefault="004E7D68" w:rsidP="00EF5689">
      <w:pPr>
        <w:spacing w:line="360" w:lineRule="auto"/>
        <w:jc w:val="both"/>
        <w:rPr>
          <w:rFonts w:ascii="Arial" w:hAnsi="Arial" w:cs="Arial"/>
          <w:sz w:val="24"/>
          <w:szCs w:val="24"/>
        </w:rPr>
      </w:pPr>
      <w:r>
        <w:rPr>
          <w:rFonts w:ascii="Arial" w:hAnsi="Arial" w:cs="Arial"/>
          <w:sz w:val="24"/>
          <w:szCs w:val="24"/>
        </w:rPr>
        <w:t>O resultado era também esperado, já que os bens e serviços utilizados nas metodologias são próximos</w:t>
      </w:r>
      <w:r>
        <w:rPr>
          <w:rStyle w:val="FootnoteReference"/>
          <w:rFonts w:ascii="Arial" w:hAnsi="Arial" w:cs="Arial"/>
          <w:sz w:val="24"/>
          <w:szCs w:val="24"/>
        </w:rPr>
        <w:footnoteReference w:id="4"/>
      </w:r>
      <w:r w:rsidR="0045154B">
        <w:rPr>
          <w:rFonts w:ascii="Arial" w:hAnsi="Arial" w:cs="Arial"/>
          <w:sz w:val="24"/>
          <w:szCs w:val="24"/>
        </w:rPr>
        <w:t>,</w:t>
      </w:r>
      <w:r>
        <w:rPr>
          <w:rFonts w:ascii="Arial" w:hAnsi="Arial" w:cs="Arial"/>
          <w:sz w:val="24"/>
          <w:szCs w:val="24"/>
        </w:rPr>
        <w:t xml:space="preserve"> a separação em Monitorados é apenas uma escolha metodológica</w:t>
      </w:r>
      <w:r w:rsidR="0045154B">
        <w:rPr>
          <w:rFonts w:ascii="Arial" w:hAnsi="Arial" w:cs="Arial"/>
          <w:sz w:val="24"/>
          <w:szCs w:val="24"/>
        </w:rPr>
        <w:t xml:space="preserve"> e os dois índices estão tratando do Consumo das Famílias, apenas, um pelo lado de preços e outro pelo lado de quantum.</w:t>
      </w:r>
    </w:p>
    <w:p w14:paraId="576BCA27" w14:textId="126B0878" w:rsidR="0045154B" w:rsidRDefault="0045154B" w:rsidP="00EF5689">
      <w:pPr>
        <w:spacing w:line="360" w:lineRule="auto"/>
        <w:jc w:val="both"/>
        <w:rPr>
          <w:rFonts w:ascii="Arial" w:hAnsi="Arial" w:cs="Arial"/>
          <w:sz w:val="24"/>
          <w:szCs w:val="24"/>
        </w:rPr>
      </w:pPr>
      <w:r>
        <w:rPr>
          <w:rFonts w:ascii="Arial" w:hAnsi="Arial" w:cs="Arial"/>
          <w:sz w:val="24"/>
          <w:szCs w:val="24"/>
        </w:rPr>
        <w:t>Foi demonstrado como tratar os Monitorados em relação ao Monitor e também como o Monitor utiliza pesos semelhantes ao IPCA. Resta agora demonstrar que o Monitor é realmente uma boa proxy para o consumo, em quantidades, das famílias. Para isso, será feita uma comparação através da PMC e PMS.</w:t>
      </w:r>
    </w:p>
    <w:p w14:paraId="7243A47B" w14:textId="0BAA2050" w:rsidR="00540882" w:rsidRDefault="0045154B" w:rsidP="00EF5689">
      <w:pPr>
        <w:spacing w:line="360" w:lineRule="auto"/>
        <w:jc w:val="both"/>
        <w:rPr>
          <w:rFonts w:ascii="Arial" w:hAnsi="Arial" w:cs="Arial"/>
          <w:sz w:val="24"/>
          <w:szCs w:val="24"/>
        </w:rPr>
      </w:pPr>
      <w:r>
        <w:rPr>
          <w:rFonts w:ascii="Arial" w:hAnsi="Arial" w:cs="Arial"/>
          <w:sz w:val="24"/>
          <w:szCs w:val="24"/>
        </w:rPr>
        <w:t>Sabemos, pelas metodologias divulgada pelo IBGE</w:t>
      </w:r>
      <w:r>
        <w:rPr>
          <w:rStyle w:val="FootnoteReference"/>
          <w:rFonts w:ascii="Arial" w:hAnsi="Arial" w:cs="Arial"/>
          <w:sz w:val="24"/>
          <w:szCs w:val="24"/>
        </w:rPr>
        <w:footnoteReference w:id="5"/>
      </w:r>
      <w:r w:rsidR="008C69A3">
        <w:rPr>
          <w:rFonts w:ascii="Arial" w:hAnsi="Arial" w:cs="Arial"/>
          <w:sz w:val="24"/>
          <w:szCs w:val="24"/>
        </w:rPr>
        <w:t xml:space="preserve">, quais os deflatores utilizados para cada subitem das Pesquisas Mensais do IBGE. Isso nos indica, pelo menos segundo o instituto responsável pelos índices, uma correspondência entre os indicadores de preços e </w:t>
      </w:r>
      <w:r w:rsidR="00E07F3E">
        <w:rPr>
          <w:rFonts w:ascii="Arial" w:hAnsi="Arial" w:cs="Arial"/>
          <w:sz w:val="24"/>
          <w:szCs w:val="24"/>
        </w:rPr>
        <w:t>quantidades</w:t>
      </w:r>
      <w:r w:rsidR="008C69A3">
        <w:rPr>
          <w:rFonts w:ascii="Arial" w:hAnsi="Arial" w:cs="Arial"/>
          <w:sz w:val="24"/>
          <w:szCs w:val="24"/>
        </w:rPr>
        <w:t>.</w:t>
      </w:r>
      <w:r w:rsidR="00E07F3E">
        <w:rPr>
          <w:rFonts w:ascii="Arial" w:hAnsi="Arial" w:cs="Arial"/>
          <w:sz w:val="24"/>
          <w:szCs w:val="24"/>
        </w:rPr>
        <w:t xml:space="preserve"> Dado isso, serão feitas correspondências discricionárias entre as GCE e a PMC/PMS e, depois disso, estas serão comparadas com o Monitor. </w:t>
      </w:r>
    </w:p>
    <w:p w14:paraId="7694AEB6" w14:textId="7AAF736C" w:rsidR="0045154B" w:rsidRDefault="008C69A3" w:rsidP="00EF5689">
      <w:pPr>
        <w:spacing w:line="360" w:lineRule="auto"/>
        <w:jc w:val="both"/>
        <w:rPr>
          <w:rFonts w:ascii="Arial" w:hAnsi="Arial" w:cs="Arial"/>
          <w:sz w:val="24"/>
          <w:szCs w:val="24"/>
        </w:rPr>
      </w:pPr>
      <w:r>
        <w:rPr>
          <w:rFonts w:ascii="Arial" w:hAnsi="Arial" w:cs="Arial"/>
          <w:sz w:val="24"/>
          <w:szCs w:val="24"/>
        </w:rPr>
        <w:t>Resumindo, partiremos d</w:t>
      </w:r>
      <w:r w:rsidR="00AB3E46">
        <w:rPr>
          <w:rFonts w:ascii="Arial" w:hAnsi="Arial" w:cs="Arial"/>
          <w:sz w:val="24"/>
          <w:szCs w:val="24"/>
        </w:rPr>
        <w:t>as grandes categorias d</w:t>
      </w:r>
      <w:r>
        <w:rPr>
          <w:rFonts w:ascii="Arial" w:hAnsi="Arial" w:cs="Arial"/>
          <w:sz w:val="24"/>
          <w:szCs w:val="24"/>
        </w:rPr>
        <w:t xml:space="preserve">o IPCA, encontraremos os grupos correspondentes na PMC e PMS, e depois mostraremos que estes são próximos ao Monitor, que será utilizado na metodologia em si. </w:t>
      </w:r>
    </w:p>
    <w:p w14:paraId="5F568FCD" w14:textId="77777777" w:rsidR="00785A37" w:rsidRDefault="00785A37" w:rsidP="00EF5689">
      <w:pPr>
        <w:spacing w:line="360" w:lineRule="auto"/>
        <w:jc w:val="both"/>
        <w:rPr>
          <w:rFonts w:ascii="Arial" w:hAnsi="Arial" w:cs="Arial"/>
          <w:sz w:val="24"/>
          <w:szCs w:val="24"/>
        </w:rPr>
      </w:pPr>
    </w:p>
    <w:p w14:paraId="261549C1" w14:textId="6A85D474" w:rsidR="007E0D68" w:rsidRDefault="007E0D68" w:rsidP="00EF5689">
      <w:pPr>
        <w:spacing w:line="360" w:lineRule="auto"/>
        <w:jc w:val="both"/>
        <w:rPr>
          <w:rFonts w:ascii="Arial" w:hAnsi="Arial" w:cs="Arial"/>
          <w:b/>
          <w:bCs/>
          <w:sz w:val="24"/>
          <w:szCs w:val="24"/>
        </w:rPr>
      </w:pPr>
      <w:r>
        <w:rPr>
          <w:rFonts w:ascii="Arial" w:hAnsi="Arial" w:cs="Arial"/>
          <w:b/>
          <w:bCs/>
          <w:sz w:val="24"/>
          <w:szCs w:val="24"/>
        </w:rPr>
        <w:t>2.1.1 Bens não duráveis</w:t>
      </w:r>
    </w:p>
    <w:p w14:paraId="159E7836" w14:textId="5FE792BA" w:rsidR="007E0D68" w:rsidRDefault="007E0D68" w:rsidP="00EF5689">
      <w:pPr>
        <w:spacing w:line="360" w:lineRule="auto"/>
        <w:jc w:val="both"/>
        <w:rPr>
          <w:rFonts w:ascii="Arial" w:hAnsi="Arial" w:cs="Arial"/>
          <w:sz w:val="24"/>
          <w:szCs w:val="24"/>
        </w:rPr>
      </w:pPr>
      <w:r>
        <w:rPr>
          <w:rFonts w:ascii="Arial" w:hAnsi="Arial" w:cs="Arial"/>
          <w:sz w:val="24"/>
          <w:szCs w:val="24"/>
        </w:rPr>
        <w:t xml:space="preserve">Segundo a metologia do Monitor, 30 dos 44 subitens que compõem a linha de </w:t>
      </w:r>
      <w:r w:rsidR="00D7559B">
        <w:rPr>
          <w:rFonts w:ascii="Arial" w:hAnsi="Arial" w:cs="Arial"/>
          <w:sz w:val="24"/>
          <w:szCs w:val="24"/>
        </w:rPr>
        <w:t>n</w:t>
      </w:r>
      <w:r>
        <w:rPr>
          <w:rFonts w:ascii="Arial" w:hAnsi="Arial" w:cs="Arial"/>
          <w:sz w:val="24"/>
          <w:szCs w:val="24"/>
        </w:rPr>
        <w:t>ão duráveis são referentes à produtos de alimentação (mais especificamente, alimentação no domicílio, ou seja, bens comercializáveis)</w:t>
      </w:r>
      <w:r w:rsidR="00D7559B">
        <w:rPr>
          <w:rFonts w:ascii="Arial" w:hAnsi="Arial" w:cs="Arial"/>
          <w:sz w:val="24"/>
          <w:szCs w:val="24"/>
        </w:rPr>
        <w:t>, o que resulta em aproximadamente 68% de alimentação comercializável</w:t>
      </w:r>
      <w:r w:rsidR="00197F7B">
        <w:rPr>
          <w:rFonts w:ascii="Arial" w:hAnsi="Arial" w:cs="Arial"/>
          <w:sz w:val="24"/>
          <w:szCs w:val="24"/>
        </w:rPr>
        <w:t xml:space="preserve"> na composição</w:t>
      </w:r>
      <w:r w:rsidR="007045B3">
        <w:rPr>
          <w:rStyle w:val="FootnoteReference"/>
          <w:rFonts w:ascii="Arial" w:hAnsi="Arial" w:cs="Arial"/>
          <w:sz w:val="24"/>
          <w:szCs w:val="24"/>
        </w:rPr>
        <w:footnoteReference w:id="6"/>
      </w:r>
      <w:r w:rsidR="00D7559B">
        <w:rPr>
          <w:rFonts w:ascii="Arial" w:hAnsi="Arial" w:cs="Arial"/>
          <w:sz w:val="24"/>
          <w:szCs w:val="24"/>
        </w:rPr>
        <w:t xml:space="preserve">. No </w:t>
      </w:r>
      <w:r w:rsidR="00D7559B">
        <w:rPr>
          <w:rFonts w:ascii="Arial" w:hAnsi="Arial" w:cs="Arial"/>
          <w:sz w:val="24"/>
          <w:szCs w:val="24"/>
        </w:rPr>
        <w:lastRenderedPageBreak/>
        <w:t>IPCA, o grupo de não duráveis possui cerca de 64% de alimentação no domicílio em sua composição.</w:t>
      </w:r>
    </w:p>
    <w:p w14:paraId="7A44A910" w14:textId="335DEDED" w:rsidR="00D7559B" w:rsidRDefault="00D7559B" w:rsidP="00EF5689">
      <w:pPr>
        <w:spacing w:line="360" w:lineRule="auto"/>
        <w:jc w:val="both"/>
        <w:rPr>
          <w:rFonts w:ascii="Arial" w:hAnsi="Arial" w:cs="Arial"/>
          <w:sz w:val="24"/>
          <w:szCs w:val="24"/>
        </w:rPr>
      </w:pPr>
      <w:r>
        <w:rPr>
          <w:rFonts w:ascii="Arial" w:hAnsi="Arial" w:cs="Arial"/>
          <w:sz w:val="24"/>
          <w:szCs w:val="24"/>
        </w:rPr>
        <w:t>Isso nos sugere que indicadores de consumo de produtos alimentícios pode</w:t>
      </w:r>
      <w:r w:rsidR="00197F7B">
        <w:rPr>
          <w:rFonts w:ascii="Arial" w:hAnsi="Arial" w:cs="Arial"/>
          <w:sz w:val="24"/>
          <w:szCs w:val="24"/>
        </w:rPr>
        <w:t>riam</w:t>
      </w:r>
      <w:r>
        <w:rPr>
          <w:rFonts w:ascii="Arial" w:hAnsi="Arial" w:cs="Arial"/>
          <w:sz w:val="24"/>
          <w:szCs w:val="24"/>
        </w:rPr>
        <w:t xml:space="preserve"> servir como proxys de comportamento para o grupo superior de bens não duráveis. Outros itens de destaque que compõe esse grupo são o subgrupo de higiene pessoal (14,7% dos não duráveis), </w:t>
      </w:r>
      <w:r w:rsidR="00D30B00">
        <w:rPr>
          <w:rFonts w:ascii="Arial" w:hAnsi="Arial" w:cs="Arial"/>
          <w:sz w:val="24"/>
          <w:szCs w:val="24"/>
        </w:rPr>
        <w:t xml:space="preserve">o subgrupo </w:t>
      </w:r>
      <w:r>
        <w:rPr>
          <w:rFonts w:ascii="Arial" w:hAnsi="Arial" w:cs="Arial"/>
          <w:sz w:val="24"/>
          <w:szCs w:val="24"/>
        </w:rPr>
        <w:t xml:space="preserve">artigos de limpeza (2,8%) e </w:t>
      </w:r>
      <w:r w:rsidR="00D30B00">
        <w:rPr>
          <w:rFonts w:ascii="Arial" w:hAnsi="Arial" w:cs="Arial"/>
          <w:sz w:val="24"/>
          <w:szCs w:val="24"/>
        </w:rPr>
        <w:t xml:space="preserve">o subitem </w:t>
      </w:r>
      <w:r>
        <w:rPr>
          <w:rFonts w:ascii="Arial" w:hAnsi="Arial" w:cs="Arial"/>
          <w:sz w:val="24"/>
          <w:szCs w:val="24"/>
        </w:rPr>
        <w:t>cigarro (2%).</w:t>
      </w:r>
    </w:p>
    <w:p w14:paraId="76ED7A19" w14:textId="75A84521" w:rsidR="00751BC1" w:rsidRDefault="00460C21" w:rsidP="00EF5689">
      <w:pPr>
        <w:spacing w:line="360" w:lineRule="auto"/>
        <w:jc w:val="both"/>
        <w:rPr>
          <w:rFonts w:ascii="Arial" w:hAnsi="Arial" w:cs="Arial"/>
          <w:sz w:val="24"/>
          <w:szCs w:val="24"/>
        </w:rPr>
      </w:pPr>
      <w:r>
        <w:rPr>
          <w:rFonts w:ascii="Arial" w:hAnsi="Arial" w:cs="Arial"/>
          <w:sz w:val="24"/>
          <w:szCs w:val="24"/>
        </w:rPr>
        <w:t>Dado isso</w:t>
      </w:r>
      <w:r w:rsidR="00C83EC8">
        <w:rPr>
          <w:rFonts w:ascii="Arial" w:hAnsi="Arial" w:cs="Arial"/>
          <w:sz w:val="24"/>
          <w:szCs w:val="24"/>
        </w:rPr>
        <w:t xml:space="preserve">, </w:t>
      </w:r>
      <w:r w:rsidR="00751BC1" w:rsidRPr="00860060">
        <w:rPr>
          <w:rFonts w:ascii="Arial" w:hAnsi="Arial" w:cs="Arial"/>
          <w:sz w:val="24"/>
          <w:szCs w:val="24"/>
        </w:rPr>
        <w:t xml:space="preserve">foi selecionado o </w:t>
      </w:r>
      <w:r w:rsidR="00AF4837" w:rsidRPr="00860060">
        <w:rPr>
          <w:rFonts w:ascii="Arial" w:hAnsi="Arial" w:cs="Arial"/>
          <w:sz w:val="24"/>
          <w:szCs w:val="24"/>
        </w:rPr>
        <w:t>sub</w:t>
      </w:r>
      <w:r w:rsidR="00751BC1" w:rsidRPr="00860060">
        <w:rPr>
          <w:rFonts w:ascii="Arial" w:hAnsi="Arial" w:cs="Arial"/>
          <w:sz w:val="24"/>
          <w:szCs w:val="24"/>
        </w:rPr>
        <w:t xml:space="preserve">grupo “Hipermercados, supermercados, produtos alimentícios, bebidas e fumo” </w:t>
      </w:r>
      <w:r w:rsidR="00C83EC8">
        <w:rPr>
          <w:rFonts w:ascii="Arial" w:hAnsi="Arial" w:cs="Arial"/>
          <w:sz w:val="24"/>
          <w:szCs w:val="24"/>
        </w:rPr>
        <w:t xml:space="preserve">da PMC </w:t>
      </w:r>
      <w:r w:rsidR="00751BC1" w:rsidRPr="00860060">
        <w:rPr>
          <w:rFonts w:ascii="Arial" w:hAnsi="Arial" w:cs="Arial"/>
          <w:sz w:val="24"/>
          <w:szCs w:val="24"/>
        </w:rPr>
        <w:t xml:space="preserve">para servir de proxy para a série de bens não duráveis (NDR) do Monitor. </w:t>
      </w:r>
      <w:r w:rsidR="005407BE" w:rsidRPr="00860060">
        <w:rPr>
          <w:rFonts w:ascii="Arial" w:hAnsi="Arial" w:cs="Arial"/>
          <w:sz w:val="24"/>
          <w:szCs w:val="24"/>
        </w:rPr>
        <w:t xml:space="preserve">O </w:t>
      </w:r>
      <w:r w:rsidR="00C83EC8">
        <w:rPr>
          <w:rFonts w:ascii="Arial" w:hAnsi="Arial" w:cs="Arial"/>
          <w:sz w:val="24"/>
          <w:szCs w:val="24"/>
        </w:rPr>
        <w:t xml:space="preserve">gráfico </w:t>
      </w:r>
      <w:r w:rsidR="005407BE" w:rsidRPr="00860060">
        <w:rPr>
          <w:rFonts w:ascii="Arial" w:hAnsi="Arial" w:cs="Arial"/>
          <w:sz w:val="24"/>
          <w:szCs w:val="24"/>
        </w:rPr>
        <w:t xml:space="preserve">que sugere que as duas séries possuem uma </w:t>
      </w:r>
      <w:r w:rsidR="00C83EC8">
        <w:rPr>
          <w:rFonts w:ascii="Arial" w:hAnsi="Arial" w:cs="Arial"/>
          <w:sz w:val="24"/>
          <w:szCs w:val="24"/>
        </w:rPr>
        <w:t>relação visualmente. No anexo desta Monografia são feitos alguns testes de cointegração para estar séries a fim de mostrar que provavelmente existe um equilíbrio de longo prazo entre os índices não estacionários, também sugerindo uma relação entre as duas séries.</w:t>
      </w:r>
    </w:p>
    <w:p w14:paraId="5370ED29" w14:textId="77777777" w:rsidR="00C83EC8" w:rsidRDefault="00C83EC8" w:rsidP="00EF5689">
      <w:pPr>
        <w:spacing w:line="360" w:lineRule="auto"/>
        <w:jc w:val="both"/>
        <w:rPr>
          <w:rFonts w:ascii="Arial" w:hAnsi="Arial" w:cs="Arial"/>
          <w:sz w:val="24"/>
          <w:szCs w:val="24"/>
        </w:rPr>
      </w:pPr>
    </w:p>
    <w:p w14:paraId="0BA474D1" w14:textId="5180100C" w:rsidR="00EA76DD" w:rsidRPr="00EA76DD" w:rsidRDefault="00EA76DD" w:rsidP="00EA76DD">
      <w:pPr>
        <w:pStyle w:val="Caption"/>
        <w:keepNext/>
        <w:jc w:val="center"/>
        <w:rPr>
          <w:rFonts w:ascii="Arial" w:hAnsi="Arial" w:cs="Arial"/>
          <w:b/>
          <w:bCs/>
          <w:i w:val="0"/>
          <w:iCs w:val="0"/>
          <w:color w:val="auto"/>
          <w:sz w:val="24"/>
          <w:szCs w:val="24"/>
        </w:rPr>
      </w:pPr>
      <w:r w:rsidRPr="00EA76DD">
        <w:rPr>
          <w:rFonts w:ascii="Arial" w:hAnsi="Arial" w:cs="Arial"/>
          <w:b/>
          <w:bCs/>
          <w:i w:val="0"/>
          <w:iCs w:val="0"/>
          <w:color w:val="auto"/>
          <w:sz w:val="24"/>
          <w:szCs w:val="24"/>
        </w:rPr>
        <w:t xml:space="preserve">Figura </w:t>
      </w:r>
      <w:r w:rsidRPr="00EA76DD">
        <w:rPr>
          <w:rFonts w:ascii="Arial" w:hAnsi="Arial" w:cs="Arial"/>
          <w:b/>
          <w:bCs/>
          <w:i w:val="0"/>
          <w:iCs w:val="0"/>
          <w:color w:val="auto"/>
          <w:sz w:val="24"/>
          <w:szCs w:val="24"/>
        </w:rPr>
        <w:fldChar w:fldCharType="begin"/>
      </w:r>
      <w:r w:rsidRPr="00EA76DD">
        <w:rPr>
          <w:rFonts w:ascii="Arial" w:hAnsi="Arial" w:cs="Arial"/>
          <w:b/>
          <w:bCs/>
          <w:i w:val="0"/>
          <w:iCs w:val="0"/>
          <w:color w:val="auto"/>
          <w:sz w:val="24"/>
          <w:szCs w:val="24"/>
        </w:rPr>
        <w:instrText xml:space="preserve"> SEQ Figura \* ARABIC </w:instrText>
      </w:r>
      <w:r w:rsidRPr="00EA76DD">
        <w:rPr>
          <w:rFonts w:ascii="Arial" w:hAnsi="Arial" w:cs="Arial"/>
          <w:b/>
          <w:bCs/>
          <w:i w:val="0"/>
          <w:iCs w:val="0"/>
          <w:color w:val="auto"/>
          <w:sz w:val="24"/>
          <w:szCs w:val="24"/>
        </w:rPr>
        <w:fldChar w:fldCharType="separate"/>
      </w:r>
      <w:r w:rsidR="00E82A92">
        <w:rPr>
          <w:rFonts w:ascii="Arial" w:hAnsi="Arial" w:cs="Arial"/>
          <w:b/>
          <w:bCs/>
          <w:i w:val="0"/>
          <w:iCs w:val="0"/>
          <w:noProof/>
          <w:color w:val="auto"/>
          <w:sz w:val="24"/>
          <w:szCs w:val="24"/>
        </w:rPr>
        <w:t>1</w:t>
      </w:r>
      <w:r w:rsidRPr="00EA76DD">
        <w:rPr>
          <w:rFonts w:ascii="Arial" w:hAnsi="Arial" w:cs="Arial"/>
          <w:b/>
          <w:bCs/>
          <w:i w:val="0"/>
          <w:iCs w:val="0"/>
          <w:color w:val="auto"/>
          <w:sz w:val="24"/>
          <w:szCs w:val="24"/>
        </w:rPr>
        <w:fldChar w:fldCharType="end"/>
      </w:r>
      <w:r w:rsidRPr="00EA76DD">
        <w:rPr>
          <w:rFonts w:ascii="Arial" w:hAnsi="Arial" w:cs="Arial"/>
          <w:b/>
          <w:bCs/>
          <w:i w:val="0"/>
          <w:iCs w:val="0"/>
          <w:color w:val="auto"/>
          <w:sz w:val="24"/>
          <w:szCs w:val="24"/>
        </w:rPr>
        <w:t>: Subgrupo PMC</w:t>
      </w:r>
      <w:r w:rsidR="00C83EC8">
        <w:rPr>
          <w:rFonts w:ascii="Arial" w:hAnsi="Arial" w:cs="Arial"/>
          <w:b/>
          <w:bCs/>
          <w:i w:val="0"/>
          <w:iCs w:val="0"/>
          <w:color w:val="auto"/>
          <w:sz w:val="24"/>
          <w:szCs w:val="24"/>
        </w:rPr>
        <w:t>*</w:t>
      </w:r>
      <w:r w:rsidRPr="00EA76DD">
        <w:rPr>
          <w:rFonts w:ascii="Arial" w:hAnsi="Arial" w:cs="Arial"/>
          <w:b/>
          <w:bCs/>
          <w:i w:val="0"/>
          <w:iCs w:val="0"/>
          <w:color w:val="auto"/>
          <w:sz w:val="24"/>
          <w:szCs w:val="24"/>
        </w:rPr>
        <w:t xml:space="preserve"> e NDR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6"/>
      </w:tblGrid>
      <w:tr w:rsidR="00EA76DD" w14:paraId="03FF2403" w14:textId="77777777" w:rsidTr="00EA76DD">
        <w:trPr>
          <w:trHeight w:val="4677"/>
          <w:jc w:val="center"/>
        </w:trPr>
        <w:tc>
          <w:tcPr>
            <w:tcW w:w="7386" w:type="dxa"/>
          </w:tcPr>
          <w:p w14:paraId="3204FA32" w14:textId="40C18C46" w:rsidR="00EA76DD" w:rsidRDefault="00EA76DD" w:rsidP="00EA76DD">
            <w:pPr>
              <w:keepNext/>
              <w:spacing w:line="360" w:lineRule="auto"/>
              <w:jc w:val="both"/>
              <w:rPr>
                <w:rFonts w:ascii="Arial" w:hAnsi="Arial" w:cs="Arial"/>
                <w:sz w:val="24"/>
                <w:szCs w:val="24"/>
              </w:rPr>
            </w:pPr>
            <w:r w:rsidRPr="00EA76DD">
              <w:rPr>
                <w:rFonts w:ascii="Arial" w:hAnsi="Arial" w:cs="Arial"/>
                <w:noProof/>
                <w:sz w:val="24"/>
                <w:szCs w:val="24"/>
              </w:rPr>
              <w:drawing>
                <wp:anchor distT="0" distB="0" distL="114300" distR="114300" simplePos="0" relativeHeight="251662336" behindDoc="0" locked="0" layoutInCell="1" allowOverlap="1" wp14:anchorId="2B339B97" wp14:editId="7A9F774A">
                  <wp:simplePos x="0" y="0"/>
                  <wp:positionH relativeFrom="column">
                    <wp:posOffset>635</wp:posOffset>
                  </wp:positionH>
                  <wp:positionV relativeFrom="paragraph">
                    <wp:posOffset>0</wp:posOffset>
                  </wp:positionV>
                  <wp:extent cx="4552950" cy="28670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2867025"/>
                          </a:xfrm>
                          <a:prstGeom prst="rect">
                            <a:avLst/>
                          </a:prstGeom>
                          <a:noFill/>
                          <a:ln>
                            <a:noFill/>
                          </a:ln>
                        </pic:spPr>
                      </pic:pic>
                    </a:graphicData>
                  </a:graphic>
                </wp:anchor>
              </w:drawing>
            </w:r>
          </w:p>
        </w:tc>
      </w:tr>
    </w:tbl>
    <w:p w14:paraId="29C73C82" w14:textId="10D107BA" w:rsidR="00460C21" w:rsidRPr="00EA76DD" w:rsidRDefault="00EA76DD" w:rsidP="00515812">
      <w:pPr>
        <w:pStyle w:val="Caption"/>
        <w:spacing w:line="360" w:lineRule="auto"/>
        <w:jc w:val="center"/>
        <w:rPr>
          <w:rFonts w:ascii="Arial" w:hAnsi="Arial" w:cs="Arial"/>
          <w:i w:val="0"/>
          <w:iCs w:val="0"/>
          <w:color w:val="auto"/>
          <w:sz w:val="36"/>
          <w:szCs w:val="36"/>
        </w:rPr>
      </w:pPr>
      <w:r w:rsidRPr="00EA76DD">
        <w:rPr>
          <w:rFonts w:ascii="Arial" w:hAnsi="Arial" w:cs="Arial"/>
          <w:i w:val="0"/>
          <w:iCs w:val="0"/>
          <w:color w:val="auto"/>
          <w:sz w:val="24"/>
          <w:szCs w:val="24"/>
        </w:rPr>
        <w:t xml:space="preserve">Fonte: IBGE, FGV, Cálculos Próprios *Subgrupo </w:t>
      </w:r>
      <w:r w:rsidR="0051798B">
        <w:rPr>
          <w:rFonts w:ascii="Arial" w:hAnsi="Arial" w:cs="Arial"/>
          <w:i w:val="0"/>
          <w:iCs w:val="0"/>
          <w:color w:val="auto"/>
          <w:sz w:val="24"/>
          <w:szCs w:val="24"/>
        </w:rPr>
        <w:t>“</w:t>
      </w:r>
      <w:r w:rsidRPr="00EA76DD">
        <w:rPr>
          <w:rFonts w:ascii="Arial" w:hAnsi="Arial" w:cs="Arial"/>
          <w:i w:val="0"/>
          <w:iCs w:val="0"/>
          <w:color w:val="auto"/>
          <w:sz w:val="24"/>
          <w:szCs w:val="24"/>
        </w:rPr>
        <w:t>Hipermercados, supermercados, produtos alimentícios, bebidas e fumo</w:t>
      </w:r>
      <w:r w:rsidR="0051798B">
        <w:rPr>
          <w:rFonts w:ascii="Arial" w:hAnsi="Arial" w:cs="Arial"/>
          <w:i w:val="0"/>
          <w:iCs w:val="0"/>
          <w:color w:val="auto"/>
          <w:sz w:val="24"/>
          <w:szCs w:val="24"/>
        </w:rPr>
        <w:t>”.</w:t>
      </w:r>
    </w:p>
    <w:p w14:paraId="72476E1F" w14:textId="77777777" w:rsidR="00D53503" w:rsidRPr="007E0D68" w:rsidRDefault="00D53503" w:rsidP="00EF5689">
      <w:pPr>
        <w:spacing w:line="360" w:lineRule="auto"/>
        <w:jc w:val="both"/>
        <w:rPr>
          <w:rFonts w:ascii="Arial" w:hAnsi="Arial" w:cs="Arial"/>
          <w:sz w:val="24"/>
          <w:szCs w:val="24"/>
        </w:rPr>
      </w:pPr>
    </w:p>
    <w:p w14:paraId="55F21683" w14:textId="2D0A8609" w:rsidR="00EA76DD" w:rsidRPr="00EA76DD" w:rsidRDefault="00EA76DD" w:rsidP="00EF5689">
      <w:pPr>
        <w:spacing w:line="360" w:lineRule="auto"/>
        <w:jc w:val="both"/>
        <w:rPr>
          <w:rFonts w:ascii="Arial" w:hAnsi="Arial" w:cs="Arial"/>
          <w:sz w:val="24"/>
          <w:szCs w:val="24"/>
        </w:rPr>
      </w:pPr>
      <w:r>
        <w:rPr>
          <w:rFonts w:ascii="Arial" w:hAnsi="Arial" w:cs="Arial"/>
          <w:b/>
          <w:bCs/>
          <w:sz w:val="24"/>
          <w:szCs w:val="24"/>
        </w:rPr>
        <w:lastRenderedPageBreak/>
        <w:t>2.1.2 Bens semiduráveis</w:t>
      </w:r>
    </w:p>
    <w:p w14:paraId="7F8A47B1" w14:textId="77777777" w:rsidR="007045B3" w:rsidRDefault="0063695F" w:rsidP="004E0DA3">
      <w:pPr>
        <w:spacing w:line="360" w:lineRule="auto"/>
        <w:jc w:val="both"/>
        <w:rPr>
          <w:rFonts w:ascii="Arial" w:hAnsi="Arial" w:cs="Arial"/>
          <w:sz w:val="24"/>
          <w:szCs w:val="24"/>
        </w:rPr>
      </w:pPr>
      <w:r>
        <w:rPr>
          <w:rFonts w:ascii="Arial" w:hAnsi="Arial" w:cs="Arial"/>
          <w:sz w:val="24"/>
          <w:szCs w:val="24"/>
        </w:rPr>
        <w:t>Para a série de bens semiduráveis do Monitor (SDR) também vamos utilizar a PMC. Dos 8 produtos utilizados na metodologia da FGV, 4 deles se relacionam com o subgrupo</w:t>
      </w:r>
      <w:r w:rsidR="007045B3">
        <w:rPr>
          <w:rFonts w:ascii="Arial" w:hAnsi="Arial" w:cs="Arial"/>
          <w:sz w:val="24"/>
          <w:szCs w:val="24"/>
        </w:rPr>
        <w:t xml:space="preserve"> “</w:t>
      </w:r>
      <w:bookmarkStart w:id="1" w:name="_Hlk84787399"/>
      <w:r w:rsidR="007045B3">
        <w:rPr>
          <w:rFonts w:ascii="Arial" w:hAnsi="Arial" w:cs="Arial"/>
          <w:sz w:val="24"/>
          <w:szCs w:val="24"/>
        </w:rPr>
        <w:t>Tecidos, vestuário e calçados</w:t>
      </w:r>
      <w:bookmarkEnd w:id="1"/>
      <w:r w:rsidR="007045B3">
        <w:rPr>
          <w:rFonts w:ascii="Arial" w:hAnsi="Arial" w:cs="Arial"/>
          <w:sz w:val="24"/>
          <w:szCs w:val="24"/>
        </w:rPr>
        <w:t xml:space="preserve">”, da PMC. </w:t>
      </w:r>
    </w:p>
    <w:p w14:paraId="0969A165" w14:textId="77777777" w:rsidR="007045B3" w:rsidRDefault="007045B3" w:rsidP="004E0DA3">
      <w:pPr>
        <w:spacing w:line="360" w:lineRule="auto"/>
        <w:jc w:val="both"/>
        <w:rPr>
          <w:rFonts w:ascii="Arial" w:hAnsi="Arial" w:cs="Arial"/>
          <w:sz w:val="24"/>
          <w:szCs w:val="24"/>
        </w:rPr>
      </w:pPr>
      <w:r>
        <w:rPr>
          <w:rFonts w:ascii="Arial" w:hAnsi="Arial" w:cs="Arial"/>
          <w:sz w:val="24"/>
          <w:szCs w:val="24"/>
        </w:rPr>
        <w:t>Em relação ao IPCA, o grupo Vestuário (com os subgrupos Roupas, Calçados e Acessórios, Jóias e Bijuterias e Tecidos e Armarinho) corresponde a 4.58% do índice cheio e 76% dos semiduráveis</w:t>
      </w:r>
      <w:r>
        <w:rPr>
          <w:rStyle w:val="FootnoteReference"/>
          <w:rFonts w:ascii="Arial" w:hAnsi="Arial" w:cs="Arial"/>
          <w:sz w:val="24"/>
          <w:szCs w:val="24"/>
        </w:rPr>
        <w:footnoteReference w:id="7"/>
      </w:r>
      <w:r>
        <w:rPr>
          <w:rFonts w:ascii="Arial" w:hAnsi="Arial" w:cs="Arial"/>
          <w:sz w:val="24"/>
          <w:szCs w:val="24"/>
        </w:rPr>
        <w:t xml:space="preserve">, indicando que boa parte desses bens pode ser encontrada nesse grupo. </w:t>
      </w:r>
    </w:p>
    <w:p w14:paraId="6D16F8D7" w14:textId="6C69675D" w:rsidR="002A46FA" w:rsidRDefault="007045B3" w:rsidP="004E0DA3">
      <w:pPr>
        <w:spacing w:line="360" w:lineRule="auto"/>
        <w:jc w:val="both"/>
        <w:rPr>
          <w:rFonts w:ascii="Arial" w:hAnsi="Arial" w:cs="Arial"/>
          <w:sz w:val="24"/>
          <w:szCs w:val="24"/>
        </w:rPr>
      </w:pPr>
      <w:r>
        <w:rPr>
          <w:rFonts w:ascii="Arial" w:hAnsi="Arial" w:cs="Arial"/>
          <w:sz w:val="24"/>
          <w:szCs w:val="24"/>
        </w:rPr>
        <w:t>Segundo a metodologia da PMC</w:t>
      </w:r>
      <w:r>
        <w:rPr>
          <w:rStyle w:val="FootnoteReference"/>
          <w:rFonts w:ascii="Arial" w:hAnsi="Arial" w:cs="Arial"/>
          <w:sz w:val="24"/>
          <w:szCs w:val="24"/>
        </w:rPr>
        <w:footnoteReference w:id="8"/>
      </w:r>
      <w:r>
        <w:rPr>
          <w:rFonts w:ascii="Arial" w:hAnsi="Arial" w:cs="Arial"/>
          <w:sz w:val="24"/>
          <w:szCs w:val="24"/>
        </w:rPr>
        <w:t>, os próprios grupos Roupas, Calçados e Acessórios e Tecidos e Armarinho servem como deflatores para o índice quantum do IBGE.</w:t>
      </w:r>
    </w:p>
    <w:p w14:paraId="22AF3BBF" w14:textId="67319288" w:rsidR="00C83EC8" w:rsidRDefault="00C83EC8" w:rsidP="004E0DA3">
      <w:pPr>
        <w:spacing w:line="360" w:lineRule="auto"/>
        <w:jc w:val="both"/>
        <w:rPr>
          <w:rFonts w:ascii="Arial" w:hAnsi="Arial" w:cs="Arial"/>
          <w:sz w:val="24"/>
          <w:szCs w:val="24"/>
        </w:rPr>
      </w:pPr>
      <w:r>
        <w:rPr>
          <w:rFonts w:ascii="Arial" w:hAnsi="Arial" w:cs="Arial"/>
          <w:sz w:val="24"/>
          <w:szCs w:val="24"/>
        </w:rPr>
        <w:t>O gráfico sugere uma correlação entre as duas séries.</w:t>
      </w:r>
    </w:p>
    <w:p w14:paraId="73CF6024" w14:textId="77777777" w:rsidR="00C83EC8" w:rsidRDefault="00C83EC8" w:rsidP="004E0DA3">
      <w:pPr>
        <w:spacing w:line="360" w:lineRule="auto"/>
        <w:jc w:val="both"/>
        <w:rPr>
          <w:rFonts w:ascii="Arial" w:hAnsi="Arial" w:cs="Arial"/>
          <w:sz w:val="24"/>
          <w:szCs w:val="24"/>
        </w:rPr>
      </w:pPr>
    </w:p>
    <w:p w14:paraId="3D275E28" w14:textId="6BE5715C" w:rsidR="0051798B" w:rsidRPr="00EA76DD" w:rsidRDefault="0051798B" w:rsidP="0051798B">
      <w:pPr>
        <w:pStyle w:val="Caption"/>
        <w:keepNext/>
        <w:jc w:val="center"/>
        <w:rPr>
          <w:rFonts w:ascii="Arial" w:hAnsi="Arial" w:cs="Arial"/>
          <w:b/>
          <w:bCs/>
          <w:i w:val="0"/>
          <w:iCs w:val="0"/>
          <w:color w:val="auto"/>
          <w:sz w:val="24"/>
          <w:szCs w:val="24"/>
        </w:rPr>
      </w:pPr>
      <w:r w:rsidRPr="00EA76DD">
        <w:rPr>
          <w:rFonts w:ascii="Arial" w:hAnsi="Arial" w:cs="Arial"/>
          <w:b/>
          <w:bCs/>
          <w:i w:val="0"/>
          <w:iCs w:val="0"/>
          <w:color w:val="auto"/>
          <w:sz w:val="24"/>
          <w:szCs w:val="24"/>
        </w:rPr>
        <w:t xml:space="preserve">Figura </w:t>
      </w:r>
      <w:r w:rsidRPr="00EA76DD">
        <w:rPr>
          <w:rFonts w:ascii="Arial" w:hAnsi="Arial" w:cs="Arial"/>
          <w:b/>
          <w:bCs/>
          <w:i w:val="0"/>
          <w:iCs w:val="0"/>
          <w:color w:val="auto"/>
          <w:sz w:val="24"/>
          <w:szCs w:val="24"/>
        </w:rPr>
        <w:fldChar w:fldCharType="begin"/>
      </w:r>
      <w:r w:rsidRPr="00EA76DD">
        <w:rPr>
          <w:rFonts w:ascii="Arial" w:hAnsi="Arial" w:cs="Arial"/>
          <w:b/>
          <w:bCs/>
          <w:i w:val="0"/>
          <w:iCs w:val="0"/>
          <w:color w:val="auto"/>
          <w:sz w:val="24"/>
          <w:szCs w:val="24"/>
        </w:rPr>
        <w:instrText xml:space="preserve"> SEQ Figura \* ARABIC </w:instrText>
      </w:r>
      <w:r w:rsidRPr="00EA76DD">
        <w:rPr>
          <w:rFonts w:ascii="Arial" w:hAnsi="Arial" w:cs="Arial"/>
          <w:b/>
          <w:bCs/>
          <w:i w:val="0"/>
          <w:iCs w:val="0"/>
          <w:color w:val="auto"/>
          <w:sz w:val="24"/>
          <w:szCs w:val="24"/>
        </w:rPr>
        <w:fldChar w:fldCharType="separate"/>
      </w:r>
      <w:r w:rsidR="00E82A92">
        <w:rPr>
          <w:rFonts w:ascii="Arial" w:hAnsi="Arial" w:cs="Arial"/>
          <w:b/>
          <w:bCs/>
          <w:i w:val="0"/>
          <w:iCs w:val="0"/>
          <w:noProof/>
          <w:color w:val="auto"/>
          <w:sz w:val="24"/>
          <w:szCs w:val="24"/>
        </w:rPr>
        <w:t>2</w:t>
      </w:r>
      <w:r w:rsidRPr="00EA76DD">
        <w:rPr>
          <w:rFonts w:ascii="Arial" w:hAnsi="Arial" w:cs="Arial"/>
          <w:b/>
          <w:bCs/>
          <w:i w:val="0"/>
          <w:iCs w:val="0"/>
          <w:color w:val="auto"/>
          <w:sz w:val="24"/>
          <w:szCs w:val="24"/>
        </w:rPr>
        <w:fldChar w:fldCharType="end"/>
      </w:r>
      <w:r w:rsidRPr="00EA76DD">
        <w:rPr>
          <w:rFonts w:ascii="Arial" w:hAnsi="Arial" w:cs="Arial"/>
          <w:b/>
          <w:bCs/>
          <w:i w:val="0"/>
          <w:iCs w:val="0"/>
          <w:color w:val="auto"/>
          <w:sz w:val="24"/>
          <w:szCs w:val="24"/>
        </w:rPr>
        <w:t>: Subgrupo PMC</w:t>
      </w:r>
      <w:r w:rsidR="004B462F">
        <w:rPr>
          <w:rFonts w:ascii="Arial" w:hAnsi="Arial" w:cs="Arial"/>
          <w:b/>
          <w:bCs/>
          <w:i w:val="0"/>
          <w:iCs w:val="0"/>
          <w:color w:val="auto"/>
          <w:sz w:val="24"/>
          <w:szCs w:val="24"/>
        </w:rPr>
        <w:t>*</w:t>
      </w:r>
      <w:r w:rsidRPr="00EA76DD">
        <w:rPr>
          <w:rFonts w:ascii="Arial" w:hAnsi="Arial" w:cs="Arial"/>
          <w:b/>
          <w:bCs/>
          <w:i w:val="0"/>
          <w:iCs w:val="0"/>
          <w:color w:val="auto"/>
          <w:sz w:val="24"/>
          <w:szCs w:val="24"/>
        </w:rPr>
        <w:t xml:space="preserve"> e </w:t>
      </w:r>
      <w:r w:rsidR="00515812">
        <w:rPr>
          <w:rFonts w:ascii="Arial" w:hAnsi="Arial" w:cs="Arial"/>
          <w:b/>
          <w:bCs/>
          <w:i w:val="0"/>
          <w:iCs w:val="0"/>
          <w:color w:val="auto"/>
          <w:sz w:val="24"/>
          <w:szCs w:val="24"/>
        </w:rPr>
        <w:t>S</w:t>
      </w:r>
      <w:r w:rsidRPr="00EA76DD">
        <w:rPr>
          <w:rFonts w:ascii="Arial" w:hAnsi="Arial" w:cs="Arial"/>
          <w:b/>
          <w:bCs/>
          <w:i w:val="0"/>
          <w:iCs w:val="0"/>
          <w:color w:val="auto"/>
          <w:sz w:val="24"/>
          <w:szCs w:val="24"/>
        </w:rPr>
        <w:t>DR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6"/>
      </w:tblGrid>
      <w:tr w:rsidR="0051798B" w14:paraId="73DC4DF9" w14:textId="77777777" w:rsidTr="003F7196">
        <w:trPr>
          <w:trHeight w:val="4677"/>
          <w:jc w:val="center"/>
        </w:trPr>
        <w:tc>
          <w:tcPr>
            <w:tcW w:w="7386" w:type="dxa"/>
          </w:tcPr>
          <w:p w14:paraId="2A5401F8" w14:textId="43B43B0A" w:rsidR="0051798B" w:rsidRDefault="0051798B" w:rsidP="003F7196">
            <w:pPr>
              <w:keepNext/>
              <w:spacing w:line="360" w:lineRule="auto"/>
              <w:jc w:val="both"/>
              <w:rPr>
                <w:rFonts w:ascii="Arial" w:hAnsi="Arial" w:cs="Arial"/>
                <w:sz w:val="24"/>
                <w:szCs w:val="24"/>
              </w:rPr>
            </w:pPr>
            <w:r w:rsidRPr="0051798B">
              <w:rPr>
                <w:rFonts w:ascii="Arial" w:hAnsi="Arial" w:cs="Arial"/>
                <w:noProof/>
                <w:sz w:val="24"/>
                <w:szCs w:val="24"/>
              </w:rPr>
              <w:drawing>
                <wp:anchor distT="0" distB="0" distL="114300" distR="114300" simplePos="0" relativeHeight="251668480" behindDoc="0" locked="0" layoutInCell="1" allowOverlap="1" wp14:anchorId="4BBE32F5" wp14:editId="22074B55">
                  <wp:simplePos x="0" y="0"/>
                  <wp:positionH relativeFrom="column">
                    <wp:posOffset>1270</wp:posOffset>
                  </wp:positionH>
                  <wp:positionV relativeFrom="paragraph">
                    <wp:posOffset>0</wp:posOffset>
                  </wp:positionV>
                  <wp:extent cx="4705350" cy="2857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2857500"/>
                          </a:xfrm>
                          <a:prstGeom prst="rect">
                            <a:avLst/>
                          </a:prstGeom>
                          <a:noFill/>
                          <a:ln>
                            <a:noFill/>
                          </a:ln>
                        </pic:spPr>
                      </pic:pic>
                    </a:graphicData>
                  </a:graphic>
                </wp:anchor>
              </w:drawing>
            </w:r>
          </w:p>
        </w:tc>
      </w:tr>
    </w:tbl>
    <w:p w14:paraId="65A84337" w14:textId="386927DD" w:rsidR="0051798B" w:rsidRPr="00EA76DD" w:rsidRDefault="0051798B" w:rsidP="00515812">
      <w:pPr>
        <w:pStyle w:val="Caption"/>
        <w:spacing w:line="360" w:lineRule="auto"/>
        <w:jc w:val="center"/>
        <w:rPr>
          <w:rFonts w:ascii="Arial" w:hAnsi="Arial" w:cs="Arial"/>
          <w:i w:val="0"/>
          <w:iCs w:val="0"/>
          <w:color w:val="auto"/>
          <w:sz w:val="36"/>
          <w:szCs w:val="36"/>
        </w:rPr>
      </w:pPr>
      <w:r w:rsidRPr="00EA76DD">
        <w:rPr>
          <w:rFonts w:ascii="Arial" w:hAnsi="Arial" w:cs="Arial"/>
          <w:i w:val="0"/>
          <w:iCs w:val="0"/>
          <w:color w:val="auto"/>
          <w:sz w:val="24"/>
          <w:szCs w:val="24"/>
        </w:rPr>
        <w:t xml:space="preserve">Fonte: IBGE, FGV, Cálculos Próprios *Subgrupo </w:t>
      </w:r>
      <w:r>
        <w:rPr>
          <w:rFonts w:ascii="Arial" w:hAnsi="Arial" w:cs="Arial"/>
          <w:i w:val="0"/>
          <w:iCs w:val="0"/>
          <w:color w:val="auto"/>
          <w:sz w:val="24"/>
          <w:szCs w:val="24"/>
        </w:rPr>
        <w:t>“</w:t>
      </w:r>
      <w:r w:rsidRPr="0051798B">
        <w:rPr>
          <w:rFonts w:ascii="Arial" w:hAnsi="Arial" w:cs="Arial"/>
          <w:i w:val="0"/>
          <w:iCs w:val="0"/>
          <w:color w:val="auto"/>
          <w:sz w:val="24"/>
          <w:szCs w:val="24"/>
        </w:rPr>
        <w:t>Tecidos, vestuário e calçados</w:t>
      </w:r>
      <w:r>
        <w:rPr>
          <w:rFonts w:ascii="Arial" w:hAnsi="Arial" w:cs="Arial"/>
          <w:i w:val="0"/>
          <w:iCs w:val="0"/>
          <w:color w:val="auto"/>
          <w:sz w:val="24"/>
          <w:szCs w:val="24"/>
        </w:rPr>
        <w:t>”.</w:t>
      </w:r>
    </w:p>
    <w:p w14:paraId="7A9F7F5C" w14:textId="77777777" w:rsidR="00C83EC8" w:rsidRDefault="00C83EC8" w:rsidP="0051798B">
      <w:pPr>
        <w:spacing w:line="360" w:lineRule="auto"/>
        <w:rPr>
          <w:rFonts w:ascii="Arial" w:hAnsi="Arial" w:cs="Arial"/>
          <w:sz w:val="24"/>
          <w:szCs w:val="24"/>
        </w:rPr>
      </w:pPr>
    </w:p>
    <w:p w14:paraId="24200782" w14:textId="2E472692" w:rsidR="0051798B" w:rsidRDefault="0051798B" w:rsidP="0051798B">
      <w:pPr>
        <w:spacing w:line="360" w:lineRule="auto"/>
        <w:rPr>
          <w:rFonts w:ascii="Arial" w:hAnsi="Arial" w:cs="Arial"/>
          <w:sz w:val="24"/>
          <w:szCs w:val="24"/>
        </w:rPr>
      </w:pPr>
      <w:r>
        <w:rPr>
          <w:rFonts w:ascii="Arial" w:hAnsi="Arial" w:cs="Arial"/>
          <w:sz w:val="24"/>
          <w:szCs w:val="24"/>
        </w:rPr>
        <w:t>A grande queda do grupo durante a primeira onda da pandemia em 2020 fez necessária a divisão do gráfico em duas partes por questões de escala.</w:t>
      </w:r>
    </w:p>
    <w:p w14:paraId="41D7182D" w14:textId="5C3ACDDB" w:rsidR="0051798B" w:rsidRPr="00EA76DD" w:rsidRDefault="0051798B" w:rsidP="0051798B">
      <w:pPr>
        <w:pStyle w:val="Caption"/>
        <w:keepNext/>
        <w:jc w:val="center"/>
        <w:rPr>
          <w:rFonts w:ascii="Arial" w:hAnsi="Arial" w:cs="Arial"/>
          <w:b/>
          <w:bCs/>
          <w:i w:val="0"/>
          <w:iCs w:val="0"/>
          <w:color w:val="auto"/>
          <w:sz w:val="24"/>
          <w:szCs w:val="24"/>
        </w:rPr>
      </w:pPr>
      <w:r w:rsidRPr="00EA76DD">
        <w:rPr>
          <w:rFonts w:ascii="Arial" w:hAnsi="Arial" w:cs="Arial"/>
          <w:b/>
          <w:bCs/>
          <w:i w:val="0"/>
          <w:iCs w:val="0"/>
          <w:color w:val="auto"/>
          <w:sz w:val="24"/>
          <w:szCs w:val="24"/>
        </w:rPr>
        <w:t xml:space="preserve">Figura </w:t>
      </w:r>
      <w:r w:rsidRPr="00EA76DD">
        <w:rPr>
          <w:rFonts w:ascii="Arial" w:hAnsi="Arial" w:cs="Arial"/>
          <w:b/>
          <w:bCs/>
          <w:i w:val="0"/>
          <w:iCs w:val="0"/>
          <w:color w:val="auto"/>
          <w:sz w:val="24"/>
          <w:szCs w:val="24"/>
        </w:rPr>
        <w:fldChar w:fldCharType="begin"/>
      </w:r>
      <w:r w:rsidRPr="00EA76DD">
        <w:rPr>
          <w:rFonts w:ascii="Arial" w:hAnsi="Arial" w:cs="Arial"/>
          <w:b/>
          <w:bCs/>
          <w:i w:val="0"/>
          <w:iCs w:val="0"/>
          <w:color w:val="auto"/>
          <w:sz w:val="24"/>
          <w:szCs w:val="24"/>
        </w:rPr>
        <w:instrText xml:space="preserve"> SEQ Figura \* ARABIC </w:instrText>
      </w:r>
      <w:r w:rsidRPr="00EA76DD">
        <w:rPr>
          <w:rFonts w:ascii="Arial" w:hAnsi="Arial" w:cs="Arial"/>
          <w:b/>
          <w:bCs/>
          <w:i w:val="0"/>
          <w:iCs w:val="0"/>
          <w:color w:val="auto"/>
          <w:sz w:val="24"/>
          <w:szCs w:val="24"/>
        </w:rPr>
        <w:fldChar w:fldCharType="separate"/>
      </w:r>
      <w:r w:rsidR="00E82A92">
        <w:rPr>
          <w:rFonts w:ascii="Arial" w:hAnsi="Arial" w:cs="Arial"/>
          <w:b/>
          <w:bCs/>
          <w:i w:val="0"/>
          <w:iCs w:val="0"/>
          <w:noProof/>
          <w:color w:val="auto"/>
          <w:sz w:val="24"/>
          <w:szCs w:val="24"/>
        </w:rPr>
        <w:t>3</w:t>
      </w:r>
      <w:r w:rsidRPr="00EA76DD">
        <w:rPr>
          <w:rFonts w:ascii="Arial" w:hAnsi="Arial" w:cs="Arial"/>
          <w:b/>
          <w:bCs/>
          <w:i w:val="0"/>
          <w:iCs w:val="0"/>
          <w:color w:val="auto"/>
          <w:sz w:val="24"/>
          <w:szCs w:val="24"/>
        </w:rPr>
        <w:fldChar w:fldCharType="end"/>
      </w:r>
      <w:r w:rsidRPr="00EA76DD">
        <w:rPr>
          <w:rFonts w:ascii="Arial" w:hAnsi="Arial" w:cs="Arial"/>
          <w:b/>
          <w:bCs/>
          <w:i w:val="0"/>
          <w:iCs w:val="0"/>
          <w:color w:val="auto"/>
          <w:sz w:val="24"/>
          <w:szCs w:val="24"/>
        </w:rPr>
        <w:t>: Subgrupo PMC</w:t>
      </w:r>
      <w:r w:rsidR="004B462F">
        <w:rPr>
          <w:rFonts w:ascii="Arial" w:hAnsi="Arial" w:cs="Arial"/>
          <w:b/>
          <w:bCs/>
          <w:i w:val="0"/>
          <w:iCs w:val="0"/>
          <w:color w:val="auto"/>
          <w:sz w:val="24"/>
          <w:szCs w:val="24"/>
        </w:rPr>
        <w:t>*</w:t>
      </w:r>
      <w:r w:rsidRPr="00EA76DD">
        <w:rPr>
          <w:rFonts w:ascii="Arial" w:hAnsi="Arial" w:cs="Arial"/>
          <w:b/>
          <w:bCs/>
          <w:i w:val="0"/>
          <w:iCs w:val="0"/>
          <w:color w:val="auto"/>
          <w:sz w:val="24"/>
          <w:szCs w:val="24"/>
        </w:rPr>
        <w:t xml:space="preserve"> e </w:t>
      </w:r>
      <w:r w:rsidR="00515812">
        <w:rPr>
          <w:rFonts w:ascii="Arial" w:hAnsi="Arial" w:cs="Arial"/>
          <w:b/>
          <w:bCs/>
          <w:i w:val="0"/>
          <w:iCs w:val="0"/>
          <w:color w:val="auto"/>
          <w:sz w:val="24"/>
          <w:szCs w:val="24"/>
        </w:rPr>
        <w:t>S</w:t>
      </w:r>
      <w:r w:rsidRPr="00EA76DD">
        <w:rPr>
          <w:rFonts w:ascii="Arial" w:hAnsi="Arial" w:cs="Arial"/>
          <w:b/>
          <w:bCs/>
          <w:i w:val="0"/>
          <w:iCs w:val="0"/>
          <w:color w:val="auto"/>
          <w:sz w:val="24"/>
          <w:szCs w:val="24"/>
        </w:rPr>
        <w:t>DR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tblGrid>
      <w:tr w:rsidR="0051798B" w14:paraId="3D4E3649" w14:textId="77777777" w:rsidTr="003F7196">
        <w:trPr>
          <w:trHeight w:val="4677"/>
          <w:jc w:val="center"/>
        </w:trPr>
        <w:tc>
          <w:tcPr>
            <w:tcW w:w="7386" w:type="dxa"/>
          </w:tcPr>
          <w:p w14:paraId="73C73BCE" w14:textId="6B5AC5EE" w:rsidR="0051798B" w:rsidRDefault="0051798B" w:rsidP="003F7196">
            <w:pPr>
              <w:keepNext/>
              <w:spacing w:line="360" w:lineRule="auto"/>
              <w:jc w:val="both"/>
              <w:rPr>
                <w:rFonts w:ascii="Arial" w:hAnsi="Arial" w:cs="Arial"/>
                <w:sz w:val="24"/>
                <w:szCs w:val="24"/>
              </w:rPr>
            </w:pPr>
            <w:r w:rsidRPr="0051798B">
              <w:rPr>
                <w:rFonts w:ascii="Arial" w:hAnsi="Arial" w:cs="Arial"/>
                <w:noProof/>
                <w:sz w:val="24"/>
                <w:szCs w:val="24"/>
              </w:rPr>
              <w:drawing>
                <wp:anchor distT="0" distB="0" distL="114300" distR="114300" simplePos="0" relativeHeight="251669504" behindDoc="0" locked="0" layoutInCell="1" allowOverlap="1" wp14:anchorId="118CCB64" wp14:editId="35E48B31">
                  <wp:simplePos x="0" y="0"/>
                  <wp:positionH relativeFrom="column">
                    <wp:posOffset>1270</wp:posOffset>
                  </wp:positionH>
                  <wp:positionV relativeFrom="paragraph">
                    <wp:posOffset>635</wp:posOffset>
                  </wp:positionV>
                  <wp:extent cx="4619625" cy="28670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2867025"/>
                          </a:xfrm>
                          <a:prstGeom prst="rect">
                            <a:avLst/>
                          </a:prstGeom>
                          <a:noFill/>
                          <a:ln>
                            <a:noFill/>
                          </a:ln>
                        </pic:spPr>
                      </pic:pic>
                    </a:graphicData>
                  </a:graphic>
                </wp:anchor>
              </w:drawing>
            </w:r>
          </w:p>
        </w:tc>
      </w:tr>
    </w:tbl>
    <w:p w14:paraId="7C857073" w14:textId="53E5E1D5" w:rsidR="0051798B" w:rsidRDefault="0051798B" w:rsidP="00515812">
      <w:pPr>
        <w:pStyle w:val="Caption"/>
        <w:spacing w:line="360" w:lineRule="auto"/>
        <w:jc w:val="center"/>
        <w:rPr>
          <w:rFonts w:ascii="Arial" w:hAnsi="Arial" w:cs="Arial"/>
          <w:i w:val="0"/>
          <w:iCs w:val="0"/>
          <w:color w:val="auto"/>
          <w:sz w:val="24"/>
          <w:szCs w:val="24"/>
        </w:rPr>
      </w:pPr>
      <w:r w:rsidRPr="00EA76DD">
        <w:rPr>
          <w:rFonts w:ascii="Arial" w:hAnsi="Arial" w:cs="Arial"/>
          <w:i w:val="0"/>
          <w:iCs w:val="0"/>
          <w:color w:val="auto"/>
          <w:sz w:val="24"/>
          <w:szCs w:val="24"/>
        </w:rPr>
        <w:t xml:space="preserve">Fonte: IBGE, FGV, Cálculos Próprios *Subgrupo </w:t>
      </w:r>
      <w:r>
        <w:rPr>
          <w:rFonts w:ascii="Arial" w:hAnsi="Arial" w:cs="Arial"/>
          <w:i w:val="0"/>
          <w:iCs w:val="0"/>
          <w:color w:val="auto"/>
          <w:sz w:val="24"/>
          <w:szCs w:val="24"/>
        </w:rPr>
        <w:t>“</w:t>
      </w:r>
      <w:r w:rsidRPr="0051798B">
        <w:rPr>
          <w:rFonts w:ascii="Arial" w:hAnsi="Arial" w:cs="Arial"/>
          <w:i w:val="0"/>
          <w:iCs w:val="0"/>
          <w:color w:val="auto"/>
          <w:sz w:val="24"/>
          <w:szCs w:val="24"/>
        </w:rPr>
        <w:t>Tecidos, vestuário e calçados</w:t>
      </w:r>
      <w:r>
        <w:rPr>
          <w:rFonts w:ascii="Arial" w:hAnsi="Arial" w:cs="Arial"/>
          <w:i w:val="0"/>
          <w:iCs w:val="0"/>
          <w:color w:val="auto"/>
          <w:sz w:val="24"/>
          <w:szCs w:val="24"/>
        </w:rPr>
        <w:t>”.</w:t>
      </w:r>
    </w:p>
    <w:p w14:paraId="35159A7F" w14:textId="77777777" w:rsidR="00C83EC8" w:rsidRPr="00C83EC8" w:rsidRDefault="00C83EC8" w:rsidP="00C83EC8"/>
    <w:p w14:paraId="7F3F7E24" w14:textId="5E5882B0" w:rsidR="0051798B" w:rsidRDefault="00907167" w:rsidP="0051798B">
      <w:pPr>
        <w:spacing w:line="360" w:lineRule="auto"/>
        <w:rPr>
          <w:rFonts w:ascii="Arial" w:hAnsi="Arial" w:cs="Arial"/>
          <w:b/>
          <w:bCs/>
          <w:sz w:val="24"/>
          <w:szCs w:val="24"/>
        </w:rPr>
      </w:pPr>
      <w:r>
        <w:rPr>
          <w:rFonts w:ascii="Arial" w:hAnsi="Arial" w:cs="Arial"/>
          <w:b/>
          <w:bCs/>
          <w:sz w:val="24"/>
          <w:szCs w:val="24"/>
        </w:rPr>
        <w:t>2.1.3 Bens duráveis</w:t>
      </w:r>
    </w:p>
    <w:p w14:paraId="7C54EF4A" w14:textId="319939EF" w:rsidR="0053340D" w:rsidRDefault="00F7606A" w:rsidP="00F7606A">
      <w:pPr>
        <w:spacing w:line="360" w:lineRule="auto"/>
        <w:jc w:val="both"/>
        <w:rPr>
          <w:rFonts w:ascii="Arial" w:hAnsi="Arial" w:cs="Arial"/>
          <w:sz w:val="24"/>
          <w:szCs w:val="24"/>
        </w:rPr>
      </w:pPr>
      <w:r>
        <w:rPr>
          <w:rFonts w:ascii="Arial" w:hAnsi="Arial" w:cs="Arial"/>
          <w:sz w:val="24"/>
          <w:szCs w:val="24"/>
        </w:rPr>
        <w:t>Já para os bens duráveis (DRB), havia mais de um subgrupo da PMC</w:t>
      </w:r>
      <w:r w:rsidR="00463C5E">
        <w:rPr>
          <w:rFonts w:ascii="Arial" w:hAnsi="Arial" w:cs="Arial"/>
          <w:sz w:val="24"/>
          <w:szCs w:val="24"/>
        </w:rPr>
        <w:t xml:space="preserve"> e da PMC Ampliada</w:t>
      </w:r>
      <w:r>
        <w:rPr>
          <w:rFonts w:ascii="Arial" w:hAnsi="Arial" w:cs="Arial"/>
          <w:sz w:val="24"/>
          <w:szCs w:val="24"/>
        </w:rPr>
        <w:t xml:space="preserve"> que se encaixava na metodologia utilizada pelo Monitor. Era o caso das linhas “Móveis e eletrodomésticos”</w:t>
      </w:r>
      <w:r w:rsidR="00E82A92">
        <w:rPr>
          <w:rFonts w:ascii="Arial" w:hAnsi="Arial" w:cs="Arial"/>
          <w:sz w:val="24"/>
          <w:szCs w:val="24"/>
        </w:rPr>
        <w:t xml:space="preserve"> e</w:t>
      </w:r>
      <w:r>
        <w:rPr>
          <w:rFonts w:ascii="Arial" w:hAnsi="Arial" w:cs="Arial"/>
          <w:sz w:val="24"/>
          <w:szCs w:val="24"/>
        </w:rPr>
        <w:t xml:space="preserve"> “Veículos, motocicletas, partes e peças”</w:t>
      </w:r>
      <w:r w:rsidR="00E82A92">
        <w:rPr>
          <w:rFonts w:ascii="Arial" w:hAnsi="Arial" w:cs="Arial"/>
          <w:sz w:val="24"/>
          <w:szCs w:val="24"/>
        </w:rPr>
        <w:t xml:space="preserve">. </w:t>
      </w:r>
      <w:r w:rsidR="0053340D">
        <w:rPr>
          <w:rFonts w:ascii="Arial" w:hAnsi="Arial" w:cs="Arial"/>
          <w:sz w:val="24"/>
          <w:szCs w:val="24"/>
        </w:rPr>
        <w:t>No IPCA, se somarmos os pesos de Automóvel Novo, Automóvel Usado, Motocicleta, Mobiliário e Aparelhos eletrodomésticos, temos 8,23%, sendo que duráveis no total soma ao redor de 10%. Assim, o movimento do grupo em geral deve seguir o movimento desses subitens específicos.</w:t>
      </w:r>
    </w:p>
    <w:p w14:paraId="049A7820" w14:textId="270461A0" w:rsidR="00907167" w:rsidRDefault="00E82A92" w:rsidP="00F7606A">
      <w:pPr>
        <w:spacing w:line="360" w:lineRule="auto"/>
        <w:jc w:val="both"/>
        <w:rPr>
          <w:rFonts w:ascii="Arial" w:hAnsi="Arial" w:cs="Arial"/>
          <w:sz w:val="24"/>
          <w:szCs w:val="24"/>
        </w:rPr>
      </w:pPr>
      <w:r>
        <w:rPr>
          <w:rFonts w:ascii="Arial" w:hAnsi="Arial" w:cs="Arial"/>
          <w:sz w:val="24"/>
          <w:szCs w:val="24"/>
        </w:rPr>
        <w:t xml:space="preserve">Ambas as séries </w:t>
      </w:r>
      <w:r w:rsidR="0053340D">
        <w:rPr>
          <w:rFonts w:ascii="Arial" w:hAnsi="Arial" w:cs="Arial"/>
          <w:sz w:val="24"/>
          <w:szCs w:val="24"/>
        </w:rPr>
        <w:t xml:space="preserve">da PMC </w:t>
      </w:r>
      <w:r>
        <w:rPr>
          <w:rFonts w:ascii="Arial" w:hAnsi="Arial" w:cs="Arial"/>
          <w:sz w:val="24"/>
          <w:szCs w:val="24"/>
        </w:rPr>
        <w:t>apresentam boa correlação visual com o grupo duráveis do Monitor.</w:t>
      </w:r>
    </w:p>
    <w:p w14:paraId="0B51405C" w14:textId="471EB029" w:rsidR="00E82A92" w:rsidRDefault="00E82A92" w:rsidP="00F7606A">
      <w:pPr>
        <w:spacing w:line="360" w:lineRule="auto"/>
        <w:jc w:val="both"/>
        <w:rPr>
          <w:rFonts w:ascii="Arial" w:hAnsi="Arial" w:cs="Arial"/>
          <w:sz w:val="24"/>
          <w:szCs w:val="24"/>
        </w:rPr>
      </w:pPr>
    </w:p>
    <w:p w14:paraId="03FA6C0D" w14:textId="56F83914" w:rsidR="00E82A92" w:rsidRPr="00EA76DD" w:rsidRDefault="00E82A92" w:rsidP="00E82A92">
      <w:pPr>
        <w:pStyle w:val="Caption"/>
        <w:keepNext/>
        <w:jc w:val="center"/>
        <w:rPr>
          <w:rFonts w:ascii="Arial" w:hAnsi="Arial" w:cs="Arial"/>
          <w:b/>
          <w:bCs/>
          <w:i w:val="0"/>
          <w:iCs w:val="0"/>
          <w:color w:val="auto"/>
          <w:sz w:val="24"/>
          <w:szCs w:val="24"/>
        </w:rPr>
      </w:pPr>
      <w:r w:rsidRPr="00EA76DD">
        <w:rPr>
          <w:rFonts w:ascii="Arial" w:hAnsi="Arial" w:cs="Arial"/>
          <w:b/>
          <w:bCs/>
          <w:i w:val="0"/>
          <w:iCs w:val="0"/>
          <w:color w:val="auto"/>
          <w:sz w:val="24"/>
          <w:szCs w:val="24"/>
        </w:rPr>
        <w:lastRenderedPageBreak/>
        <w:t xml:space="preserve">Figura </w:t>
      </w:r>
      <w:r w:rsidRPr="00EA76DD">
        <w:rPr>
          <w:rFonts w:ascii="Arial" w:hAnsi="Arial" w:cs="Arial"/>
          <w:b/>
          <w:bCs/>
          <w:i w:val="0"/>
          <w:iCs w:val="0"/>
          <w:color w:val="auto"/>
          <w:sz w:val="24"/>
          <w:szCs w:val="24"/>
        </w:rPr>
        <w:fldChar w:fldCharType="begin"/>
      </w:r>
      <w:r w:rsidRPr="00EA76DD">
        <w:rPr>
          <w:rFonts w:ascii="Arial" w:hAnsi="Arial" w:cs="Arial"/>
          <w:b/>
          <w:bCs/>
          <w:i w:val="0"/>
          <w:iCs w:val="0"/>
          <w:color w:val="auto"/>
          <w:sz w:val="24"/>
          <w:szCs w:val="24"/>
        </w:rPr>
        <w:instrText xml:space="preserve"> SEQ Figura \* ARABIC </w:instrText>
      </w:r>
      <w:r w:rsidRPr="00EA76DD">
        <w:rPr>
          <w:rFonts w:ascii="Arial" w:hAnsi="Arial" w:cs="Arial"/>
          <w:b/>
          <w:bCs/>
          <w:i w:val="0"/>
          <w:iCs w:val="0"/>
          <w:color w:val="auto"/>
          <w:sz w:val="24"/>
          <w:szCs w:val="24"/>
        </w:rPr>
        <w:fldChar w:fldCharType="separate"/>
      </w:r>
      <w:r>
        <w:rPr>
          <w:rFonts w:ascii="Arial" w:hAnsi="Arial" w:cs="Arial"/>
          <w:b/>
          <w:bCs/>
          <w:i w:val="0"/>
          <w:iCs w:val="0"/>
          <w:noProof/>
          <w:color w:val="auto"/>
          <w:sz w:val="24"/>
          <w:szCs w:val="24"/>
        </w:rPr>
        <w:t>4</w:t>
      </w:r>
      <w:r w:rsidRPr="00EA76DD">
        <w:rPr>
          <w:rFonts w:ascii="Arial" w:hAnsi="Arial" w:cs="Arial"/>
          <w:b/>
          <w:bCs/>
          <w:i w:val="0"/>
          <w:iCs w:val="0"/>
          <w:color w:val="auto"/>
          <w:sz w:val="24"/>
          <w:szCs w:val="24"/>
        </w:rPr>
        <w:fldChar w:fldCharType="end"/>
      </w:r>
      <w:r w:rsidRPr="00EA76DD">
        <w:rPr>
          <w:rFonts w:ascii="Arial" w:hAnsi="Arial" w:cs="Arial"/>
          <w:b/>
          <w:bCs/>
          <w:i w:val="0"/>
          <w:iCs w:val="0"/>
          <w:color w:val="auto"/>
          <w:sz w:val="24"/>
          <w:szCs w:val="24"/>
        </w:rPr>
        <w:t>: Subgrupo</w:t>
      </w:r>
      <w:r w:rsidR="004B462F">
        <w:rPr>
          <w:rFonts w:ascii="Arial" w:hAnsi="Arial" w:cs="Arial"/>
          <w:b/>
          <w:bCs/>
          <w:i w:val="0"/>
          <w:iCs w:val="0"/>
          <w:color w:val="auto"/>
          <w:sz w:val="24"/>
          <w:szCs w:val="24"/>
        </w:rPr>
        <w:t>s</w:t>
      </w:r>
      <w:r w:rsidRPr="00EA76DD">
        <w:rPr>
          <w:rFonts w:ascii="Arial" w:hAnsi="Arial" w:cs="Arial"/>
          <w:b/>
          <w:bCs/>
          <w:i w:val="0"/>
          <w:iCs w:val="0"/>
          <w:color w:val="auto"/>
          <w:sz w:val="24"/>
          <w:szCs w:val="24"/>
        </w:rPr>
        <w:t xml:space="preserve"> PMC e </w:t>
      </w:r>
      <w:r>
        <w:rPr>
          <w:rFonts w:ascii="Arial" w:hAnsi="Arial" w:cs="Arial"/>
          <w:b/>
          <w:bCs/>
          <w:i w:val="0"/>
          <w:iCs w:val="0"/>
          <w:color w:val="auto"/>
          <w:sz w:val="24"/>
          <w:szCs w:val="24"/>
        </w:rPr>
        <w:t>DRB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6"/>
      </w:tblGrid>
      <w:tr w:rsidR="00E82A92" w14:paraId="3328DBE5" w14:textId="77777777" w:rsidTr="0045399C">
        <w:trPr>
          <w:trHeight w:val="4677"/>
          <w:jc w:val="center"/>
        </w:trPr>
        <w:tc>
          <w:tcPr>
            <w:tcW w:w="7386" w:type="dxa"/>
          </w:tcPr>
          <w:p w14:paraId="390FEDF6" w14:textId="6602AA70" w:rsidR="00E82A92" w:rsidRDefault="00E82A92" w:rsidP="0045399C">
            <w:pPr>
              <w:keepNext/>
              <w:spacing w:line="360" w:lineRule="auto"/>
              <w:jc w:val="both"/>
              <w:rPr>
                <w:rFonts w:ascii="Arial" w:hAnsi="Arial" w:cs="Arial"/>
                <w:sz w:val="24"/>
                <w:szCs w:val="24"/>
              </w:rPr>
            </w:pPr>
            <w:r w:rsidRPr="00E82A92">
              <w:rPr>
                <w:rFonts w:ascii="Arial" w:hAnsi="Arial" w:cs="Arial"/>
                <w:noProof/>
                <w:sz w:val="24"/>
                <w:szCs w:val="24"/>
              </w:rPr>
              <w:drawing>
                <wp:anchor distT="0" distB="0" distL="114300" distR="114300" simplePos="0" relativeHeight="251692032" behindDoc="0" locked="0" layoutInCell="1" allowOverlap="1" wp14:anchorId="15502CF6" wp14:editId="3CD522E4">
                  <wp:simplePos x="0" y="0"/>
                  <wp:positionH relativeFrom="column">
                    <wp:posOffset>1270</wp:posOffset>
                  </wp:positionH>
                  <wp:positionV relativeFrom="paragraph">
                    <wp:posOffset>0</wp:posOffset>
                  </wp:positionV>
                  <wp:extent cx="4581525" cy="28670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2867025"/>
                          </a:xfrm>
                          <a:prstGeom prst="rect">
                            <a:avLst/>
                          </a:prstGeom>
                          <a:noFill/>
                          <a:ln>
                            <a:noFill/>
                          </a:ln>
                        </pic:spPr>
                      </pic:pic>
                    </a:graphicData>
                  </a:graphic>
                </wp:anchor>
              </w:drawing>
            </w:r>
          </w:p>
        </w:tc>
      </w:tr>
    </w:tbl>
    <w:p w14:paraId="4188BEC0" w14:textId="46708FD1" w:rsidR="00E82A92" w:rsidRDefault="00E82A92" w:rsidP="00E82A92">
      <w:pPr>
        <w:pStyle w:val="Caption"/>
        <w:spacing w:line="360" w:lineRule="auto"/>
        <w:jc w:val="center"/>
        <w:rPr>
          <w:rFonts w:ascii="Arial" w:hAnsi="Arial" w:cs="Arial"/>
          <w:i w:val="0"/>
          <w:iCs w:val="0"/>
          <w:color w:val="auto"/>
          <w:sz w:val="24"/>
          <w:szCs w:val="24"/>
        </w:rPr>
      </w:pPr>
      <w:r w:rsidRPr="00EA76DD">
        <w:rPr>
          <w:rFonts w:ascii="Arial" w:hAnsi="Arial" w:cs="Arial"/>
          <w:i w:val="0"/>
          <w:iCs w:val="0"/>
          <w:color w:val="auto"/>
          <w:sz w:val="24"/>
          <w:szCs w:val="24"/>
        </w:rPr>
        <w:t>Fonte: IBGE, FGV, Cálculos Próprios</w:t>
      </w:r>
    </w:p>
    <w:p w14:paraId="7F590234" w14:textId="41F34B48" w:rsidR="00E82A92" w:rsidRDefault="00F764F7" w:rsidP="00F7606A">
      <w:pPr>
        <w:spacing w:line="360" w:lineRule="auto"/>
        <w:jc w:val="both"/>
        <w:rPr>
          <w:rFonts w:ascii="Arial" w:hAnsi="Arial" w:cs="Arial"/>
          <w:sz w:val="24"/>
          <w:szCs w:val="24"/>
        </w:rPr>
      </w:pPr>
      <w:r>
        <w:rPr>
          <w:rFonts w:ascii="Arial" w:hAnsi="Arial" w:cs="Arial"/>
          <w:sz w:val="24"/>
          <w:szCs w:val="24"/>
        </w:rPr>
        <w:t>Segue que o Monitor pode ser uma boa proxy quantum para os dois itens da PMC, que por sua vez são boas representações dos subitens duráveis no IPCA.</w:t>
      </w:r>
    </w:p>
    <w:p w14:paraId="2D9BE612" w14:textId="6A289087" w:rsidR="00EA378D" w:rsidRDefault="00EA378D" w:rsidP="00F7606A">
      <w:pPr>
        <w:spacing w:line="360" w:lineRule="auto"/>
        <w:jc w:val="both"/>
        <w:rPr>
          <w:rFonts w:ascii="Arial" w:hAnsi="Arial" w:cs="Arial"/>
          <w:sz w:val="24"/>
          <w:szCs w:val="24"/>
        </w:rPr>
      </w:pPr>
      <w:r>
        <w:rPr>
          <w:rFonts w:ascii="Arial" w:hAnsi="Arial" w:cs="Arial"/>
          <w:sz w:val="24"/>
          <w:szCs w:val="24"/>
        </w:rPr>
        <w:t>Vale observar</w:t>
      </w:r>
      <w:r w:rsidRPr="00EA378D">
        <w:rPr>
          <w:rFonts w:ascii="Arial" w:hAnsi="Arial" w:cs="Arial"/>
          <w:sz w:val="24"/>
          <w:szCs w:val="24"/>
        </w:rPr>
        <w:t xml:space="preserve"> </w:t>
      </w:r>
      <w:r>
        <w:rPr>
          <w:rFonts w:ascii="Arial" w:hAnsi="Arial" w:cs="Arial"/>
          <w:sz w:val="24"/>
          <w:szCs w:val="24"/>
        </w:rPr>
        <w:t>que u</w:t>
      </w:r>
      <w:r w:rsidRPr="00EA378D">
        <w:rPr>
          <w:rFonts w:ascii="Arial" w:hAnsi="Arial" w:cs="Arial"/>
          <w:sz w:val="24"/>
          <w:szCs w:val="24"/>
        </w:rPr>
        <w:t>m descolamento visível aconteceu com a série de Móveis e Eletrodomésticos em meados de 2020. Podemos creditar tal movimento justamente à impossibilidade de se consumir serviços naquele momento (primeira onda da pandemia no Brasil), gerando um choque temporário de demanda em outros itens. A demanda teria sido deslocada para o consumo de bens em detrimento ao de serviços, com destaque aos bens para casa, como móveis (reformas em casa), eletrodomésticos, informática, etc.</w:t>
      </w:r>
    </w:p>
    <w:p w14:paraId="2836779E" w14:textId="64BB26A4" w:rsidR="00463C5E" w:rsidRDefault="00463C5E" w:rsidP="00F7606A">
      <w:pPr>
        <w:spacing w:line="360" w:lineRule="auto"/>
        <w:jc w:val="both"/>
        <w:rPr>
          <w:rFonts w:ascii="Arial" w:hAnsi="Arial" w:cs="Arial"/>
          <w:sz w:val="24"/>
          <w:szCs w:val="24"/>
        </w:rPr>
      </w:pPr>
    </w:p>
    <w:p w14:paraId="3A769D35" w14:textId="417E83D6" w:rsidR="00084A58" w:rsidRDefault="00C83EC8" w:rsidP="00F7606A">
      <w:pPr>
        <w:spacing w:line="360" w:lineRule="auto"/>
        <w:jc w:val="both"/>
        <w:rPr>
          <w:rFonts w:ascii="Arial" w:hAnsi="Arial" w:cs="Arial"/>
          <w:b/>
          <w:bCs/>
          <w:sz w:val="24"/>
          <w:szCs w:val="24"/>
        </w:rPr>
      </w:pPr>
      <w:r w:rsidRPr="00C83EC8">
        <w:rPr>
          <w:rFonts w:ascii="Arial" w:hAnsi="Arial" w:cs="Arial"/>
          <w:b/>
          <w:bCs/>
          <w:sz w:val="24"/>
          <w:szCs w:val="24"/>
        </w:rPr>
        <w:t>2.1.4 Serviços</w:t>
      </w:r>
    </w:p>
    <w:p w14:paraId="62AD8EE1" w14:textId="08684FA3" w:rsidR="00C43291" w:rsidRDefault="00CE45B0" w:rsidP="006B2172">
      <w:pPr>
        <w:spacing w:line="360" w:lineRule="auto"/>
        <w:jc w:val="both"/>
        <w:rPr>
          <w:rFonts w:ascii="Arial" w:hAnsi="Arial" w:cs="Arial"/>
          <w:sz w:val="24"/>
          <w:szCs w:val="24"/>
        </w:rPr>
      </w:pPr>
      <w:r>
        <w:rPr>
          <w:rFonts w:ascii="Arial" w:hAnsi="Arial" w:cs="Arial"/>
          <w:sz w:val="24"/>
          <w:szCs w:val="24"/>
        </w:rPr>
        <w:t>Para Serviços</w:t>
      </w:r>
      <w:r w:rsidR="00CF2768">
        <w:rPr>
          <w:rFonts w:ascii="Arial" w:hAnsi="Arial" w:cs="Arial"/>
          <w:sz w:val="24"/>
          <w:szCs w:val="24"/>
        </w:rPr>
        <w:t xml:space="preserve"> (SRV)</w:t>
      </w:r>
      <w:r>
        <w:rPr>
          <w:rFonts w:ascii="Arial" w:hAnsi="Arial" w:cs="Arial"/>
          <w:sz w:val="24"/>
          <w:szCs w:val="24"/>
        </w:rPr>
        <w:t xml:space="preserve"> optou-se por pegar o índice cheio da PMS, pois não há uma quebra com tipos de serviços como há em bens</w:t>
      </w:r>
      <w:r w:rsidR="00C43291">
        <w:rPr>
          <w:rFonts w:ascii="Arial" w:hAnsi="Arial" w:cs="Arial"/>
          <w:sz w:val="24"/>
          <w:szCs w:val="24"/>
        </w:rPr>
        <w:t xml:space="preserve"> no Monitor</w:t>
      </w:r>
      <w:r>
        <w:rPr>
          <w:rFonts w:ascii="Arial" w:hAnsi="Arial" w:cs="Arial"/>
          <w:sz w:val="24"/>
          <w:szCs w:val="24"/>
        </w:rPr>
        <w:t xml:space="preserve">. </w:t>
      </w:r>
      <w:r w:rsidR="00C43291">
        <w:rPr>
          <w:rFonts w:ascii="Arial" w:hAnsi="Arial" w:cs="Arial"/>
          <w:sz w:val="24"/>
          <w:szCs w:val="24"/>
        </w:rPr>
        <w:t xml:space="preserve">Todos os subitens da PMS são deflacionados pelo IPCA, sendo </w:t>
      </w:r>
      <w:r w:rsidR="00CF2768">
        <w:rPr>
          <w:rFonts w:ascii="Arial" w:hAnsi="Arial" w:cs="Arial"/>
          <w:sz w:val="24"/>
          <w:szCs w:val="24"/>
        </w:rPr>
        <w:t>57</w:t>
      </w:r>
      <w:r w:rsidR="00C43291">
        <w:rPr>
          <w:rFonts w:ascii="Arial" w:hAnsi="Arial" w:cs="Arial"/>
          <w:sz w:val="24"/>
          <w:szCs w:val="24"/>
        </w:rPr>
        <w:t xml:space="preserve">% por subitens específicos de Serviços que se aproximam da definição da CNAE e </w:t>
      </w:r>
      <w:r w:rsidR="00CF2768">
        <w:rPr>
          <w:rFonts w:ascii="Arial" w:hAnsi="Arial" w:cs="Arial"/>
          <w:sz w:val="24"/>
          <w:szCs w:val="24"/>
        </w:rPr>
        <w:t>43</w:t>
      </w:r>
      <w:r w:rsidR="00C43291">
        <w:rPr>
          <w:rFonts w:ascii="Arial" w:hAnsi="Arial" w:cs="Arial"/>
          <w:sz w:val="24"/>
          <w:szCs w:val="24"/>
        </w:rPr>
        <w:t>% pela medida geral de IPCA Serviços.</w:t>
      </w:r>
    </w:p>
    <w:p w14:paraId="61ECC419" w14:textId="399594EA" w:rsidR="0051798B" w:rsidRDefault="00CF2768" w:rsidP="006B2172">
      <w:pPr>
        <w:spacing w:line="360" w:lineRule="auto"/>
        <w:jc w:val="both"/>
        <w:rPr>
          <w:rFonts w:ascii="Arial" w:hAnsi="Arial" w:cs="Arial"/>
          <w:sz w:val="24"/>
          <w:szCs w:val="24"/>
        </w:rPr>
      </w:pPr>
      <w:r>
        <w:rPr>
          <w:rFonts w:ascii="Arial" w:hAnsi="Arial" w:cs="Arial"/>
          <w:sz w:val="24"/>
          <w:szCs w:val="24"/>
        </w:rPr>
        <w:lastRenderedPageBreak/>
        <w:t>A série da PMS é mais curta, com início em 2011. No entanto, o gráfico já nos mostra uma boa correlação visual entre as séries:</w:t>
      </w:r>
    </w:p>
    <w:p w14:paraId="3A7EA15C" w14:textId="77777777" w:rsidR="00CF2768" w:rsidRDefault="00CF2768" w:rsidP="006B2172">
      <w:pPr>
        <w:spacing w:line="360" w:lineRule="auto"/>
        <w:jc w:val="both"/>
        <w:rPr>
          <w:rFonts w:ascii="Arial" w:hAnsi="Arial" w:cs="Arial"/>
          <w:sz w:val="24"/>
          <w:szCs w:val="24"/>
        </w:rPr>
      </w:pPr>
    </w:p>
    <w:p w14:paraId="1E3A86DA" w14:textId="78466261" w:rsidR="00CF2768" w:rsidRPr="00EA76DD" w:rsidRDefault="00CF2768" w:rsidP="00CF2768">
      <w:pPr>
        <w:pStyle w:val="Caption"/>
        <w:keepNext/>
        <w:jc w:val="center"/>
        <w:rPr>
          <w:rFonts w:ascii="Arial" w:hAnsi="Arial" w:cs="Arial"/>
          <w:b/>
          <w:bCs/>
          <w:i w:val="0"/>
          <w:iCs w:val="0"/>
          <w:color w:val="auto"/>
          <w:sz w:val="24"/>
          <w:szCs w:val="24"/>
        </w:rPr>
      </w:pPr>
      <w:r w:rsidRPr="00EA76DD">
        <w:rPr>
          <w:rFonts w:ascii="Arial" w:hAnsi="Arial" w:cs="Arial"/>
          <w:b/>
          <w:bCs/>
          <w:i w:val="0"/>
          <w:iCs w:val="0"/>
          <w:color w:val="auto"/>
          <w:sz w:val="24"/>
          <w:szCs w:val="24"/>
        </w:rPr>
        <w:t xml:space="preserve">Figura </w:t>
      </w:r>
      <w:r w:rsidRPr="00EA76DD">
        <w:rPr>
          <w:rFonts w:ascii="Arial" w:hAnsi="Arial" w:cs="Arial"/>
          <w:b/>
          <w:bCs/>
          <w:i w:val="0"/>
          <w:iCs w:val="0"/>
          <w:color w:val="auto"/>
          <w:sz w:val="24"/>
          <w:szCs w:val="24"/>
        </w:rPr>
        <w:fldChar w:fldCharType="begin"/>
      </w:r>
      <w:r w:rsidRPr="00EA76DD">
        <w:rPr>
          <w:rFonts w:ascii="Arial" w:hAnsi="Arial" w:cs="Arial"/>
          <w:b/>
          <w:bCs/>
          <w:i w:val="0"/>
          <w:iCs w:val="0"/>
          <w:color w:val="auto"/>
          <w:sz w:val="24"/>
          <w:szCs w:val="24"/>
        </w:rPr>
        <w:instrText xml:space="preserve"> SEQ Figura \* ARABIC </w:instrText>
      </w:r>
      <w:r w:rsidRPr="00EA76DD">
        <w:rPr>
          <w:rFonts w:ascii="Arial" w:hAnsi="Arial" w:cs="Arial"/>
          <w:b/>
          <w:bCs/>
          <w:i w:val="0"/>
          <w:iCs w:val="0"/>
          <w:color w:val="auto"/>
          <w:sz w:val="24"/>
          <w:szCs w:val="24"/>
        </w:rPr>
        <w:fldChar w:fldCharType="separate"/>
      </w:r>
      <w:r>
        <w:rPr>
          <w:rFonts w:ascii="Arial" w:hAnsi="Arial" w:cs="Arial"/>
          <w:b/>
          <w:bCs/>
          <w:i w:val="0"/>
          <w:iCs w:val="0"/>
          <w:noProof/>
          <w:color w:val="auto"/>
          <w:sz w:val="24"/>
          <w:szCs w:val="24"/>
        </w:rPr>
        <w:t>4</w:t>
      </w:r>
      <w:r w:rsidRPr="00EA76DD">
        <w:rPr>
          <w:rFonts w:ascii="Arial" w:hAnsi="Arial" w:cs="Arial"/>
          <w:b/>
          <w:bCs/>
          <w:i w:val="0"/>
          <w:iCs w:val="0"/>
          <w:color w:val="auto"/>
          <w:sz w:val="24"/>
          <w:szCs w:val="24"/>
        </w:rPr>
        <w:fldChar w:fldCharType="end"/>
      </w:r>
      <w:r w:rsidRPr="00EA76DD">
        <w:rPr>
          <w:rFonts w:ascii="Arial" w:hAnsi="Arial" w:cs="Arial"/>
          <w:b/>
          <w:bCs/>
          <w:i w:val="0"/>
          <w:iCs w:val="0"/>
          <w:color w:val="auto"/>
          <w:sz w:val="24"/>
          <w:szCs w:val="24"/>
        </w:rPr>
        <w:t>: PM</w:t>
      </w:r>
      <w:r w:rsidR="00A844A3">
        <w:rPr>
          <w:rFonts w:ascii="Arial" w:hAnsi="Arial" w:cs="Arial"/>
          <w:b/>
          <w:bCs/>
          <w:i w:val="0"/>
          <w:iCs w:val="0"/>
          <w:color w:val="auto"/>
          <w:sz w:val="24"/>
          <w:szCs w:val="24"/>
        </w:rPr>
        <w:t>S</w:t>
      </w:r>
      <w:r w:rsidRPr="00EA76DD">
        <w:rPr>
          <w:rFonts w:ascii="Arial" w:hAnsi="Arial" w:cs="Arial"/>
          <w:b/>
          <w:bCs/>
          <w:i w:val="0"/>
          <w:iCs w:val="0"/>
          <w:color w:val="auto"/>
          <w:sz w:val="24"/>
          <w:szCs w:val="24"/>
        </w:rPr>
        <w:t xml:space="preserve"> e </w:t>
      </w:r>
      <w:r w:rsidR="00A844A3">
        <w:rPr>
          <w:rFonts w:ascii="Arial" w:hAnsi="Arial" w:cs="Arial"/>
          <w:b/>
          <w:bCs/>
          <w:i w:val="0"/>
          <w:iCs w:val="0"/>
          <w:color w:val="auto"/>
          <w:sz w:val="24"/>
          <w:szCs w:val="24"/>
        </w:rPr>
        <w:t>SRV</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6"/>
      </w:tblGrid>
      <w:tr w:rsidR="00CF2768" w14:paraId="22852800" w14:textId="77777777" w:rsidTr="0045399C">
        <w:trPr>
          <w:trHeight w:val="4677"/>
          <w:jc w:val="center"/>
        </w:trPr>
        <w:tc>
          <w:tcPr>
            <w:tcW w:w="7386" w:type="dxa"/>
          </w:tcPr>
          <w:p w14:paraId="465413B7" w14:textId="4A6C5A27" w:rsidR="00CF2768" w:rsidRDefault="00CF2768" w:rsidP="0045399C">
            <w:pPr>
              <w:keepNext/>
              <w:spacing w:line="360" w:lineRule="auto"/>
              <w:jc w:val="both"/>
              <w:rPr>
                <w:rFonts w:ascii="Arial" w:hAnsi="Arial" w:cs="Arial"/>
                <w:sz w:val="24"/>
                <w:szCs w:val="24"/>
              </w:rPr>
            </w:pPr>
            <w:r w:rsidRPr="00CF2768">
              <w:rPr>
                <w:rFonts w:ascii="Arial" w:hAnsi="Arial" w:cs="Arial"/>
                <w:noProof/>
                <w:sz w:val="24"/>
                <w:szCs w:val="24"/>
              </w:rPr>
              <w:drawing>
                <wp:anchor distT="0" distB="0" distL="114300" distR="114300" simplePos="0" relativeHeight="251693056" behindDoc="0" locked="0" layoutInCell="1" allowOverlap="1" wp14:anchorId="66578DF3" wp14:editId="61166018">
                  <wp:simplePos x="0" y="0"/>
                  <wp:positionH relativeFrom="column">
                    <wp:posOffset>1270</wp:posOffset>
                  </wp:positionH>
                  <wp:positionV relativeFrom="paragraph">
                    <wp:posOffset>0</wp:posOffset>
                  </wp:positionV>
                  <wp:extent cx="4552950" cy="28670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2867025"/>
                          </a:xfrm>
                          <a:prstGeom prst="rect">
                            <a:avLst/>
                          </a:prstGeom>
                          <a:noFill/>
                          <a:ln>
                            <a:noFill/>
                          </a:ln>
                        </pic:spPr>
                      </pic:pic>
                    </a:graphicData>
                  </a:graphic>
                </wp:anchor>
              </w:drawing>
            </w:r>
          </w:p>
        </w:tc>
      </w:tr>
    </w:tbl>
    <w:p w14:paraId="695C5DA4" w14:textId="77777777" w:rsidR="00CF2768" w:rsidRDefault="00CF2768" w:rsidP="00CF2768">
      <w:pPr>
        <w:pStyle w:val="Caption"/>
        <w:spacing w:line="360" w:lineRule="auto"/>
        <w:jc w:val="center"/>
        <w:rPr>
          <w:rFonts w:ascii="Arial" w:hAnsi="Arial" w:cs="Arial"/>
          <w:i w:val="0"/>
          <w:iCs w:val="0"/>
          <w:color w:val="auto"/>
          <w:sz w:val="24"/>
          <w:szCs w:val="24"/>
        </w:rPr>
      </w:pPr>
      <w:r w:rsidRPr="00EA76DD">
        <w:rPr>
          <w:rFonts w:ascii="Arial" w:hAnsi="Arial" w:cs="Arial"/>
          <w:i w:val="0"/>
          <w:iCs w:val="0"/>
          <w:color w:val="auto"/>
          <w:sz w:val="24"/>
          <w:szCs w:val="24"/>
        </w:rPr>
        <w:t>Fonte: IBGE, FGV, Cálculos Próprios</w:t>
      </w:r>
    </w:p>
    <w:p w14:paraId="76E52DBB" w14:textId="51184DC0" w:rsidR="00CE45B0" w:rsidRDefault="00CE45B0" w:rsidP="006B2172">
      <w:pPr>
        <w:spacing w:line="360" w:lineRule="auto"/>
        <w:jc w:val="both"/>
        <w:rPr>
          <w:rFonts w:ascii="Arial" w:hAnsi="Arial" w:cs="Arial"/>
          <w:sz w:val="24"/>
          <w:szCs w:val="24"/>
        </w:rPr>
      </w:pPr>
    </w:p>
    <w:p w14:paraId="2C6BB177" w14:textId="77777777" w:rsidR="00CE45B0" w:rsidRDefault="00CE45B0" w:rsidP="006B2172">
      <w:pPr>
        <w:spacing w:line="360" w:lineRule="auto"/>
        <w:jc w:val="both"/>
        <w:rPr>
          <w:rFonts w:ascii="Arial" w:hAnsi="Arial" w:cs="Arial"/>
          <w:sz w:val="24"/>
          <w:szCs w:val="24"/>
        </w:rPr>
      </w:pPr>
    </w:p>
    <w:p w14:paraId="5347410F" w14:textId="2F11BEAD" w:rsidR="0051798B" w:rsidRPr="00153987" w:rsidRDefault="00153987" w:rsidP="0051798B">
      <w:pPr>
        <w:spacing w:line="360" w:lineRule="auto"/>
        <w:rPr>
          <w:rFonts w:ascii="Arial" w:hAnsi="Arial" w:cs="Arial"/>
          <w:b/>
          <w:bCs/>
          <w:sz w:val="24"/>
          <w:szCs w:val="24"/>
        </w:rPr>
      </w:pPr>
      <w:r>
        <w:rPr>
          <w:rFonts w:ascii="Arial" w:hAnsi="Arial" w:cs="Arial"/>
          <w:b/>
          <w:bCs/>
          <w:sz w:val="24"/>
          <w:szCs w:val="24"/>
        </w:rPr>
        <w:t>2.2 Metodologia</w:t>
      </w:r>
    </w:p>
    <w:p w14:paraId="215AF000" w14:textId="7763DDC2" w:rsidR="00153987" w:rsidRDefault="009B6F41" w:rsidP="00EB1C61">
      <w:pPr>
        <w:spacing w:line="360" w:lineRule="auto"/>
        <w:jc w:val="both"/>
        <w:rPr>
          <w:rFonts w:ascii="Arial" w:hAnsi="Arial" w:cs="Arial"/>
          <w:sz w:val="24"/>
          <w:szCs w:val="24"/>
        </w:rPr>
      </w:pPr>
      <w:r>
        <w:rPr>
          <w:rFonts w:ascii="Arial" w:hAnsi="Arial" w:cs="Arial"/>
          <w:sz w:val="24"/>
          <w:szCs w:val="24"/>
        </w:rPr>
        <w:t xml:space="preserve">Como apresentado anteriormente, a reponderação do IPCA partirá de janeiro de 2020 e utilizará a abertura das Grandes Categorias Econômicas (séries de Não-duráveis, semiduráveis, duráveis e serviços, todas disponibilizadas </w:t>
      </w:r>
      <w:r w:rsidR="00D81DB1">
        <w:rPr>
          <w:rFonts w:ascii="Arial" w:hAnsi="Arial" w:cs="Arial"/>
          <w:sz w:val="24"/>
          <w:szCs w:val="24"/>
        </w:rPr>
        <w:t xml:space="preserve">originalmente </w:t>
      </w:r>
      <w:r>
        <w:rPr>
          <w:rFonts w:ascii="Arial" w:hAnsi="Arial" w:cs="Arial"/>
          <w:sz w:val="24"/>
          <w:szCs w:val="24"/>
        </w:rPr>
        <w:t>pelo BCB</w:t>
      </w:r>
      <w:r w:rsidR="00D81DB1">
        <w:rPr>
          <w:rStyle w:val="FootnoteReference"/>
          <w:rFonts w:ascii="Arial" w:hAnsi="Arial" w:cs="Arial"/>
          <w:sz w:val="24"/>
          <w:szCs w:val="24"/>
        </w:rPr>
        <w:footnoteReference w:id="9"/>
      </w:r>
      <w:r>
        <w:rPr>
          <w:rFonts w:ascii="Arial" w:hAnsi="Arial" w:cs="Arial"/>
          <w:sz w:val="24"/>
          <w:szCs w:val="24"/>
        </w:rPr>
        <w:t>), com os Monitorados realocados entre os grandes grupos.</w:t>
      </w:r>
    </w:p>
    <w:p w14:paraId="13372070" w14:textId="084DE444" w:rsidR="00EB1C61" w:rsidRDefault="00EB1C61" w:rsidP="00EB1C61">
      <w:pPr>
        <w:spacing w:line="360" w:lineRule="auto"/>
        <w:jc w:val="both"/>
        <w:rPr>
          <w:rFonts w:ascii="Arial" w:hAnsi="Arial" w:cs="Arial"/>
          <w:sz w:val="24"/>
          <w:szCs w:val="24"/>
        </w:rPr>
      </w:pPr>
      <w:r>
        <w:rPr>
          <w:rFonts w:ascii="Arial" w:hAnsi="Arial" w:cs="Arial"/>
          <w:sz w:val="24"/>
          <w:szCs w:val="24"/>
        </w:rPr>
        <w:t>Como o IPCA pode ser descrito como um conjunto de subitens de pesos agregativos, ou seja, pode-se rebasear cada índice dos subitens conforme seu peso em uma base fixa (nesse caso, janeiro de 2020)</w:t>
      </w:r>
      <w:r w:rsidR="00743D72">
        <w:rPr>
          <w:rFonts w:ascii="Arial" w:hAnsi="Arial" w:cs="Arial"/>
          <w:sz w:val="24"/>
          <w:szCs w:val="24"/>
        </w:rPr>
        <w:t>,</w:t>
      </w:r>
      <w:r w:rsidR="00D17B46">
        <w:rPr>
          <w:rFonts w:ascii="Arial" w:hAnsi="Arial" w:cs="Arial"/>
          <w:sz w:val="24"/>
          <w:szCs w:val="24"/>
        </w:rPr>
        <w:t xml:space="preserve"> </w:t>
      </w:r>
      <w:r w:rsidR="00743D72">
        <w:rPr>
          <w:rFonts w:ascii="Arial" w:hAnsi="Arial" w:cs="Arial"/>
          <w:sz w:val="24"/>
          <w:szCs w:val="24"/>
        </w:rPr>
        <w:t xml:space="preserve">depois </w:t>
      </w:r>
      <w:r w:rsidR="00D17B46">
        <w:rPr>
          <w:rFonts w:ascii="Arial" w:hAnsi="Arial" w:cs="Arial"/>
          <w:sz w:val="24"/>
          <w:szCs w:val="24"/>
        </w:rPr>
        <w:t>aplica</w:t>
      </w:r>
      <w:r w:rsidR="00743D72">
        <w:rPr>
          <w:rFonts w:ascii="Arial" w:hAnsi="Arial" w:cs="Arial"/>
          <w:sz w:val="24"/>
          <w:szCs w:val="24"/>
        </w:rPr>
        <w:t>r</w:t>
      </w:r>
      <w:r w:rsidR="00D17B46">
        <w:rPr>
          <w:rFonts w:ascii="Arial" w:hAnsi="Arial" w:cs="Arial"/>
          <w:sz w:val="24"/>
          <w:szCs w:val="24"/>
        </w:rPr>
        <w:t xml:space="preserve"> sua </w:t>
      </w:r>
      <w:r w:rsidR="00D17B46">
        <w:rPr>
          <w:rFonts w:ascii="Arial" w:hAnsi="Arial" w:cs="Arial"/>
          <w:sz w:val="24"/>
          <w:szCs w:val="24"/>
        </w:rPr>
        <w:lastRenderedPageBreak/>
        <w:t>variação relativ</w:t>
      </w:r>
      <w:r w:rsidR="00743D72">
        <w:rPr>
          <w:rFonts w:ascii="Arial" w:hAnsi="Arial" w:cs="Arial"/>
          <w:sz w:val="24"/>
          <w:szCs w:val="24"/>
        </w:rPr>
        <w:t>a</w:t>
      </w:r>
      <w:r>
        <w:rPr>
          <w:rFonts w:ascii="Arial" w:hAnsi="Arial" w:cs="Arial"/>
          <w:sz w:val="24"/>
          <w:szCs w:val="24"/>
        </w:rPr>
        <w:t xml:space="preserve">, basta adicionar as séries dos subitens Monitorados nas séries das GCE para </w:t>
      </w:r>
      <w:r w:rsidR="00743D72">
        <w:rPr>
          <w:rFonts w:ascii="Arial" w:hAnsi="Arial" w:cs="Arial"/>
          <w:sz w:val="24"/>
          <w:szCs w:val="24"/>
        </w:rPr>
        <w:t xml:space="preserve">se </w:t>
      </w:r>
      <w:r>
        <w:rPr>
          <w:rFonts w:ascii="Arial" w:hAnsi="Arial" w:cs="Arial"/>
          <w:sz w:val="24"/>
          <w:szCs w:val="24"/>
        </w:rPr>
        <w:t xml:space="preserve">obter o índice </w:t>
      </w:r>
      <w:r w:rsidR="00743D72">
        <w:rPr>
          <w:rFonts w:ascii="Arial" w:hAnsi="Arial" w:cs="Arial"/>
          <w:sz w:val="24"/>
          <w:szCs w:val="24"/>
        </w:rPr>
        <w:t>“</w:t>
      </w:r>
      <w:r>
        <w:rPr>
          <w:rFonts w:ascii="Arial" w:hAnsi="Arial" w:cs="Arial"/>
          <w:sz w:val="24"/>
          <w:szCs w:val="24"/>
        </w:rPr>
        <w:t>realocado</w:t>
      </w:r>
      <w:r w:rsidR="00743D72">
        <w:rPr>
          <w:rFonts w:ascii="Arial" w:hAnsi="Arial" w:cs="Arial"/>
          <w:sz w:val="24"/>
          <w:szCs w:val="24"/>
        </w:rPr>
        <w:t>”</w:t>
      </w:r>
      <w:r>
        <w:rPr>
          <w:rFonts w:ascii="Arial" w:hAnsi="Arial" w:cs="Arial"/>
          <w:sz w:val="24"/>
          <w:szCs w:val="24"/>
        </w:rPr>
        <w:t>.</w:t>
      </w:r>
    </w:p>
    <w:p w14:paraId="3239FE61" w14:textId="77777777" w:rsidR="001B63CC" w:rsidRDefault="00D81DB1" w:rsidP="00EB1C61">
      <w:pPr>
        <w:spacing w:line="360" w:lineRule="auto"/>
        <w:jc w:val="both"/>
        <w:rPr>
          <w:rFonts w:ascii="Arial" w:hAnsi="Arial" w:cs="Arial"/>
          <w:sz w:val="24"/>
          <w:szCs w:val="24"/>
        </w:rPr>
      </w:pPr>
      <w:r>
        <w:rPr>
          <w:rFonts w:ascii="Arial" w:hAnsi="Arial" w:cs="Arial"/>
          <w:sz w:val="24"/>
          <w:szCs w:val="24"/>
        </w:rPr>
        <w:t xml:space="preserve">Já para o quantum, </w:t>
      </w:r>
      <w:r w:rsidR="00743D72">
        <w:rPr>
          <w:rFonts w:ascii="Arial" w:hAnsi="Arial" w:cs="Arial"/>
          <w:sz w:val="24"/>
          <w:szCs w:val="24"/>
        </w:rPr>
        <w:t>será utilizado o Monitor com a mesma abertura e dados não dessazonalizados, a fim de obter a variação efetiva de quantidade, sem nenhum tipo de filtro ou ajust</w:t>
      </w:r>
      <w:r w:rsidR="001B63CC">
        <w:rPr>
          <w:rFonts w:ascii="Arial" w:hAnsi="Arial" w:cs="Arial"/>
          <w:sz w:val="24"/>
          <w:szCs w:val="24"/>
        </w:rPr>
        <w:t>e.</w:t>
      </w:r>
    </w:p>
    <w:p w14:paraId="3511A033" w14:textId="75E08B67" w:rsidR="001B63CC" w:rsidRDefault="001B63CC" w:rsidP="00E45CA3">
      <w:pPr>
        <w:spacing w:line="360" w:lineRule="auto"/>
        <w:jc w:val="both"/>
        <w:rPr>
          <w:rFonts w:ascii="Arial" w:hAnsi="Arial" w:cs="Arial"/>
          <w:sz w:val="24"/>
          <w:szCs w:val="24"/>
        </w:rPr>
      </w:pPr>
      <w:r w:rsidRPr="001B63CC">
        <w:rPr>
          <w:rFonts w:ascii="Arial" w:hAnsi="Arial" w:cs="Arial"/>
          <w:sz w:val="24"/>
          <w:szCs w:val="24"/>
        </w:rPr>
        <w:t>Geralmente a técnica de dessazonalização é utilizada a fim de separar os efeitos de ciclo de efeitos típicos de calendário. Nesse caso, como estamos avaliando especificamente a mudança de padrão de consumo, independe a origem da variação de quantidades, ou seja, mesmo ela acontecendo dada a pandemia ou um mês específico, ela está alterando a cesta de consumo e por isso deve ser levada em conta.</w:t>
      </w:r>
    </w:p>
    <w:p w14:paraId="4250E927" w14:textId="61CFE63A" w:rsidR="001B63CC" w:rsidRDefault="008E36BC" w:rsidP="00E45CA3">
      <w:pPr>
        <w:spacing w:line="360" w:lineRule="auto"/>
        <w:jc w:val="both"/>
        <w:rPr>
          <w:rFonts w:ascii="Arial" w:hAnsi="Arial" w:cs="Arial"/>
          <w:sz w:val="24"/>
          <w:szCs w:val="24"/>
        </w:rPr>
      </w:pPr>
      <w:r>
        <w:rPr>
          <w:rFonts w:ascii="Arial" w:hAnsi="Arial" w:cs="Arial"/>
          <w:sz w:val="24"/>
          <w:szCs w:val="24"/>
        </w:rPr>
        <w:t>Originalmente, os pesos em Lasyperes são alterados a cada release por um cálculo simples de preços relativos: se um item varia mais que o índice cheio, o peso relativo deste para o próximo mês se eleva nesta proporção em relação ao seu peso anterior. O exercício em questão procurou alterar essa variação por preços relativos e colocar uma variação por valores relativos (preço x quantidade).</w:t>
      </w:r>
    </w:p>
    <w:p w14:paraId="7FC022DF" w14:textId="0AF51402" w:rsidR="004E5404" w:rsidRDefault="004E5404" w:rsidP="00E45CA3">
      <w:pPr>
        <w:spacing w:line="360" w:lineRule="auto"/>
        <w:jc w:val="both"/>
        <w:rPr>
          <w:rFonts w:ascii="Arial" w:hAnsi="Arial" w:cs="Arial"/>
          <w:sz w:val="24"/>
          <w:szCs w:val="24"/>
        </w:rPr>
      </w:pPr>
      <w:r>
        <w:rPr>
          <w:rFonts w:ascii="Arial" w:hAnsi="Arial" w:cs="Arial"/>
          <w:sz w:val="24"/>
          <w:szCs w:val="24"/>
        </w:rPr>
        <w:t>Iniciou-se em janeiro de 2020</w:t>
      </w:r>
      <w:r w:rsidR="00346CF2">
        <w:rPr>
          <w:rFonts w:ascii="Arial" w:hAnsi="Arial" w:cs="Arial"/>
          <w:sz w:val="24"/>
          <w:szCs w:val="24"/>
        </w:rPr>
        <w:t xml:space="preserve"> com os pesos realocados já apresentados. Após isso, foi computado um índice de valor multiplicando os índices de preço (IPCA original) e de quantidade (Monitor). </w:t>
      </w:r>
      <w:r w:rsidR="004038A9">
        <w:rPr>
          <w:rFonts w:ascii="Arial" w:hAnsi="Arial" w:cs="Arial"/>
          <w:sz w:val="24"/>
          <w:szCs w:val="24"/>
        </w:rPr>
        <w:t>Naturalmente</w:t>
      </w:r>
      <w:r w:rsidR="00346CF2">
        <w:rPr>
          <w:rFonts w:ascii="Arial" w:hAnsi="Arial" w:cs="Arial"/>
          <w:sz w:val="24"/>
          <w:szCs w:val="24"/>
        </w:rPr>
        <w:t>, obteve-se a variação.</w:t>
      </w:r>
    </w:p>
    <w:p w14:paraId="48557CCE" w14:textId="359FC276" w:rsidR="001B63CC" w:rsidRDefault="00346CF2" w:rsidP="00E45CA3">
      <w:pPr>
        <w:spacing w:line="360" w:lineRule="auto"/>
        <w:jc w:val="both"/>
        <w:rPr>
          <w:rFonts w:ascii="Arial" w:hAnsi="Arial" w:cs="Arial"/>
          <w:sz w:val="24"/>
          <w:szCs w:val="24"/>
        </w:rPr>
      </w:pPr>
      <w:r>
        <w:rPr>
          <w:rFonts w:ascii="Arial" w:hAnsi="Arial" w:cs="Arial"/>
          <w:sz w:val="24"/>
          <w:szCs w:val="24"/>
        </w:rPr>
        <w:t>Com</w:t>
      </w:r>
      <w:r w:rsidR="004038A9">
        <w:rPr>
          <w:rFonts w:ascii="Arial" w:hAnsi="Arial" w:cs="Arial"/>
          <w:sz w:val="24"/>
          <w:szCs w:val="24"/>
        </w:rPr>
        <w:t xml:space="preserve"> ela</w:t>
      </w:r>
      <w:r>
        <w:rPr>
          <w:rFonts w:ascii="Arial" w:hAnsi="Arial" w:cs="Arial"/>
          <w:sz w:val="24"/>
          <w:szCs w:val="24"/>
        </w:rPr>
        <w:t xml:space="preserve">, foi recalculado o peso </w:t>
      </w:r>
      <w:r w:rsidR="004038A9">
        <w:rPr>
          <w:rFonts w:ascii="Arial" w:hAnsi="Arial" w:cs="Arial"/>
          <w:sz w:val="24"/>
          <w:szCs w:val="24"/>
        </w:rPr>
        <w:t>mensalmente da seguinte forma:</w:t>
      </w:r>
    </w:p>
    <w:p w14:paraId="57BC09D4" w14:textId="5AF74ABB" w:rsidR="004038A9" w:rsidRDefault="004038A9" w:rsidP="00E45CA3">
      <w:pPr>
        <w:spacing w:line="360" w:lineRule="auto"/>
        <w:jc w:val="center"/>
        <w:rPr>
          <w:rFonts w:ascii="Arial" w:hAnsi="Arial" w:cs="Arial"/>
          <w:sz w:val="24"/>
          <w:szCs w:val="24"/>
        </w:rPr>
      </w:pPr>
      <w:r w:rsidRPr="004038A9">
        <w:rPr>
          <w:rFonts w:ascii="Arial" w:hAnsi="Arial" w:cs="Arial"/>
          <w:sz w:val="24"/>
          <w:szCs w:val="24"/>
          <w:vertAlign w:val="subscript"/>
        </w:rPr>
        <w:softHyphen/>
      </w:r>
      <m:oMath>
        <m:sSub>
          <m:sSubPr>
            <m:ctrlPr>
              <w:rPr>
                <w:rFonts w:ascii="Cambria Math" w:hAnsi="Cambria Math" w:cs="Arial"/>
                <w:i/>
                <w:sz w:val="24"/>
                <w:szCs w:val="24"/>
                <w:vertAlign w:val="subscript"/>
              </w:rPr>
            </m:ctrlPr>
          </m:sSubPr>
          <m:e>
            <m:r>
              <w:rPr>
                <w:rFonts w:ascii="Cambria Math" w:hAnsi="Cambria Math" w:cs="Arial"/>
                <w:sz w:val="24"/>
                <w:szCs w:val="24"/>
                <w:vertAlign w:val="subscript"/>
              </w:rPr>
              <m:t>w</m:t>
            </m:r>
          </m:e>
          <m:sub>
            <m:r>
              <w:rPr>
                <w:rFonts w:ascii="Cambria Math" w:hAnsi="Cambria Math" w:cs="Arial"/>
                <w:sz w:val="24"/>
                <w:szCs w:val="24"/>
                <w:vertAlign w:val="subscript"/>
              </w:rPr>
              <m:t>t</m:t>
            </m:r>
          </m:sub>
        </m:sSub>
        <m:r>
          <w:rPr>
            <w:rFonts w:ascii="Cambria Math" w:hAnsi="Cambria Math" w:cs="Arial"/>
            <w:sz w:val="24"/>
            <w:szCs w:val="24"/>
            <w:vertAlign w:val="subscript"/>
          </w:rPr>
          <m:t>=</m:t>
        </m:r>
        <m:sSub>
          <m:sSubPr>
            <m:ctrlPr>
              <w:rPr>
                <w:rFonts w:ascii="Cambria Math" w:hAnsi="Cambria Math" w:cs="Arial"/>
                <w:i/>
                <w:sz w:val="24"/>
                <w:szCs w:val="24"/>
                <w:vertAlign w:val="subscript"/>
              </w:rPr>
            </m:ctrlPr>
          </m:sSubPr>
          <m:e>
            <m:r>
              <w:rPr>
                <w:rFonts w:ascii="Cambria Math" w:hAnsi="Cambria Math" w:cs="Arial"/>
                <w:sz w:val="24"/>
                <w:szCs w:val="24"/>
                <w:vertAlign w:val="subscript"/>
              </w:rPr>
              <m:t>w</m:t>
            </m:r>
          </m:e>
          <m:sub>
            <m:r>
              <w:rPr>
                <w:rFonts w:ascii="Cambria Math" w:hAnsi="Cambria Math" w:cs="Arial"/>
                <w:sz w:val="24"/>
                <w:szCs w:val="24"/>
                <w:vertAlign w:val="subscript"/>
              </w:rPr>
              <m:t>t-1</m:t>
            </m:r>
          </m:sub>
        </m:sSub>
        <m:d>
          <m:dPr>
            <m:ctrlPr>
              <w:rPr>
                <w:rFonts w:ascii="Cambria Math" w:hAnsi="Cambria Math" w:cs="Arial"/>
                <w:i/>
                <w:sz w:val="24"/>
                <w:szCs w:val="24"/>
                <w:vertAlign w:val="subscript"/>
              </w:rPr>
            </m:ctrlPr>
          </m:dPr>
          <m:e>
            <m:f>
              <m:fPr>
                <m:ctrlPr>
                  <w:rPr>
                    <w:rFonts w:ascii="Cambria Math" w:hAnsi="Cambria Math" w:cs="Arial"/>
                    <w:i/>
                    <w:sz w:val="24"/>
                    <w:szCs w:val="24"/>
                    <w:vertAlign w:val="subscript"/>
                  </w:rPr>
                </m:ctrlPr>
              </m:fPr>
              <m:num>
                <m:sSub>
                  <m:sSubPr>
                    <m:ctrlPr>
                      <w:rPr>
                        <w:rFonts w:ascii="Cambria Math" w:hAnsi="Cambria Math" w:cs="Arial"/>
                        <w:i/>
                        <w:sz w:val="24"/>
                        <w:szCs w:val="24"/>
                        <w:vertAlign w:val="subscript"/>
                      </w:rPr>
                    </m:ctrlPr>
                  </m:sSubPr>
                  <m:e>
                    <m:r>
                      <w:rPr>
                        <w:rFonts w:ascii="Cambria Math" w:hAnsi="Cambria Math" w:cs="Arial"/>
                        <w:sz w:val="24"/>
                        <w:szCs w:val="24"/>
                        <w:vertAlign w:val="subscript"/>
                      </w:rPr>
                      <m:t>P</m:t>
                    </m:r>
                  </m:e>
                  <m:sub>
                    <m:r>
                      <w:rPr>
                        <w:rFonts w:ascii="Cambria Math" w:hAnsi="Cambria Math" w:cs="Arial"/>
                        <w:sz w:val="24"/>
                        <w:szCs w:val="24"/>
                        <w:vertAlign w:val="subscript"/>
                      </w:rPr>
                      <m:t>t</m:t>
                    </m:r>
                  </m:sub>
                </m:sSub>
                <m:sSub>
                  <m:sSubPr>
                    <m:ctrlPr>
                      <w:rPr>
                        <w:rFonts w:ascii="Cambria Math" w:hAnsi="Cambria Math" w:cs="Arial"/>
                        <w:i/>
                        <w:sz w:val="24"/>
                        <w:szCs w:val="24"/>
                        <w:vertAlign w:val="subscript"/>
                      </w:rPr>
                    </m:ctrlPr>
                  </m:sSubPr>
                  <m:e>
                    <m:r>
                      <w:rPr>
                        <w:rFonts w:ascii="Cambria Math" w:hAnsi="Cambria Math" w:cs="Arial"/>
                        <w:sz w:val="24"/>
                        <w:szCs w:val="24"/>
                        <w:vertAlign w:val="subscript"/>
                      </w:rPr>
                      <m:t>Q</m:t>
                    </m:r>
                  </m:e>
                  <m:sub>
                    <m:r>
                      <w:rPr>
                        <w:rFonts w:ascii="Cambria Math" w:hAnsi="Cambria Math" w:cs="Arial"/>
                        <w:sz w:val="24"/>
                        <w:szCs w:val="24"/>
                        <w:vertAlign w:val="subscript"/>
                      </w:rPr>
                      <m:t>t</m:t>
                    </m:r>
                  </m:sub>
                </m:sSub>
                <m:ctrlPr>
                  <w:rPr>
                    <w:rFonts w:ascii="Cambria Math" w:hAnsi="Cambria Math" w:cs="Arial"/>
                    <w:i/>
                    <w:sz w:val="24"/>
                    <w:szCs w:val="24"/>
                  </w:rPr>
                </m:ctrlPr>
              </m:num>
              <m:den>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m:t>
                        </m:r>
                      </m:sub>
                    </m:sSub>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t</m:t>
                        </m:r>
                      </m:sub>
                    </m:sSub>
                  </m:e>
                </m:nary>
              </m:den>
            </m:f>
          </m:e>
        </m:d>
      </m:oMath>
    </w:p>
    <w:p w14:paraId="60BE4CA4" w14:textId="0E1C4F21" w:rsidR="001B63CC" w:rsidRDefault="004038A9" w:rsidP="00E45CA3">
      <w:pPr>
        <w:spacing w:line="360" w:lineRule="auto"/>
        <w:jc w:val="both"/>
        <w:rPr>
          <w:rFonts w:ascii="Arial" w:eastAsiaTheme="minorEastAsia" w:hAnsi="Arial" w:cs="Arial"/>
          <w:sz w:val="24"/>
          <w:szCs w:val="24"/>
        </w:rPr>
      </w:pPr>
      <w:r w:rsidRPr="004038A9">
        <w:rPr>
          <w:rFonts w:ascii="Arial" w:hAnsi="Arial" w:cs="Arial"/>
          <w:sz w:val="24"/>
          <w:szCs w:val="24"/>
        </w:rPr>
        <w:t>Onde</w:t>
      </w:r>
      <w:r>
        <w:rPr>
          <w:rFonts w:ascii="Arial" w:hAnsi="Arial" w:cs="Arial"/>
          <w:sz w:val="24"/>
          <w:szCs w:val="24"/>
        </w:rPr>
        <w:t xml:space="preserve"> </w:t>
      </w:r>
      <m:oMath>
        <m:r>
          <w:rPr>
            <w:rFonts w:ascii="Cambria Math" w:hAnsi="Cambria Math" w:cs="Arial"/>
            <w:sz w:val="24"/>
            <w:szCs w:val="24"/>
          </w:rPr>
          <m:t>P</m:t>
        </m:r>
      </m:oMath>
      <w:r>
        <w:rPr>
          <w:rFonts w:ascii="Arial" w:eastAsiaTheme="minorEastAsia" w:hAnsi="Arial" w:cs="Arial"/>
          <w:sz w:val="24"/>
          <w:szCs w:val="24"/>
        </w:rPr>
        <w:t xml:space="preserve"> e </w:t>
      </w:r>
      <m:oMath>
        <m:r>
          <w:rPr>
            <w:rFonts w:ascii="Cambria Math" w:eastAsiaTheme="minorEastAsia" w:hAnsi="Cambria Math" w:cs="Arial"/>
            <w:sz w:val="24"/>
            <w:szCs w:val="24"/>
          </w:rPr>
          <m:t>Q</m:t>
        </m:r>
      </m:oMath>
      <w:r>
        <w:rPr>
          <w:rFonts w:ascii="Arial" w:eastAsiaTheme="minorEastAsia" w:hAnsi="Arial" w:cs="Arial"/>
          <w:sz w:val="24"/>
          <w:szCs w:val="24"/>
        </w:rPr>
        <w:t xml:space="preserve"> são as variações dos índices de preço e quantidade dos subgrupos (gerando variação de valor) e o somatório corresponde às mesmas variações porém do índice cheio, a fim de renormalizar os pesos</w:t>
      </w:r>
      <w:r w:rsidR="00E45CA3">
        <w:rPr>
          <w:rFonts w:ascii="Arial" w:eastAsiaTheme="minorEastAsia" w:hAnsi="Arial" w:cs="Arial"/>
          <w:sz w:val="24"/>
          <w:szCs w:val="24"/>
        </w:rPr>
        <w:t xml:space="preserve"> para 100.</w:t>
      </w:r>
    </w:p>
    <w:p w14:paraId="6F1458B0" w14:textId="07AA9DA0" w:rsidR="00E45CA3" w:rsidRDefault="00E45CA3" w:rsidP="00E45CA3">
      <w:pPr>
        <w:spacing w:line="360" w:lineRule="auto"/>
        <w:jc w:val="both"/>
        <w:rPr>
          <w:rFonts w:ascii="Arial" w:hAnsi="Arial" w:cs="Arial"/>
          <w:sz w:val="24"/>
          <w:szCs w:val="24"/>
        </w:rPr>
      </w:pPr>
      <w:r>
        <w:rPr>
          <w:rFonts w:ascii="Arial" w:eastAsiaTheme="minorEastAsia" w:hAnsi="Arial" w:cs="Arial"/>
          <w:sz w:val="24"/>
          <w:szCs w:val="24"/>
        </w:rPr>
        <w:t>Com esses pesos, o índice COVID foi calculado com uma média ponderada das variações realocadas (com os monitorados distribuídos) e dos novos pesos.</w:t>
      </w:r>
      <w:r w:rsidR="002C3003">
        <w:rPr>
          <w:rFonts w:ascii="Arial" w:eastAsiaTheme="minorEastAsia" w:hAnsi="Arial" w:cs="Arial"/>
          <w:sz w:val="24"/>
          <w:szCs w:val="24"/>
        </w:rPr>
        <w:t xml:space="preserve"> O cálculo foi feito até julho de 2021 (1 ano e 7 meses).</w:t>
      </w:r>
    </w:p>
    <w:p w14:paraId="53B17483" w14:textId="461AA2C5" w:rsidR="004038A9" w:rsidRPr="004038A9" w:rsidRDefault="004038A9" w:rsidP="004038A9">
      <w:pPr>
        <w:spacing w:line="360" w:lineRule="auto"/>
        <w:jc w:val="center"/>
        <w:rPr>
          <w:rFonts w:ascii="Arial" w:hAnsi="Arial" w:cs="Arial"/>
          <w:sz w:val="24"/>
          <w:szCs w:val="24"/>
        </w:rPr>
      </w:pPr>
    </w:p>
    <w:p w14:paraId="315CF205" w14:textId="149F4B39" w:rsidR="001B63CC" w:rsidRDefault="009055EB" w:rsidP="00EB1C61">
      <w:pPr>
        <w:spacing w:line="360" w:lineRule="auto"/>
        <w:jc w:val="both"/>
        <w:rPr>
          <w:rFonts w:ascii="Arial" w:hAnsi="Arial" w:cs="Arial"/>
          <w:sz w:val="24"/>
          <w:szCs w:val="24"/>
        </w:rPr>
      </w:pPr>
      <w:r>
        <w:rPr>
          <w:rFonts w:ascii="Arial" w:hAnsi="Arial" w:cs="Arial"/>
          <w:sz w:val="24"/>
          <w:szCs w:val="24"/>
        </w:rPr>
        <w:lastRenderedPageBreak/>
        <w:t>Como visto em Cavallo e nas outras principais referências desse texto, era esperado que o índice COVID apresentasse uma maior inflação em comparação com o índice oficial, dado que itens com deflação acima da média estariam acompanhados de uma redução no consumo (quantum), ou seja, estariam saindo da cesta de consumo temporária do indivíduo.</w:t>
      </w:r>
    </w:p>
    <w:p w14:paraId="3E1598E8" w14:textId="0FC95C4C" w:rsidR="009055EB" w:rsidRDefault="009055EB" w:rsidP="00EB1C61">
      <w:pPr>
        <w:spacing w:line="360" w:lineRule="auto"/>
        <w:jc w:val="both"/>
        <w:rPr>
          <w:rFonts w:ascii="Arial" w:hAnsi="Arial" w:cs="Arial"/>
          <w:sz w:val="24"/>
          <w:szCs w:val="24"/>
        </w:rPr>
      </w:pPr>
      <w:r>
        <w:rPr>
          <w:rFonts w:ascii="Arial" w:hAnsi="Arial" w:cs="Arial"/>
          <w:sz w:val="24"/>
          <w:szCs w:val="24"/>
        </w:rPr>
        <w:t>No entanto, foi observado um resultado diferente. O índice COVID, apesar de ter uma composição diferente de pesos, apresentou um efeito quase neutro sobre a inflação total. A Figura XXX ilustra as duas séries:</w:t>
      </w:r>
    </w:p>
    <w:p w14:paraId="0B2DC6D6" w14:textId="393F88FA" w:rsidR="009055EB" w:rsidRDefault="005D6105" w:rsidP="00EB1C61">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96128" behindDoc="0" locked="0" layoutInCell="1" allowOverlap="1" wp14:anchorId="4F252AF4" wp14:editId="5576A6AD">
            <wp:simplePos x="0" y="0"/>
            <wp:positionH relativeFrom="margin">
              <wp:align>left</wp:align>
            </wp:positionH>
            <wp:positionV relativeFrom="paragraph">
              <wp:posOffset>365760</wp:posOffset>
            </wp:positionV>
            <wp:extent cx="3990975" cy="210947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2109470"/>
                    </a:xfrm>
                    <a:prstGeom prst="rect">
                      <a:avLst/>
                    </a:prstGeom>
                    <a:noFill/>
                  </pic:spPr>
                </pic:pic>
              </a:graphicData>
            </a:graphic>
            <wp14:sizeRelH relativeFrom="margin">
              <wp14:pctWidth>0</wp14:pctWidth>
            </wp14:sizeRelH>
            <wp14:sizeRelV relativeFrom="margin">
              <wp14:pctHeight>0</wp14:pctHeight>
            </wp14:sizeRelV>
          </wp:anchor>
        </w:drawing>
      </w:r>
      <w:r w:rsidR="009055EB">
        <w:rPr>
          <w:rFonts w:ascii="Arial" w:hAnsi="Arial" w:cs="Arial"/>
          <w:sz w:val="24"/>
          <w:szCs w:val="24"/>
        </w:rPr>
        <w:t>XXXXXXXX gráfico COVID vs original</w:t>
      </w:r>
    </w:p>
    <w:p w14:paraId="02F7E458" w14:textId="6FFF8934" w:rsidR="005D6105" w:rsidRDefault="005D6105" w:rsidP="00EB1C61">
      <w:pPr>
        <w:spacing w:line="360" w:lineRule="auto"/>
        <w:jc w:val="both"/>
        <w:rPr>
          <w:rFonts w:ascii="Arial" w:hAnsi="Arial" w:cs="Arial"/>
          <w:sz w:val="24"/>
          <w:szCs w:val="24"/>
        </w:rPr>
      </w:pPr>
    </w:p>
    <w:p w14:paraId="3FCB7AFA" w14:textId="77777777" w:rsidR="005D6105" w:rsidRDefault="005D6105" w:rsidP="00EB1C61">
      <w:pPr>
        <w:spacing w:line="360" w:lineRule="auto"/>
        <w:jc w:val="both"/>
        <w:rPr>
          <w:rFonts w:ascii="Arial" w:hAnsi="Arial" w:cs="Arial"/>
          <w:sz w:val="24"/>
          <w:szCs w:val="24"/>
        </w:rPr>
      </w:pPr>
    </w:p>
    <w:p w14:paraId="477408CE" w14:textId="77777777" w:rsidR="005D6105" w:rsidRDefault="005D6105" w:rsidP="00EB1C61">
      <w:pPr>
        <w:spacing w:line="360" w:lineRule="auto"/>
        <w:jc w:val="both"/>
        <w:rPr>
          <w:rFonts w:ascii="Arial" w:hAnsi="Arial" w:cs="Arial"/>
          <w:sz w:val="24"/>
          <w:szCs w:val="24"/>
        </w:rPr>
      </w:pPr>
    </w:p>
    <w:p w14:paraId="3563271D" w14:textId="77777777" w:rsidR="005D6105" w:rsidRDefault="005D6105" w:rsidP="00EB1C61">
      <w:pPr>
        <w:spacing w:line="360" w:lineRule="auto"/>
        <w:jc w:val="both"/>
        <w:rPr>
          <w:rFonts w:ascii="Arial" w:hAnsi="Arial" w:cs="Arial"/>
          <w:sz w:val="24"/>
          <w:szCs w:val="24"/>
        </w:rPr>
      </w:pPr>
    </w:p>
    <w:p w14:paraId="32CD3BAE" w14:textId="77777777" w:rsidR="005D6105" w:rsidRDefault="005D6105" w:rsidP="00EB1C61">
      <w:pPr>
        <w:spacing w:line="360" w:lineRule="auto"/>
        <w:jc w:val="both"/>
        <w:rPr>
          <w:rFonts w:ascii="Arial" w:hAnsi="Arial" w:cs="Arial"/>
          <w:sz w:val="24"/>
          <w:szCs w:val="24"/>
        </w:rPr>
      </w:pPr>
    </w:p>
    <w:p w14:paraId="2C2D0F3B" w14:textId="77777777" w:rsidR="005D6105" w:rsidRDefault="005D6105" w:rsidP="00EB1C61">
      <w:pPr>
        <w:spacing w:line="360" w:lineRule="auto"/>
        <w:jc w:val="both"/>
        <w:rPr>
          <w:rFonts w:ascii="Arial" w:hAnsi="Arial" w:cs="Arial"/>
          <w:sz w:val="24"/>
          <w:szCs w:val="24"/>
        </w:rPr>
      </w:pPr>
    </w:p>
    <w:p w14:paraId="4ED201AE" w14:textId="77777777" w:rsidR="005D6105" w:rsidRDefault="005D6105" w:rsidP="00EB1C61">
      <w:pPr>
        <w:spacing w:line="360" w:lineRule="auto"/>
        <w:jc w:val="both"/>
        <w:rPr>
          <w:rFonts w:ascii="Arial" w:hAnsi="Arial" w:cs="Arial"/>
          <w:sz w:val="24"/>
          <w:szCs w:val="24"/>
        </w:rPr>
      </w:pPr>
    </w:p>
    <w:p w14:paraId="38B60F71" w14:textId="57AE2519" w:rsidR="00923832" w:rsidRDefault="00923832" w:rsidP="00EB1C61">
      <w:pPr>
        <w:spacing w:line="360" w:lineRule="auto"/>
        <w:jc w:val="both"/>
        <w:rPr>
          <w:rFonts w:ascii="Arial" w:hAnsi="Arial" w:cs="Arial"/>
          <w:sz w:val="24"/>
          <w:szCs w:val="24"/>
        </w:rPr>
      </w:pPr>
      <w:r>
        <w:rPr>
          <w:rFonts w:ascii="Arial" w:hAnsi="Arial" w:cs="Arial"/>
          <w:sz w:val="24"/>
          <w:szCs w:val="24"/>
        </w:rPr>
        <w:t>Em termos de inflação acumulada, no entanto, enquanto o IPCA registrou 4.52% para o ano de 2020, o índice ajustado registrou 4,70%, uma diferença de 0,18ppts. Para os últimos 12 meses terminados em julho, o IPCA chegou a 8.99% enquanto o ajustado chegou em 9,23%, uma diferença de 0,24ppts.</w:t>
      </w:r>
    </w:p>
    <w:p w14:paraId="74902B1D" w14:textId="0ED912E2" w:rsidR="009055EB" w:rsidRDefault="009055EB" w:rsidP="00EB1C61">
      <w:pPr>
        <w:spacing w:line="360" w:lineRule="auto"/>
        <w:jc w:val="both"/>
        <w:rPr>
          <w:rFonts w:ascii="Arial" w:hAnsi="Arial" w:cs="Arial"/>
          <w:sz w:val="24"/>
          <w:szCs w:val="24"/>
        </w:rPr>
      </w:pPr>
      <w:r>
        <w:rPr>
          <w:rFonts w:ascii="Arial" w:hAnsi="Arial" w:cs="Arial"/>
          <w:sz w:val="24"/>
          <w:szCs w:val="24"/>
        </w:rPr>
        <w:t xml:space="preserve">Apesar do resultado aparentemente não trazer muita informação, </w:t>
      </w:r>
      <w:r w:rsidR="009873BA">
        <w:rPr>
          <w:rFonts w:ascii="Arial" w:hAnsi="Arial" w:cs="Arial"/>
          <w:sz w:val="24"/>
          <w:szCs w:val="24"/>
        </w:rPr>
        <w:t>a composição dos pesos nos trazer alguns insights:</w:t>
      </w:r>
    </w:p>
    <w:p w14:paraId="47A19315" w14:textId="03733926" w:rsidR="009873BA" w:rsidRPr="004038A9" w:rsidRDefault="009873BA" w:rsidP="00EB1C61">
      <w:pPr>
        <w:spacing w:line="360" w:lineRule="auto"/>
        <w:jc w:val="both"/>
        <w:rPr>
          <w:rFonts w:ascii="Arial" w:hAnsi="Arial" w:cs="Arial"/>
          <w:sz w:val="24"/>
          <w:szCs w:val="24"/>
        </w:rPr>
      </w:pPr>
      <w:r w:rsidRPr="009873BA">
        <w:rPr>
          <w:noProof/>
        </w:rPr>
        <w:lastRenderedPageBreak/>
        <w:drawing>
          <wp:anchor distT="0" distB="0" distL="114300" distR="114300" simplePos="0" relativeHeight="251694080" behindDoc="0" locked="0" layoutInCell="1" allowOverlap="1" wp14:anchorId="3A4C2FB2" wp14:editId="16B94BB1">
            <wp:simplePos x="0" y="0"/>
            <wp:positionH relativeFrom="column">
              <wp:posOffset>-3810</wp:posOffset>
            </wp:positionH>
            <wp:positionV relativeFrom="paragraph">
              <wp:posOffset>12065</wp:posOffset>
            </wp:positionV>
            <wp:extent cx="4657725" cy="285750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2857500"/>
                    </a:xfrm>
                    <a:prstGeom prst="rect">
                      <a:avLst/>
                    </a:prstGeom>
                    <a:noFill/>
                    <a:ln>
                      <a:noFill/>
                    </a:ln>
                  </pic:spPr>
                </pic:pic>
              </a:graphicData>
            </a:graphic>
          </wp:anchor>
        </w:drawing>
      </w:r>
    </w:p>
    <w:p w14:paraId="01043DDF" w14:textId="77777777" w:rsidR="00EA378D" w:rsidRDefault="00EA378D" w:rsidP="00EA378D">
      <w:pPr>
        <w:rPr>
          <w:rFonts w:ascii="Arial" w:hAnsi="Arial" w:cs="Arial"/>
          <w:b/>
          <w:bCs/>
          <w:sz w:val="24"/>
          <w:szCs w:val="24"/>
        </w:rPr>
      </w:pPr>
    </w:p>
    <w:p w14:paraId="1AC638A7" w14:textId="77777777" w:rsidR="00EA378D" w:rsidRDefault="00EA378D" w:rsidP="00EA378D">
      <w:pPr>
        <w:rPr>
          <w:rFonts w:ascii="Arial" w:hAnsi="Arial" w:cs="Arial"/>
          <w:b/>
          <w:bCs/>
          <w:sz w:val="24"/>
          <w:szCs w:val="24"/>
        </w:rPr>
      </w:pPr>
    </w:p>
    <w:p w14:paraId="67029633" w14:textId="77777777" w:rsidR="009873BA" w:rsidRDefault="009873BA" w:rsidP="00EA378D">
      <w:pPr>
        <w:rPr>
          <w:rFonts w:ascii="Arial" w:hAnsi="Arial" w:cs="Arial"/>
          <w:b/>
          <w:bCs/>
          <w:sz w:val="24"/>
          <w:szCs w:val="24"/>
        </w:rPr>
      </w:pPr>
    </w:p>
    <w:p w14:paraId="33988AB2" w14:textId="77777777" w:rsidR="009873BA" w:rsidRDefault="009873BA" w:rsidP="00EA378D">
      <w:pPr>
        <w:rPr>
          <w:rFonts w:ascii="Arial" w:hAnsi="Arial" w:cs="Arial"/>
          <w:b/>
          <w:bCs/>
          <w:sz w:val="24"/>
          <w:szCs w:val="24"/>
        </w:rPr>
      </w:pPr>
    </w:p>
    <w:p w14:paraId="6C0939EA" w14:textId="77777777" w:rsidR="009873BA" w:rsidRDefault="009873BA" w:rsidP="00EA378D">
      <w:pPr>
        <w:rPr>
          <w:rFonts w:ascii="Arial" w:hAnsi="Arial" w:cs="Arial"/>
          <w:b/>
          <w:bCs/>
          <w:sz w:val="24"/>
          <w:szCs w:val="24"/>
        </w:rPr>
      </w:pPr>
    </w:p>
    <w:p w14:paraId="44337C18" w14:textId="77777777" w:rsidR="009873BA" w:rsidRDefault="009873BA" w:rsidP="00EA378D">
      <w:pPr>
        <w:rPr>
          <w:rFonts w:ascii="Arial" w:hAnsi="Arial" w:cs="Arial"/>
          <w:b/>
          <w:bCs/>
          <w:sz w:val="24"/>
          <w:szCs w:val="24"/>
        </w:rPr>
      </w:pPr>
    </w:p>
    <w:p w14:paraId="7225BAF5" w14:textId="77777777" w:rsidR="009873BA" w:rsidRDefault="009873BA" w:rsidP="00EA378D">
      <w:pPr>
        <w:rPr>
          <w:rFonts w:ascii="Arial" w:hAnsi="Arial" w:cs="Arial"/>
          <w:b/>
          <w:bCs/>
          <w:sz w:val="24"/>
          <w:szCs w:val="24"/>
        </w:rPr>
      </w:pPr>
    </w:p>
    <w:p w14:paraId="1B98BAF0" w14:textId="77777777" w:rsidR="009873BA" w:rsidRDefault="009873BA" w:rsidP="00EA378D">
      <w:pPr>
        <w:rPr>
          <w:rFonts w:ascii="Arial" w:hAnsi="Arial" w:cs="Arial"/>
          <w:b/>
          <w:bCs/>
          <w:sz w:val="24"/>
          <w:szCs w:val="24"/>
        </w:rPr>
      </w:pPr>
    </w:p>
    <w:p w14:paraId="6BC703D4" w14:textId="77777777" w:rsidR="009873BA" w:rsidRDefault="009873BA" w:rsidP="00EA378D">
      <w:pPr>
        <w:rPr>
          <w:rFonts w:ascii="Arial" w:hAnsi="Arial" w:cs="Arial"/>
          <w:b/>
          <w:bCs/>
          <w:sz w:val="24"/>
          <w:szCs w:val="24"/>
        </w:rPr>
      </w:pPr>
    </w:p>
    <w:p w14:paraId="640A3BD3" w14:textId="77777777" w:rsidR="009873BA" w:rsidRDefault="009873BA" w:rsidP="00664577">
      <w:pPr>
        <w:spacing w:line="360" w:lineRule="auto"/>
        <w:jc w:val="both"/>
        <w:rPr>
          <w:rFonts w:ascii="Arial" w:hAnsi="Arial" w:cs="Arial"/>
          <w:b/>
          <w:bCs/>
          <w:sz w:val="24"/>
          <w:szCs w:val="24"/>
        </w:rPr>
      </w:pPr>
    </w:p>
    <w:p w14:paraId="32B73E0F" w14:textId="641C5DFC" w:rsidR="009873BA" w:rsidRDefault="009873BA" w:rsidP="00664577">
      <w:pPr>
        <w:spacing w:line="360" w:lineRule="auto"/>
        <w:jc w:val="both"/>
        <w:rPr>
          <w:rFonts w:ascii="Arial" w:hAnsi="Arial" w:cs="Arial"/>
          <w:sz w:val="24"/>
          <w:szCs w:val="24"/>
        </w:rPr>
      </w:pPr>
      <w:r>
        <w:rPr>
          <w:rFonts w:ascii="Arial" w:hAnsi="Arial" w:cs="Arial"/>
          <w:sz w:val="24"/>
          <w:szCs w:val="24"/>
        </w:rPr>
        <w:t>N</w:t>
      </w:r>
      <w:r w:rsidR="00664577">
        <w:rPr>
          <w:rFonts w:ascii="Arial" w:hAnsi="Arial" w:cs="Arial"/>
          <w:sz w:val="24"/>
          <w:szCs w:val="24"/>
        </w:rPr>
        <w:t>a</w:t>
      </w:r>
      <w:r>
        <w:rPr>
          <w:rFonts w:ascii="Arial" w:hAnsi="Arial" w:cs="Arial"/>
          <w:sz w:val="24"/>
          <w:szCs w:val="24"/>
        </w:rPr>
        <w:t xml:space="preserve"> Figura </w:t>
      </w:r>
      <w:r w:rsidR="00664577">
        <w:rPr>
          <w:rFonts w:ascii="Arial" w:hAnsi="Arial" w:cs="Arial"/>
          <w:sz w:val="24"/>
          <w:szCs w:val="24"/>
        </w:rPr>
        <w:t>X, podemos comparar os pesos ajustados para a cesta de consumo COVID com os pesos originais do IPCA. Os originais se movem mais lentamente que os ajustados, pois são reponderados apenas por preços relativos. Já os ajustados foram mais voláteis.</w:t>
      </w:r>
    </w:p>
    <w:p w14:paraId="13E77A01" w14:textId="77777777" w:rsidR="00792803" w:rsidRDefault="00664577" w:rsidP="00664577">
      <w:pPr>
        <w:spacing w:line="360" w:lineRule="auto"/>
        <w:jc w:val="both"/>
        <w:rPr>
          <w:rFonts w:ascii="Arial" w:hAnsi="Arial" w:cs="Arial"/>
          <w:sz w:val="24"/>
          <w:szCs w:val="24"/>
        </w:rPr>
      </w:pPr>
      <w:r>
        <w:rPr>
          <w:rFonts w:ascii="Arial" w:hAnsi="Arial" w:cs="Arial"/>
          <w:sz w:val="24"/>
          <w:szCs w:val="24"/>
        </w:rPr>
        <w:t xml:space="preserve">Em cinza estão os momentos que podemos classificar como primeira e segunda onda do COVID no Brasil, entre Março de 2020 até Junho de 2020 e de Fevereiro de 2021 até Maio de 2021. </w:t>
      </w:r>
      <w:r w:rsidR="00792803">
        <w:rPr>
          <w:rFonts w:ascii="Arial" w:hAnsi="Arial" w:cs="Arial"/>
          <w:sz w:val="24"/>
          <w:szCs w:val="24"/>
        </w:rPr>
        <w:t>Nesses períodos podemos observar como a cesta de consumo dos indivíduos foi alterada.</w:t>
      </w:r>
    </w:p>
    <w:p w14:paraId="2F4E8183" w14:textId="2F6013E1" w:rsidR="00664577" w:rsidRDefault="00664577" w:rsidP="00664577">
      <w:pPr>
        <w:spacing w:line="360" w:lineRule="auto"/>
        <w:jc w:val="both"/>
        <w:rPr>
          <w:rFonts w:ascii="Arial" w:hAnsi="Arial" w:cs="Arial"/>
          <w:sz w:val="24"/>
          <w:szCs w:val="24"/>
        </w:rPr>
      </w:pPr>
      <w:r>
        <w:rPr>
          <w:rFonts w:ascii="Arial" w:hAnsi="Arial" w:cs="Arial"/>
          <w:sz w:val="24"/>
          <w:szCs w:val="24"/>
        </w:rPr>
        <w:t>Na primeira onda vemos impactos mais fortes, principalmente nos bens duráveis e semiduráveis. Podemos imaginar que, com o surgimento da pandemia, as pessoas postergaram compras de novos carros, por exemplo, prejudicando o indicador de bens duráveis</w:t>
      </w:r>
      <w:r>
        <w:rPr>
          <w:rStyle w:val="FootnoteReference"/>
          <w:rFonts w:ascii="Arial" w:hAnsi="Arial" w:cs="Arial"/>
          <w:sz w:val="24"/>
          <w:szCs w:val="24"/>
        </w:rPr>
        <w:footnoteReference w:id="10"/>
      </w:r>
      <w:r>
        <w:rPr>
          <w:rFonts w:ascii="Arial" w:hAnsi="Arial" w:cs="Arial"/>
          <w:sz w:val="24"/>
          <w:szCs w:val="24"/>
        </w:rPr>
        <w:t>. Em momentos de restrição à mobilidade, naturalmente os bens não essenciais, como vestuário, passaram a ser menos importante para os indivíduos. Isso ajuda a explicar a maior queda para os semiduráveis nas ondas de COVID.</w:t>
      </w:r>
    </w:p>
    <w:p w14:paraId="1FB71B3B" w14:textId="1CF228D3" w:rsidR="00664577" w:rsidRDefault="00664577" w:rsidP="00664577">
      <w:pPr>
        <w:spacing w:line="360" w:lineRule="auto"/>
        <w:jc w:val="both"/>
        <w:rPr>
          <w:rFonts w:ascii="Arial" w:hAnsi="Arial" w:cs="Arial"/>
          <w:sz w:val="24"/>
          <w:szCs w:val="24"/>
        </w:rPr>
      </w:pPr>
      <w:r>
        <w:rPr>
          <w:rFonts w:ascii="Arial" w:hAnsi="Arial" w:cs="Arial"/>
          <w:sz w:val="24"/>
          <w:szCs w:val="24"/>
        </w:rPr>
        <w:t>Já no caso dos não duráveis, principalmente comida, houve um aumento nesses momentos. Era um resultado esperado</w:t>
      </w:r>
      <w:r w:rsidR="003677DA">
        <w:rPr>
          <w:rFonts w:ascii="Arial" w:hAnsi="Arial" w:cs="Arial"/>
          <w:sz w:val="24"/>
          <w:szCs w:val="24"/>
        </w:rPr>
        <w:t xml:space="preserve"> pois, além de supermercados terem sido classificados como serviço essencial durante a pandemia, a alimentação é uma </w:t>
      </w:r>
      <w:r w:rsidR="003677DA">
        <w:rPr>
          <w:rFonts w:ascii="Arial" w:hAnsi="Arial" w:cs="Arial"/>
          <w:sz w:val="24"/>
          <w:szCs w:val="24"/>
        </w:rPr>
        <w:lastRenderedPageBreak/>
        <w:t>necessidade natural e possui uma demanda relativamente inelástica. Independente da situação, as pessoas precisam continuar comprando comida.</w:t>
      </w:r>
    </w:p>
    <w:p w14:paraId="1114E213" w14:textId="26FBCFCC" w:rsidR="003677DA" w:rsidRDefault="003677DA" w:rsidP="00664577">
      <w:pPr>
        <w:spacing w:line="360" w:lineRule="auto"/>
        <w:jc w:val="both"/>
        <w:rPr>
          <w:rFonts w:ascii="Arial" w:hAnsi="Arial" w:cs="Arial"/>
          <w:sz w:val="24"/>
          <w:szCs w:val="24"/>
        </w:rPr>
      </w:pPr>
      <w:r>
        <w:rPr>
          <w:rFonts w:ascii="Arial" w:hAnsi="Arial" w:cs="Arial"/>
          <w:sz w:val="24"/>
          <w:szCs w:val="24"/>
        </w:rPr>
        <w:t>Por fim, vemos um aumento no peso de serviços em um primeiro momento. Vale lembrar que essa reponderação, por construção, é normalizada; ou seja, ela é reajustada para a soma dos pesos continuar somando 100%, independente da queda de consumo geral da economia. Como os pesos estão normalizados, o aumento do peso relativo de serviços no primeiro momento se deu devido ao fato deste ter caído menos que os bens, padrão que logo foi revertido nos meses subsequentes. Após isso os serviços foram mais fortemente fechados e a demanda foi realocada para bens específicos já comentados neste texto, vide a redução do peso relativo de serviços por um longo período de tempo.</w:t>
      </w:r>
    </w:p>
    <w:p w14:paraId="255F8D31" w14:textId="6D432CC7" w:rsidR="00923832" w:rsidRDefault="00923832" w:rsidP="00664577">
      <w:pPr>
        <w:spacing w:line="360" w:lineRule="auto"/>
        <w:jc w:val="both"/>
        <w:rPr>
          <w:rFonts w:ascii="Arial" w:hAnsi="Arial" w:cs="Arial"/>
          <w:sz w:val="24"/>
          <w:szCs w:val="24"/>
        </w:rPr>
      </w:pPr>
      <w:r>
        <w:rPr>
          <w:rFonts w:ascii="Arial" w:hAnsi="Arial" w:cs="Arial"/>
          <w:sz w:val="24"/>
          <w:szCs w:val="24"/>
        </w:rPr>
        <w:t>Outro ponto notável é a menor variação de pesos durante a segunda onda da pandemia. Semelhantemente às restrições de mobilidade e funcionamento de serviços, a economia pareceu “aprender” a funcionar sob as restrições do COVID. Serviços já estavam melhor adaptados, as pessoas pareciam ter menos medo pois a pandemia já durara mais de um ano e o mercado de trabalho também foi menos afetado em termos de home office vs. presencial.</w:t>
      </w:r>
    </w:p>
    <w:p w14:paraId="61D769E5" w14:textId="69662257" w:rsidR="00142DFF" w:rsidRDefault="00142DFF" w:rsidP="00664577">
      <w:pPr>
        <w:spacing w:line="360" w:lineRule="auto"/>
        <w:jc w:val="both"/>
        <w:rPr>
          <w:rFonts w:ascii="Arial" w:hAnsi="Arial" w:cs="Arial"/>
          <w:sz w:val="24"/>
          <w:szCs w:val="24"/>
        </w:rPr>
      </w:pPr>
      <w:r>
        <w:rPr>
          <w:rFonts w:ascii="Arial" w:hAnsi="Arial" w:cs="Arial"/>
          <w:sz w:val="24"/>
          <w:szCs w:val="24"/>
        </w:rPr>
        <w:t>Para complementar, segue um gráfico com as mesma estrutura porém não normalizada, a fim de enxergar melhor os tamanhos das quedas nos pesos do consumo das famílias.</w:t>
      </w:r>
    </w:p>
    <w:p w14:paraId="0E4065AF" w14:textId="75CE0FA5" w:rsidR="00142DFF" w:rsidRPr="009873BA" w:rsidRDefault="00142DFF" w:rsidP="00664577">
      <w:pPr>
        <w:spacing w:line="360" w:lineRule="auto"/>
        <w:jc w:val="both"/>
        <w:rPr>
          <w:rFonts w:ascii="Arial" w:hAnsi="Arial" w:cs="Arial"/>
          <w:sz w:val="24"/>
          <w:szCs w:val="24"/>
        </w:rPr>
      </w:pPr>
      <w:r w:rsidRPr="00142DFF">
        <w:rPr>
          <w:noProof/>
        </w:rPr>
        <w:drawing>
          <wp:anchor distT="0" distB="0" distL="114300" distR="114300" simplePos="0" relativeHeight="251695104" behindDoc="0" locked="0" layoutInCell="1" allowOverlap="1" wp14:anchorId="1B6DF0A3" wp14:editId="588E399D">
            <wp:simplePos x="0" y="0"/>
            <wp:positionH relativeFrom="column">
              <wp:posOffset>-3810</wp:posOffset>
            </wp:positionH>
            <wp:positionV relativeFrom="paragraph">
              <wp:posOffset>0</wp:posOffset>
            </wp:positionV>
            <wp:extent cx="4657725" cy="28575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2857500"/>
                    </a:xfrm>
                    <a:prstGeom prst="rect">
                      <a:avLst/>
                    </a:prstGeom>
                    <a:noFill/>
                    <a:ln>
                      <a:noFill/>
                    </a:ln>
                  </pic:spPr>
                </pic:pic>
              </a:graphicData>
            </a:graphic>
          </wp:anchor>
        </w:drawing>
      </w:r>
    </w:p>
    <w:p w14:paraId="0807018B" w14:textId="77777777" w:rsidR="009873BA" w:rsidRDefault="009873BA" w:rsidP="00EA378D">
      <w:pPr>
        <w:rPr>
          <w:rFonts w:ascii="Arial" w:hAnsi="Arial" w:cs="Arial"/>
          <w:b/>
          <w:bCs/>
          <w:sz w:val="24"/>
          <w:szCs w:val="24"/>
        </w:rPr>
      </w:pPr>
    </w:p>
    <w:p w14:paraId="6C37061D" w14:textId="77777777" w:rsidR="00142DFF" w:rsidRDefault="00142DFF" w:rsidP="00EA378D">
      <w:pPr>
        <w:rPr>
          <w:rFonts w:ascii="Arial" w:hAnsi="Arial" w:cs="Arial"/>
          <w:b/>
          <w:bCs/>
          <w:sz w:val="24"/>
          <w:szCs w:val="24"/>
        </w:rPr>
      </w:pPr>
    </w:p>
    <w:p w14:paraId="1278A5CF" w14:textId="77777777" w:rsidR="00142DFF" w:rsidRDefault="00142DFF" w:rsidP="00EA378D">
      <w:pPr>
        <w:rPr>
          <w:rFonts w:ascii="Arial" w:hAnsi="Arial" w:cs="Arial"/>
          <w:b/>
          <w:bCs/>
          <w:sz w:val="24"/>
          <w:szCs w:val="24"/>
        </w:rPr>
      </w:pPr>
    </w:p>
    <w:p w14:paraId="2683F0C5" w14:textId="77777777" w:rsidR="00142DFF" w:rsidRDefault="00142DFF" w:rsidP="00EA378D">
      <w:pPr>
        <w:rPr>
          <w:rFonts w:ascii="Arial" w:hAnsi="Arial" w:cs="Arial"/>
          <w:b/>
          <w:bCs/>
          <w:sz w:val="24"/>
          <w:szCs w:val="24"/>
        </w:rPr>
      </w:pPr>
    </w:p>
    <w:p w14:paraId="76012161" w14:textId="77777777" w:rsidR="00142DFF" w:rsidRDefault="00142DFF" w:rsidP="00EA378D">
      <w:pPr>
        <w:rPr>
          <w:rFonts w:ascii="Arial" w:hAnsi="Arial" w:cs="Arial"/>
          <w:b/>
          <w:bCs/>
          <w:sz w:val="24"/>
          <w:szCs w:val="24"/>
        </w:rPr>
      </w:pPr>
    </w:p>
    <w:p w14:paraId="21CEFB9A" w14:textId="77777777" w:rsidR="00142DFF" w:rsidRDefault="00142DFF" w:rsidP="00EA378D">
      <w:pPr>
        <w:rPr>
          <w:rFonts w:ascii="Arial" w:hAnsi="Arial" w:cs="Arial"/>
          <w:b/>
          <w:bCs/>
          <w:sz w:val="24"/>
          <w:szCs w:val="24"/>
        </w:rPr>
      </w:pPr>
    </w:p>
    <w:p w14:paraId="67FC6D72" w14:textId="77777777" w:rsidR="00142DFF" w:rsidRDefault="00142DFF" w:rsidP="00EA378D">
      <w:pPr>
        <w:rPr>
          <w:rFonts w:ascii="Arial" w:hAnsi="Arial" w:cs="Arial"/>
          <w:b/>
          <w:bCs/>
          <w:sz w:val="24"/>
          <w:szCs w:val="24"/>
        </w:rPr>
      </w:pPr>
    </w:p>
    <w:p w14:paraId="3DE6B715" w14:textId="77777777" w:rsidR="00142DFF" w:rsidRDefault="00142DFF" w:rsidP="00EA378D">
      <w:pPr>
        <w:rPr>
          <w:rFonts w:ascii="Arial" w:hAnsi="Arial" w:cs="Arial"/>
          <w:b/>
          <w:bCs/>
          <w:sz w:val="24"/>
          <w:szCs w:val="24"/>
        </w:rPr>
      </w:pPr>
    </w:p>
    <w:p w14:paraId="496AAF5C" w14:textId="77777777" w:rsidR="00142DFF" w:rsidRDefault="00142DFF" w:rsidP="00EA378D">
      <w:pPr>
        <w:rPr>
          <w:rFonts w:ascii="Arial" w:hAnsi="Arial" w:cs="Arial"/>
          <w:b/>
          <w:bCs/>
          <w:sz w:val="24"/>
          <w:szCs w:val="24"/>
        </w:rPr>
      </w:pPr>
    </w:p>
    <w:p w14:paraId="07D54CA6" w14:textId="77777777" w:rsidR="00142DFF" w:rsidRDefault="00142DFF" w:rsidP="00142DFF">
      <w:pPr>
        <w:spacing w:line="360" w:lineRule="auto"/>
        <w:rPr>
          <w:rFonts w:ascii="Arial" w:hAnsi="Arial" w:cs="Arial"/>
          <w:sz w:val="24"/>
          <w:szCs w:val="24"/>
        </w:rPr>
      </w:pPr>
    </w:p>
    <w:p w14:paraId="5FA1E8E2" w14:textId="53C00038" w:rsidR="00142DFF" w:rsidRPr="00142DFF" w:rsidRDefault="00142DFF" w:rsidP="00320FE7">
      <w:pPr>
        <w:spacing w:line="360" w:lineRule="auto"/>
        <w:rPr>
          <w:rFonts w:ascii="Arial" w:hAnsi="Arial" w:cs="Arial"/>
          <w:sz w:val="24"/>
          <w:szCs w:val="24"/>
        </w:rPr>
      </w:pPr>
      <w:r w:rsidRPr="00142DFF">
        <w:rPr>
          <w:rFonts w:ascii="Arial" w:hAnsi="Arial" w:cs="Arial"/>
          <w:sz w:val="24"/>
          <w:szCs w:val="24"/>
        </w:rPr>
        <w:lastRenderedPageBreak/>
        <w:t>Pod</w:t>
      </w:r>
      <w:r>
        <w:rPr>
          <w:rFonts w:ascii="Arial" w:hAnsi="Arial" w:cs="Arial"/>
          <w:sz w:val="24"/>
          <w:szCs w:val="24"/>
        </w:rPr>
        <w:t>e-se observar que serviços se recuperaram completamente apenas nos últimos meses com a quase-total reabertura da economia. Os não duráveis, como comida, permaneceram a maior parte do tempo em patamares superiores ao peso original também.</w:t>
      </w:r>
    </w:p>
    <w:p w14:paraId="3E1F56CB" w14:textId="38326FA4" w:rsidR="00142DFF" w:rsidRPr="00320FE7" w:rsidRDefault="00320FE7" w:rsidP="00320FE7">
      <w:pPr>
        <w:spacing w:line="360" w:lineRule="auto"/>
        <w:rPr>
          <w:rFonts w:ascii="Arial" w:hAnsi="Arial" w:cs="Arial"/>
          <w:sz w:val="24"/>
          <w:szCs w:val="24"/>
        </w:rPr>
      </w:pPr>
      <w:r>
        <w:rPr>
          <w:rFonts w:ascii="Arial" w:hAnsi="Arial" w:cs="Arial"/>
          <w:sz w:val="24"/>
          <w:szCs w:val="24"/>
        </w:rPr>
        <w:t>No capítulo a seguir será discutido possíveis razões para tal resultado do índice e possíveis próximos passos em relação ao tema.</w:t>
      </w:r>
    </w:p>
    <w:sectPr w:rsidR="00142DFF" w:rsidRPr="00320FE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3754C" w14:textId="77777777" w:rsidR="009537A3" w:rsidRDefault="009537A3" w:rsidP="00EF5689">
      <w:pPr>
        <w:spacing w:after="0" w:line="240" w:lineRule="auto"/>
      </w:pPr>
      <w:r>
        <w:separator/>
      </w:r>
    </w:p>
  </w:endnote>
  <w:endnote w:type="continuationSeparator" w:id="0">
    <w:p w14:paraId="39655AE5" w14:textId="77777777" w:rsidR="009537A3" w:rsidRDefault="009537A3" w:rsidP="00EF5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CE45F" w14:textId="77777777" w:rsidR="009537A3" w:rsidRDefault="009537A3" w:rsidP="00EF5689">
      <w:pPr>
        <w:spacing w:after="0" w:line="240" w:lineRule="auto"/>
      </w:pPr>
      <w:r>
        <w:separator/>
      </w:r>
    </w:p>
  </w:footnote>
  <w:footnote w:type="continuationSeparator" w:id="0">
    <w:p w14:paraId="79A896D5" w14:textId="77777777" w:rsidR="009537A3" w:rsidRDefault="009537A3" w:rsidP="00EF5689">
      <w:pPr>
        <w:spacing w:after="0" w:line="240" w:lineRule="auto"/>
      </w:pPr>
      <w:r>
        <w:continuationSeparator/>
      </w:r>
    </w:p>
  </w:footnote>
  <w:footnote w:id="1">
    <w:p w14:paraId="0381A226" w14:textId="4ADD819C" w:rsidR="00EF5689" w:rsidRDefault="00EF5689">
      <w:pPr>
        <w:pStyle w:val="FootnoteText"/>
      </w:pPr>
      <w:r>
        <w:rPr>
          <w:rStyle w:val="FootnoteReference"/>
        </w:rPr>
        <w:footnoteRef/>
      </w:r>
      <w:r>
        <w:t xml:space="preserve"> No caso do Monitor, alimentação é incluída dentro de bens não duráveis, no caso de alimentação no domicílio, e dentro de Serviços, no caso de alimentação fora do domicílio.</w:t>
      </w:r>
      <w:r w:rsidR="00B47BFD">
        <w:t xml:space="preserve"> Tal divisão é também conhecida como Grandes Categorias Econômicas.</w:t>
      </w:r>
    </w:p>
  </w:footnote>
  <w:footnote w:id="2">
    <w:p w14:paraId="1AC615AB" w14:textId="59A4710F" w:rsidR="004C11BB" w:rsidRDefault="004C11BB">
      <w:pPr>
        <w:pStyle w:val="FootnoteText"/>
      </w:pPr>
      <w:r>
        <w:rPr>
          <w:rStyle w:val="FootnoteReference"/>
        </w:rPr>
        <w:footnoteRef/>
      </w:r>
      <w:r>
        <w:t xml:space="preserve"> </w:t>
      </w:r>
      <w:r>
        <w:t xml:space="preserve">Disponível em </w:t>
      </w:r>
      <w:hyperlink r:id="rId1" w:history="1">
        <w:r w:rsidR="000D5E99" w:rsidRPr="004D7441">
          <w:rPr>
            <w:rStyle w:val="Hyperlink"/>
            <w:highlight w:val="yellow"/>
          </w:rPr>
          <w:t>https://portalibre.fgv.br</w:t>
        </w:r>
      </w:hyperlink>
      <w:r w:rsidR="000D5E99">
        <w:t xml:space="preserve">. Acesso em 10 de outubro, 2021. </w:t>
      </w:r>
    </w:p>
  </w:footnote>
  <w:footnote w:id="3">
    <w:p w14:paraId="6D432E4D" w14:textId="29DEE757" w:rsidR="004514C1" w:rsidRDefault="004514C1">
      <w:pPr>
        <w:pStyle w:val="FootnoteText"/>
      </w:pPr>
      <w:r>
        <w:rPr>
          <w:rStyle w:val="FootnoteReference"/>
        </w:rPr>
        <w:footnoteRef/>
      </w:r>
      <w:r>
        <w:t xml:space="preserve"> </w:t>
      </w:r>
      <w:r>
        <w:t>A tabela completa da metodologia segue no anexo.</w:t>
      </w:r>
    </w:p>
  </w:footnote>
  <w:footnote w:id="4">
    <w:p w14:paraId="2B1B135A" w14:textId="1AF101F4" w:rsidR="004E7D68" w:rsidRDefault="004E7D68">
      <w:pPr>
        <w:pStyle w:val="FootnoteText"/>
      </w:pPr>
      <w:r>
        <w:rPr>
          <w:rStyle w:val="FootnoteReference"/>
        </w:rPr>
        <w:footnoteRef/>
      </w:r>
      <w:r>
        <w:t xml:space="preserve"> </w:t>
      </w:r>
      <w:r>
        <w:t>O Monitor na verdade utiliza uma metodologia mais próxima do PIB, enquanto o IPCA é restrito aos bens e serviços estipulados pela POF.</w:t>
      </w:r>
    </w:p>
  </w:footnote>
  <w:footnote w:id="5">
    <w:p w14:paraId="6F3C9C44" w14:textId="4CE19F43" w:rsidR="0045154B" w:rsidRDefault="0045154B">
      <w:pPr>
        <w:pStyle w:val="FootnoteText"/>
      </w:pPr>
      <w:r>
        <w:rPr>
          <w:rStyle w:val="FootnoteReference"/>
        </w:rPr>
        <w:footnoteRef/>
      </w:r>
      <w:r>
        <w:t xml:space="preserve"> </w:t>
      </w:r>
      <w:r w:rsidRPr="0045154B">
        <w:rPr>
          <w:highlight w:val="yellow"/>
        </w:rPr>
        <w:t>COLOCAR METODOLOGIAS PMS E PMC</w:t>
      </w:r>
    </w:p>
  </w:footnote>
  <w:footnote w:id="6">
    <w:p w14:paraId="51F4E414" w14:textId="33AB7933" w:rsidR="007045B3" w:rsidRDefault="007045B3">
      <w:pPr>
        <w:pStyle w:val="FootnoteText"/>
      </w:pPr>
      <w:r>
        <w:rPr>
          <w:rStyle w:val="FootnoteReference"/>
        </w:rPr>
        <w:footnoteRef/>
      </w:r>
      <w:r>
        <w:t xml:space="preserve"> </w:t>
      </w:r>
      <w:r w:rsidR="004D7441" w:rsidRPr="004D7441">
        <w:rPr>
          <w:highlight w:val="yellow"/>
        </w:rPr>
        <w:t xml:space="preserve">Base </w:t>
      </w:r>
      <w:r w:rsidR="004D7441">
        <w:rPr>
          <w:highlight w:val="yellow"/>
        </w:rPr>
        <w:t xml:space="preserve">IPCA </w:t>
      </w:r>
      <w:r w:rsidR="004D7441" w:rsidRPr="004D7441">
        <w:rPr>
          <w:highlight w:val="yellow"/>
        </w:rPr>
        <w:t>jan/20</w:t>
      </w:r>
      <w:r w:rsidR="004D7441">
        <w:t>.</w:t>
      </w:r>
    </w:p>
  </w:footnote>
  <w:footnote w:id="7">
    <w:p w14:paraId="625B535C" w14:textId="663BCF18" w:rsidR="007045B3" w:rsidRDefault="007045B3">
      <w:pPr>
        <w:pStyle w:val="FootnoteText"/>
      </w:pPr>
      <w:r>
        <w:rPr>
          <w:rStyle w:val="FootnoteReference"/>
        </w:rPr>
        <w:footnoteRef/>
      </w:r>
      <w:r>
        <w:t xml:space="preserve"> </w:t>
      </w:r>
      <w:r>
        <w:t>Pesos de janeiro 2020.</w:t>
      </w:r>
    </w:p>
  </w:footnote>
  <w:footnote w:id="8">
    <w:p w14:paraId="0F3A7966" w14:textId="4378F604" w:rsidR="007045B3" w:rsidRDefault="007045B3">
      <w:pPr>
        <w:pStyle w:val="FootnoteText"/>
      </w:pPr>
      <w:r>
        <w:rPr>
          <w:rStyle w:val="FootnoteReference"/>
        </w:rPr>
        <w:footnoteRef/>
      </w:r>
      <w:r>
        <w:t xml:space="preserve"> </w:t>
      </w:r>
      <w:r>
        <w:t xml:space="preserve">Disponível em </w:t>
      </w:r>
      <w:hyperlink r:id="rId2" w:history="1">
        <w:r w:rsidRPr="00D00CB5">
          <w:rPr>
            <w:rStyle w:val="Hyperlink"/>
          </w:rPr>
          <w:t>https://ibge.gov.br</w:t>
        </w:r>
      </w:hyperlink>
      <w:r>
        <w:t xml:space="preserve">. Acesso em 10 de outubro, 2021.  </w:t>
      </w:r>
    </w:p>
  </w:footnote>
  <w:footnote w:id="9">
    <w:p w14:paraId="5967682E" w14:textId="65E59853" w:rsidR="00D81DB1" w:rsidRDefault="00D81DB1">
      <w:pPr>
        <w:pStyle w:val="FootnoteText"/>
      </w:pPr>
      <w:r>
        <w:rPr>
          <w:rStyle w:val="FootnoteReference"/>
        </w:rPr>
        <w:footnoteRef/>
      </w:r>
      <w:r>
        <w:t xml:space="preserve"> </w:t>
      </w:r>
      <w:r>
        <w:t>Códigos SGS 10841, 10842, 10843 e 10844, respectivamente.</w:t>
      </w:r>
    </w:p>
  </w:footnote>
  <w:footnote w:id="10">
    <w:p w14:paraId="19FAFF13" w14:textId="56345A68" w:rsidR="00664577" w:rsidRDefault="00664577">
      <w:pPr>
        <w:pStyle w:val="FootnoteText"/>
      </w:pPr>
      <w:r>
        <w:rPr>
          <w:rStyle w:val="FootnoteReference"/>
        </w:rPr>
        <w:footnoteRef/>
      </w:r>
      <w:r>
        <w:t xml:space="preserve"> </w:t>
      </w:r>
      <w:r>
        <w:t>Em abril de 2020, por exemplo, o indicador de produção de autoveículos da Anfavea teve queda de 99% YoY.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06B58"/>
    <w:multiLevelType w:val="multilevel"/>
    <w:tmpl w:val="9EB2AF9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4EE52D9"/>
    <w:multiLevelType w:val="multilevel"/>
    <w:tmpl w:val="2DBE2D0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9826335"/>
    <w:multiLevelType w:val="multilevel"/>
    <w:tmpl w:val="6C601DD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814780F"/>
    <w:multiLevelType w:val="multilevel"/>
    <w:tmpl w:val="6D607EA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99"/>
    <w:rsid w:val="00003CC0"/>
    <w:rsid w:val="00066BC3"/>
    <w:rsid w:val="00083699"/>
    <w:rsid w:val="00084A58"/>
    <w:rsid w:val="000D5E99"/>
    <w:rsid w:val="000F13F6"/>
    <w:rsid w:val="00142DFF"/>
    <w:rsid w:val="00153987"/>
    <w:rsid w:val="0017261C"/>
    <w:rsid w:val="00197F7B"/>
    <w:rsid w:val="001B41FD"/>
    <w:rsid w:val="001B63CC"/>
    <w:rsid w:val="001E1E0E"/>
    <w:rsid w:val="00243F1F"/>
    <w:rsid w:val="00247108"/>
    <w:rsid w:val="002909A1"/>
    <w:rsid w:val="002A3BBC"/>
    <w:rsid w:val="002A46FA"/>
    <w:rsid w:val="002C1DEF"/>
    <w:rsid w:val="002C3003"/>
    <w:rsid w:val="002C7568"/>
    <w:rsid w:val="002D3C6E"/>
    <w:rsid w:val="00320FE7"/>
    <w:rsid w:val="00321180"/>
    <w:rsid w:val="00346CF2"/>
    <w:rsid w:val="003677DA"/>
    <w:rsid w:val="00387B95"/>
    <w:rsid w:val="003A224A"/>
    <w:rsid w:val="004038A9"/>
    <w:rsid w:val="004139B8"/>
    <w:rsid w:val="004514C1"/>
    <w:rsid w:val="0045154B"/>
    <w:rsid w:val="00451884"/>
    <w:rsid w:val="00460C21"/>
    <w:rsid w:val="00463C5E"/>
    <w:rsid w:val="004834E8"/>
    <w:rsid w:val="004A591A"/>
    <w:rsid w:val="004B462F"/>
    <w:rsid w:val="004B7A32"/>
    <w:rsid w:val="004C11BB"/>
    <w:rsid w:val="004D7441"/>
    <w:rsid w:val="004E0DA3"/>
    <w:rsid w:val="004E5404"/>
    <w:rsid w:val="004E7D68"/>
    <w:rsid w:val="0050186B"/>
    <w:rsid w:val="00515812"/>
    <w:rsid w:val="0051798B"/>
    <w:rsid w:val="00525DD9"/>
    <w:rsid w:val="0053340D"/>
    <w:rsid w:val="005366CF"/>
    <w:rsid w:val="005407BE"/>
    <w:rsid w:val="00540882"/>
    <w:rsid w:val="00593BFF"/>
    <w:rsid w:val="005A4CE3"/>
    <w:rsid w:val="005A58B8"/>
    <w:rsid w:val="005C7AF1"/>
    <w:rsid w:val="005D6105"/>
    <w:rsid w:val="0061444C"/>
    <w:rsid w:val="00633DD1"/>
    <w:rsid w:val="0063695F"/>
    <w:rsid w:val="00650A3E"/>
    <w:rsid w:val="0065633D"/>
    <w:rsid w:val="00664577"/>
    <w:rsid w:val="006B2172"/>
    <w:rsid w:val="006E3EB3"/>
    <w:rsid w:val="007045B3"/>
    <w:rsid w:val="00706819"/>
    <w:rsid w:val="007070F6"/>
    <w:rsid w:val="00714CA6"/>
    <w:rsid w:val="00743D72"/>
    <w:rsid w:val="00751BC1"/>
    <w:rsid w:val="00770BBE"/>
    <w:rsid w:val="00785A37"/>
    <w:rsid w:val="00786DB0"/>
    <w:rsid w:val="00792803"/>
    <w:rsid w:val="007E0D68"/>
    <w:rsid w:val="00810FBA"/>
    <w:rsid w:val="00836F2C"/>
    <w:rsid w:val="00837472"/>
    <w:rsid w:val="00860060"/>
    <w:rsid w:val="00883875"/>
    <w:rsid w:val="008C69A3"/>
    <w:rsid w:val="008E36BC"/>
    <w:rsid w:val="009055EB"/>
    <w:rsid w:val="00907167"/>
    <w:rsid w:val="00923832"/>
    <w:rsid w:val="00942205"/>
    <w:rsid w:val="00950367"/>
    <w:rsid w:val="009537A3"/>
    <w:rsid w:val="009873BA"/>
    <w:rsid w:val="009973A4"/>
    <w:rsid w:val="009B6F41"/>
    <w:rsid w:val="009C5C82"/>
    <w:rsid w:val="009F64D2"/>
    <w:rsid w:val="00A15AED"/>
    <w:rsid w:val="00A21961"/>
    <w:rsid w:val="00A56790"/>
    <w:rsid w:val="00A844A3"/>
    <w:rsid w:val="00A900D4"/>
    <w:rsid w:val="00AB3E46"/>
    <w:rsid w:val="00AD0454"/>
    <w:rsid w:val="00AF4837"/>
    <w:rsid w:val="00B47BFD"/>
    <w:rsid w:val="00B56A87"/>
    <w:rsid w:val="00B8322B"/>
    <w:rsid w:val="00C43291"/>
    <w:rsid w:val="00C53692"/>
    <w:rsid w:val="00C83EC8"/>
    <w:rsid w:val="00CE45B0"/>
    <w:rsid w:val="00CF2768"/>
    <w:rsid w:val="00D0789E"/>
    <w:rsid w:val="00D17B46"/>
    <w:rsid w:val="00D30B00"/>
    <w:rsid w:val="00D53503"/>
    <w:rsid w:val="00D5528A"/>
    <w:rsid w:val="00D7559B"/>
    <w:rsid w:val="00D81DB1"/>
    <w:rsid w:val="00E07F3E"/>
    <w:rsid w:val="00E45CA3"/>
    <w:rsid w:val="00E768C6"/>
    <w:rsid w:val="00E82A92"/>
    <w:rsid w:val="00EA378D"/>
    <w:rsid w:val="00EA76DD"/>
    <w:rsid w:val="00EB1C61"/>
    <w:rsid w:val="00EF5689"/>
    <w:rsid w:val="00F0143B"/>
    <w:rsid w:val="00F3628E"/>
    <w:rsid w:val="00F43BE1"/>
    <w:rsid w:val="00F725F8"/>
    <w:rsid w:val="00F7606A"/>
    <w:rsid w:val="00F764F7"/>
    <w:rsid w:val="00FC0A71"/>
    <w:rsid w:val="00FD7A18"/>
    <w:rsid w:val="00FE42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B029"/>
  <w15:chartTrackingRefBased/>
  <w15:docId w15:val="{6AEC59A1-D3C8-4213-980A-D9A9E33E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8B8"/>
    <w:rPr>
      <w:color w:val="0563C1" w:themeColor="hyperlink"/>
      <w:u w:val="single"/>
    </w:rPr>
  </w:style>
  <w:style w:type="character" w:styleId="FollowedHyperlink">
    <w:name w:val="FollowedHyperlink"/>
    <w:basedOn w:val="DefaultParagraphFont"/>
    <w:uiPriority w:val="99"/>
    <w:semiHidden/>
    <w:unhideWhenUsed/>
    <w:rsid w:val="005A58B8"/>
    <w:rPr>
      <w:color w:val="954F72" w:themeColor="followedHyperlink"/>
      <w:u w:val="single"/>
    </w:rPr>
  </w:style>
  <w:style w:type="paragraph" w:styleId="ListParagraph">
    <w:name w:val="List Paragraph"/>
    <w:basedOn w:val="Normal"/>
    <w:uiPriority w:val="34"/>
    <w:qFormat/>
    <w:rsid w:val="004E0DA3"/>
    <w:pPr>
      <w:ind w:left="720"/>
      <w:contextualSpacing/>
    </w:pPr>
  </w:style>
  <w:style w:type="paragraph" w:styleId="FootnoteText">
    <w:name w:val="footnote text"/>
    <w:basedOn w:val="Normal"/>
    <w:link w:val="FootnoteTextChar"/>
    <w:uiPriority w:val="99"/>
    <w:semiHidden/>
    <w:unhideWhenUsed/>
    <w:rsid w:val="00EF56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5689"/>
    <w:rPr>
      <w:sz w:val="20"/>
      <w:szCs w:val="20"/>
    </w:rPr>
  </w:style>
  <w:style w:type="character" w:styleId="FootnoteReference">
    <w:name w:val="footnote reference"/>
    <w:basedOn w:val="DefaultParagraphFont"/>
    <w:uiPriority w:val="99"/>
    <w:semiHidden/>
    <w:unhideWhenUsed/>
    <w:rsid w:val="00EF5689"/>
    <w:rPr>
      <w:vertAlign w:val="superscript"/>
    </w:rPr>
  </w:style>
  <w:style w:type="paragraph" w:styleId="Caption">
    <w:name w:val="caption"/>
    <w:basedOn w:val="Normal"/>
    <w:next w:val="Normal"/>
    <w:uiPriority w:val="35"/>
    <w:unhideWhenUsed/>
    <w:qFormat/>
    <w:rsid w:val="00FD7A1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D5E99"/>
    <w:rPr>
      <w:color w:val="605E5C"/>
      <w:shd w:val="clear" w:color="auto" w:fill="E1DFDD"/>
    </w:rPr>
  </w:style>
  <w:style w:type="table" w:styleId="TableGrid">
    <w:name w:val="Table Grid"/>
    <w:basedOn w:val="TableNormal"/>
    <w:uiPriority w:val="39"/>
    <w:rsid w:val="00751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38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2" Type="http://schemas.openxmlformats.org/officeDocument/2006/relationships/hyperlink" Target="https://ibge.gov.br" TargetMode="External"/><Relationship Id="rId1" Type="http://schemas.openxmlformats.org/officeDocument/2006/relationships/hyperlink" Target="https://portalibre.fgv.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6B3EB-CA78-4820-A36A-3E352E37B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14</Pages>
  <Words>2706</Words>
  <Characters>14614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46</cp:revision>
  <dcterms:created xsi:type="dcterms:W3CDTF">2021-10-23T15:10:00Z</dcterms:created>
  <dcterms:modified xsi:type="dcterms:W3CDTF">2021-11-08T02:20:00Z</dcterms:modified>
</cp:coreProperties>
</file>