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90E99" w14:textId="77777777" w:rsidR="00BA26F8" w:rsidRDefault="00BA26F8" w:rsidP="005A58B8">
      <w:pPr>
        <w:rPr>
          <w:rFonts w:ascii="Arial" w:hAnsi="Arial" w:cs="Arial"/>
          <w:b/>
          <w:bCs/>
          <w:sz w:val="24"/>
          <w:szCs w:val="24"/>
        </w:rPr>
      </w:pPr>
    </w:p>
    <w:p w14:paraId="117813FF" w14:textId="2BFD73F6" w:rsidR="00BA26F8" w:rsidRDefault="005E0457" w:rsidP="005A58B8">
      <w:pPr>
        <w:rPr>
          <w:rFonts w:ascii="Arial" w:hAnsi="Arial" w:cs="Arial"/>
          <w:b/>
          <w:bCs/>
          <w:sz w:val="24"/>
          <w:szCs w:val="24"/>
        </w:rPr>
      </w:pPr>
      <w:r>
        <w:rPr>
          <w:rFonts w:ascii="Arial" w:hAnsi="Arial" w:cs="Arial"/>
          <w:b/>
          <w:bCs/>
          <w:sz w:val="24"/>
          <w:szCs w:val="24"/>
        </w:rPr>
        <w:t>Capítulo 3 – Verificação de hipótese, implicações e próximos passos</w:t>
      </w:r>
    </w:p>
    <w:p w14:paraId="355661F6" w14:textId="2B7CFB7D" w:rsidR="005E0457" w:rsidRDefault="005E0457" w:rsidP="002E3E1F">
      <w:pPr>
        <w:spacing w:line="360" w:lineRule="auto"/>
        <w:jc w:val="both"/>
        <w:rPr>
          <w:rFonts w:ascii="Arial" w:hAnsi="Arial" w:cs="Arial"/>
          <w:sz w:val="24"/>
          <w:szCs w:val="24"/>
        </w:rPr>
      </w:pPr>
    </w:p>
    <w:p w14:paraId="24AAE9E0" w14:textId="03C35FB2" w:rsidR="005E0457" w:rsidRDefault="002E3E1F" w:rsidP="00A05546">
      <w:pPr>
        <w:spacing w:line="360" w:lineRule="auto"/>
        <w:jc w:val="both"/>
        <w:rPr>
          <w:rFonts w:ascii="Arial" w:hAnsi="Arial" w:cs="Arial"/>
          <w:sz w:val="24"/>
          <w:szCs w:val="24"/>
        </w:rPr>
      </w:pPr>
      <w:r>
        <w:rPr>
          <w:rFonts w:ascii="Arial" w:hAnsi="Arial" w:cs="Arial"/>
          <w:sz w:val="24"/>
          <w:szCs w:val="24"/>
        </w:rPr>
        <w:t xml:space="preserve">Como já adiantado, a hipótese de um índice rebaseado quase que sistematicamente abaixo do oficial (pelo menos durante os momentos mais restritos da pandemia) não foi observado. Por outro lado, o novo índice se demonstrou </w:t>
      </w:r>
      <w:r w:rsidR="00A05546">
        <w:rPr>
          <w:rFonts w:ascii="Arial" w:hAnsi="Arial" w:cs="Arial"/>
          <w:sz w:val="24"/>
          <w:szCs w:val="24"/>
        </w:rPr>
        <w:t xml:space="preserve">mais </w:t>
      </w:r>
      <w:r>
        <w:rPr>
          <w:rFonts w:ascii="Arial" w:hAnsi="Arial" w:cs="Arial"/>
          <w:sz w:val="24"/>
          <w:szCs w:val="24"/>
        </w:rPr>
        <w:t>semelhante ao original</w:t>
      </w:r>
      <w:r w:rsidR="00A05546">
        <w:rPr>
          <w:rFonts w:ascii="Arial" w:hAnsi="Arial" w:cs="Arial"/>
          <w:sz w:val="24"/>
          <w:szCs w:val="24"/>
        </w:rPr>
        <w:t xml:space="preserve"> que o esperado</w:t>
      </w:r>
      <w:r>
        <w:rPr>
          <w:rFonts w:ascii="Arial" w:hAnsi="Arial" w:cs="Arial"/>
          <w:sz w:val="24"/>
          <w:szCs w:val="24"/>
        </w:rPr>
        <w:t>, porém com dinâmica de pesos relativos bem diferente.</w:t>
      </w:r>
      <w:r w:rsidR="00A05546">
        <w:rPr>
          <w:rFonts w:ascii="Arial" w:hAnsi="Arial" w:cs="Arial"/>
          <w:sz w:val="24"/>
          <w:szCs w:val="24"/>
        </w:rPr>
        <w:t xml:space="preserve"> Algumas razões foram levantadas para tal resultado.</w:t>
      </w:r>
    </w:p>
    <w:p w14:paraId="793AEE9A" w14:textId="334589DC" w:rsidR="00A05546" w:rsidRDefault="00A05546" w:rsidP="00A05546">
      <w:pPr>
        <w:spacing w:line="360" w:lineRule="auto"/>
        <w:jc w:val="both"/>
        <w:rPr>
          <w:rFonts w:ascii="Arial" w:hAnsi="Arial" w:cs="Arial"/>
          <w:sz w:val="24"/>
          <w:szCs w:val="24"/>
        </w:rPr>
      </w:pPr>
      <w:r>
        <w:rPr>
          <w:rFonts w:ascii="Arial" w:hAnsi="Arial" w:cs="Arial"/>
          <w:sz w:val="24"/>
          <w:szCs w:val="24"/>
        </w:rPr>
        <w:t>Foi trabalhado com uma abertura pequena em relação a outros artigos. A grande maioria dos estudos relacionados ao tema, como X, X e X, utilizaram dados fechados de consumo por cartão de crédito, que permite uma abertura bastante maior que a utilizada nesta Monografia.</w:t>
      </w:r>
    </w:p>
    <w:p w14:paraId="0DC69EC8" w14:textId="77777777" w:rsidR="007F757E" w:rsidRDefault="007F757E" w:rsidP="00A05546">
      <w:pPr>
        <w:spacing w:line="360" w:lineRule="auto"/>
        <w:jc w:val="both"/>
        <w:rPr>
          <w:rFonts w:ascii="Arial" w:hAnsi="Arial" w:cs="Arial"/>
          <w:sz w:val="24"/>
          <w:szCs w:val="24"/>
        </w:rPr>
      </w:pPr>
    </w:p>
    <w:p w14:paraId="09C76C90" w14:textId="1CFD0F6D" w:rsidR="007F757E" w:rsidRPr="007F757E" w:rsidRDefault="007F757E" w:rsidP="00A05546">
      <w:pPr>
        <w:spacing w:line="360" w:lineRule="auto"/>
        <w:jc w:val="both"/>
        <w:rPr>
          <w:rFonts w:ascii="Arial" w:hAnsi="Arial" w:cs="Arial"/>
          <w:b/>
          <w:bCs/>
          <w:sz w:val="24"/>
          <w:szCs w:val="24"/>
        </w:rPr>
      </w:pPr>
      <w:r w:rsidRPr="007F757E">
        <w:rPr>
          <w:rFonts w:ascii="Arial" w:hAnsi="Arial" w:cs="Arial"/>
          <w:b/>
          <w:bCs/>
          <w:sz w:val="24"/>
          <w:szCs w:val="24"/>
        </w:rPr>
        <w:t>3.1. Alternativas</w:t>
      </w:r>
    </w:p>
    <w:p w14:paraId="428D6F27" w14:textId="52A79107" w:rsidR="00F757CD" w:rsidRDefault="00F757CD" w:rsidP="00A05546">
      <w:pPr>
        <w:spacing w:line="360" w:lineRule="auto"/>
        <w:jc w:val="both"/>
        <w:rPr>
          <w:rFonts w:ascii="Arial" w:hAnsi="Arial" w:cs="Arial"/>
          <w:sz w:val="24"/>
          <w:szCs w:val="24"/>
        </w:rPr>
      </w:pPr>
      <w:r>
        <w:rPr>
          <w:rFonts w:ascii="Arial" w:hAnsi="Arial" w:cs="Arial"/>
          <w:sz w:val="24"/>
          <w:szCs w:val="24"/>
        </w:rPr>
        <w:t>A seguir será listado algumas formas alternativas de se lidar com o problema e alguns pontos específicos da literatura que se relacionam com o tema.</w:t>
      </w:r>
    </w:p>
    <w:p w14:paraId="01739436" w14:textId="77777777" w:rsidR="007D54D4" w:rsidRDefault="007D54D4" w:rsidP="00A05546">
      <w:pPr>
        <w:spacing w:line="360" w:lineRule="auto"/>
        <w:jc w:val="both"/>
        <w:rPr>
          <w:rFonts w:ascii="Arial" w:hAnsi="Arial" w:cs="Arial"/>
          <w:sz w:val="24"/>
          <w:szCs w:val="24"/>
        </w:rPr>
      </w:pPr>
    </w:p>
    <w:p w14:paraId="60D4EC05" w14:textId="25FA2548" w:rsidR="00F757CD" w:rsidRPr="00F757CD" w:rsidRDefault="00F757CD" w:rsidP="00A05546">
      <w:pPr>
        <w:spacing w:line="360" w:lineRule="auto"/>
        <w:jc w:val="both"/>
        <w:rPr>
          <w:rFonts w:ascii="Arial" w:hAnsi="Arial" w:cs="Arial"/>
          <w:b/>
          <w:bCs/>
          <w:sz w:val="24"/>
          <w:szCs w:val="24"/>
        </w:rPr>
      </w:pPr>
      <w:r>
        <w:rPr>
          <w:rFonts w:ascii="Arial" w:hAnsi="Arial" w:cs="Arial"/>
          <w:b/>
          <w:bCs/>
          <w:sz w:val="24"/>
          <w:szCs w:val="24"/>
        </w:rPr>
        <w:t>3.1</w:t>
      </w:r>
      <w:r w:rsidR="007F757E">
        <w:rPr>
          <w:rFonts w:ascii="Arial" w:hAnsi="Arial" w:cs="Arial"/>
          <w:b/>
          <w:bCs/>
          <w:sz w:val="24"/>
          <w:szCs w:val="24"/>
        </w:rPr>
        <w:t>.1</w:t>
      </w:r>
      <w:r>
        <w:rPr>
          <w:rFonts w:ascii="Arial" w:hAnsi="Arial" w:cs="Arial"/>
          <w:b/>
          <w:bCs/>
          <w:sz w:val="24"/>
          <w:szCs w:val="24"/>
        </w:rPr>
        <w:t xml:space="preserve"> Tabela de Recursos e Usos</w:t>
      </w:r>
    </w:p>
    <w:p w14:paraId="03ED3A37" w14:textId="57C7CBEC" w:rsidR="00E5792B" w:rsidRDefault="00E5792B" w:rsidP="00A05546">
      <w:pPr>
        <w:spacing w:line="360" w:lineRule="auto"/>
        <w:jc w:val="both"/>
        <w:rPr>
          <w:rFonts w:ascii="Arial" w:hAnsi="Arial" w:cs="Arial"/>
          <w:sz w:val="24"/>
          <w:szCs w:val="24"/>
        </w:rPr>
      </w:pPr>
      <w:r>
        <w:rPr>
          <w:rFonts w:ascii="Arial" w:hAnsi="Arial" w:cs="Arial"/>
          <w:sz w:val="24"/>
          <w:szCs w:val="24"/>
        </w:rPr>
        <w:t xml:space="preserve">Uma adaptação possível para o caso brasileiro seria reconstruir índices de quantidades se baseando nas Tabelas de Recursos e Usos </w:t>
      </w:r>
      <w:r w:rsidR="00F54F9D">
        <w:rPr>
          <w:rFonts w:ascii="Arial" w:hAnsi="Arial" w:cs="Arial"/>
          <w:sz w:val="24"/>
          <w:szCs w:val="24"/>
        </w:rPr>
        <w:t xml:space="preserve">(TRU) </w:t>
      </w:r>
      <w:r>
        <w:rPr>
          <w:rFonts w:ascii="Arial" w:hAnsi="Arial" w:cs="Arial"/>
          <w:sz w:val="24"/>
          <w:szCs w:val="24"/>
        </w:rPr>
        <w:t>do IBGE. Nela podemos ver os diversos setores que compõe o PIB e com isso assimilar índices de quantidade para representá-los; semelhantemente ao que foi feito neste estudo, porém em uma abertura consideravelmente maior. A ideia, no caso, seria basicamente reconstruir o consumo das famílias em uma abertura não tão concentrada como o Monitor.</w:t>
      </w:r>
    </w:p>
    <w:p w14:paraId="13C356F3" w14:textId="075EC898" w:rsidR="00F54F9D" w:rsidRDefault="00F54F9D" w:rsidP="00A05546">
      <w:pPr>
        <w:spacing w:line="360" w:lineRule="auto"/>
        <w:jc w:val="both"/>
        <w:rPr>
          <w:rFonts w:ascii="Arial" w:hAnsi="Arial" w:cs="Arial"/>
          <w:sz w:val="24"/>
          <w:szCs w:val="24"/>
        </w:rPr>
      </w:pPr>
      <w:r>
        <w:rPr>
          <w:rFonts w:ascii="Arial" w:hAnsi="Arial" w:cs="Arial"/>
          <w:sz w:val="24"/>
          <w:szCs w:val="24"/>
        </w:rPr>
        <w:t xml:space="preserve">Por outro lado, ainda estaríamos utilizando proxys como a PMC e PMS para recriar à partir da TRU, o que gera um viés crescente quanto mais aproximações utilizarmos. O Monitor, no entanto, não apresenta tais vieses de aproximação pois ele é construído com a mesma metodologia das Contas Nacionais do IBGE. </w:t>
      </w:r>
      <w:r>
        <w:rPr>
          <w:rFonts w:ascii="Arial" w:hAnsi="Arial" w:cs="Arial"/>
          <w:sz w:val="24"/>
          <w:szCs w:val="24"/>
        </w:rPr>
        <w:lastRenderedPageBreak/>
        <w:t>Portanto, se fosse ser criado um novo indicador mais aberto com base na TRU, iria ser gerado um tradeoff entre o viés de aproximação gerado pelos diversos itens e o viés de pequena abertura, gerado pelo Monitor e a dificuldade de capturar movimentos muito específicos.</w:t>
      </w:r>
      <w:r w:rsidR="00384616">
        <w:rPr>
          <w:rFonts w:ascii="Arial" w:hAnsi="Arial" w:cs="Arial"/>
          <w:sz w:val="24"/>
          <w:szCs w:val="24"/>
        </w:rPr>
        <w:t xml:space="preserve"> Restaria tentar estimar qual o saldo ótimo entre os dois.</w:t>
      </w:r>
    </w:p>
    <w:p w14:paraId="5A4225FE" w14:textId="3C749683" w:rsidR="00AA31C6" w:rsidRDefault="00AA31C6" w:rsidP="00A05546">
      <w:pPr>
        <w:spacing w:line="360" w:lineRule="auto"/>
        <w:jc w:val="both"/>
        <w:rPr>
          <w:rFonts w:ascii="Arial" w:hAnsi="Arial" w:cs="Arial"/>
          <w:sz w:val="24"/>
          <w:szCs w:val="24"/>
        </w:rPr>
      </w:pPr>
      <w:r>
        <w:rPr>
          <w:rFonts w:ascii="Arial" w:hAnsi="Arial" w:cs="Arial"/>
          <w:sz w:val="24"/>
          <w:szCs w:val="24"/>
        </w:rPr>
        <w:t>Em uma escala menor, foi feita uma reconstrução do grupo dos Monitorados apenas de forma a ilustrar como poderia ter sido feito um trabalho mais extenso nesse sentido.</w:t>
      </w:r>
    </w:p>
    <w:p w14:paraId="5FBEF169" w14:textId="77777777" w:rsidR="00355CC0" w:rsidRDefault="00355CC0" w:rsidP="00A05546">
      <w:pPr>
        <w:spacing w:line="360" w:lineRule="auto"/>
        <w:jc w:val="both"/>
        <w:rPr>
          <w:rFonts w:ascii="Arial" w:hAnsi="Arial" w:cs="Arial"/>
          <w:sz w:val="24"/>
          <w:szCs w:val="24"/>
        </w:rPr>
      </w:pPr>
    </w:p>
    <w:p w14:paraId="41D6279F" w14:textId="14B71A71" w:rsidR="00355CC0" w:rsidRPr="00F757CD" w:rsidRDefault="00355CC0" w:rsidP="00355CC0">
      <w:pPr>
        <w:spacing w:line="360" w:lineRule="auto"/>
        <w:jc w:val="both"/>
        <w:rPr>
          <w:rFonts w:ascii="Arial" w:hAnsi="Arial" w:cs="Arial"/>
          <w:b/>
          <w:bCs/>
          <w:sz w:val="24"/>
          <w:szCs w:val="24"/>
        </w:rPr>
      </w:pPr>
      <w:r>
        <w:rPr>
          <w:rFonts w:ascii="Arial" w:hAnsi="Arial" w:cs="Arial"/>
          <w:b/>
          <w:bCs/>
          <w:sz w:val="24"/>
          <w:szCs w:val="24"/>
        </w:rPr>
        <w:t>3.1.</w:t>
      </w:r>
      <w:r>
        <w:rPr>
          <w:rFonts w:ascii="Arial" w:hAnsi="Arial" w:cs="Arial"/>
          <w:b/>
          <w:bCs/>
          <w:sz w:val="24"/>
          <w:szCs w:val="24"/>
        </w:rPr>
        <w:t>2</w:t>
      </w:r>
      <w:r>
        <w:rPr>
          <w:rFonts w:ascii="Arial" w:hAnsi="Arial" w:cs="Arial"/>
          <w:b/>
          <w:bCs/>
          <w:sz w:val="24"/>
          <w:szCs w:val="24"/>
        </w:rPr>
        <w:t xml:space="preserve"> </w:t>
      </w:r>
      <w:r>
        <w:rPr>
          <w:rFonts w:ascii="Arial" w:hAnsi="Arial" w:cs="Arial"/>
          <w:b/>
          <w:bCs/>
          <w:sz w:val="24"/>
          <w:szCs w:val="24"/>
        </w:rPr>
        <w:t>Exemplo com Monitorados</w:t>
      </w:r>
    </w:p>
    <w:p w14:paraId="3BE9DE49" w14:textId="0AFC6EA9" w:rsidR="00355CC0" w:rsidRDefault="00355CC0" w:rsidP="00355CC0">
      <w:pPr>
        <w:spacing w:line="360" w:lineRule="auto"/>
        <w:jc w:val="both"/>
        <w:rPr>
          <w:rFonts w:ascii="Arial" w:hAnsi="Arial" w:cs="Arial"/>
          <w:sz w:val="24"/>
          <w:szCs w:val="24"/>
        </w:rPr>
      </w:pPr>
      <w:r>
        <w:rPr>
          <w:rFonts w:ascii="Arial" w:hAnsi="Arial" w:cs="Arial"/>
          <w:sz w:val="24"/>
          <w:szCs w:val="24"/>
        </w:rPr>
        <w:t>Para tentar</w:t>
      </w:r>
      <w:r>
        <w:rPr>
          <w:rFonts w:ascii="Arial" w:hAnsi="Arial" w:cs="Arial"/>
          <w:sz w:val="24"/>
          <w:szCs w:val="24"/>
        </w:rPr>
        <w:t xml:space="preserve"> demonstrar como seria a construção de um índice baseado na TRU, por exemplo, foi criado um indicador quantum ad hoc apenas para os Monitorados do IPCA a fim de melhor medir as mudanças nas cestas de consumo das famílias. Vale ressaltar que tal metodologia se aproxima àquela utilizada pela própria FGV para criar o Monitor, no entanto, a ideia seria criar um indicador mais aberto além das Grandes Categorias Econômicas. Uma sugestão da foma de criação </w:t>
      </w:r>
      <w:r w:rsidR="002B4AD7">
        <w:rPr>
          <w:rFonts w:ascii="Arial" w:hAnsi="Arial" w:cs="Arial"/>
          <w:sz w:val="24"/>
          <w:szCs w:val="24"/>
        </w:rPr>
        <w:t xml:space="preserve">item por item </w:t>
      </w:r>
      <w:r>
        <w:rPr>
          <w:rFonts w:ascii="Arial" w:hAnsi="Arial" w:cs="Arial"/>
          <w:sz w:val="24"/>
          <w:szCs w:val="24"/>
        </w:rPr>
        <w:t>segue.</w:t>
      </w:r>
    </w:p>
    <w:p w14:paraId="50DB9B1D" w14:textId="0F876F6D" w:rsidR="00355CC0" w:rsidRDefault="002B4AD7" w:rsidP="00355CC0">
      <w:pPr>
        <w:spacing w:line="360" w:lineRule="auto"/>
        <w:jc w:val="both"/>
        <w:rPr>
          <w:rFonts w:ascii="Arial" w:hAnsi="Arial" w:cs="Arial"/>
          <w:sz w:val="24"/>
          <w:szCs w:val="24"/>
        </w:rPr>
      </w:pPr>
      <w:r>
        <w:rPr>
          <w:rFonts w:ascii="Arial" w:hAnsi="Arial" w:cs="Arial"/>
          <w:sz w:val="24"/>
          <w:szCs w:val="24"/>
        </w:rPr>
        <w:t>No exemplo, sabemos que o</w:t>
      </w:r>
      <w:r w:rsidR="00355CC0">
        <w:rPr>
          <w:rFonts w:ascii="Arial" w:hAnsi="Arial" w:cs="Arial"/>
          <w:sz w:val="24"/>
          <w:szCs w:val="24"/>
        </w:rPr>
        <w:t xml:space="preserve">s </w:t>
      </w:r>
      <w:r w:rsidR="00355CC0">
        <w:rPr>
          <w:rFonts w:ascii="Arial" w:hAnsi="Arial" w:cs="Arial"/>
          <w:sz w:val="24"/>
          <w:szCs w:val="24"/>
        </w:rPr>
        <w:t>M</w:t>
      </w:r>
      <w:r w:rsidR="00355CC0">
        <w:rPr>
          <w:rFonts w:ascii="Arial" w:hAnsi="Arial" w:cs="Arial"/>
          <w:sz w:val="24"/>
          <w:szCs w:val="24"/>
        </w:rPr>
        <w:t xml:space="preserve">onitorados pesavam 26,14% em janeiro de 2020 e </w:t>
      </w:r>
      <w:r>
        <w:rPr>
          <w:rFonts w:ascii="Arial" w:hAnsi="Arial" w:cs="Arial"/>
          <w:sz w:val="24"/>
          <w:szCs w:val="24"/>
        </w:rPr>
        <w:t>são</w:t>
      </w:r>
      <w:r w:rsidR="00355CC0">
        <w:rPr>
          <w:rFonts w:ascii="Arial" w:hAnsi="Arial" w:cs="Arial"/>
          <w:sz w:val="24"/>
          <w:szCs w:val="24"/>
        </w:rPr>
        <w:t xml:space="preserve"> compostos por 24 itens. </w:t>
      </w:r>
      <w:r>
        <w:rPr>
          <w:rFonts w:ascii="Arial" w:hAnsi="Arial" w:cs="Arial"/>
          <w:sz w:val="24"/>
          <w:szCs w:val="24"/>
        </w:rPr>
        <w:t>Sem perda de generalidade, f</w:t>
      </w:r>
      <w:r w:rsidR="00355CC0">
        <w:rPr>
          <w:rFonts w:ascii="Arial" w:hAnsi="Arial" w:cs="Arial"/>
          <w:sz w:val="24"/>
          <w:szCs w:val="24"/>
        </w:rPr>
        <w:t xml:space="preserve">oram escolhidos 7 subitens que juntos somavam 80% dos </w:t>
      </w:r>
      <w:r>
        <w:rPr>
          <w:rFonts w:ascii="Arial" w:hAnsi="Arial" w:cs="Arial"/>
          <w:sz w:val="24"/>
          <w:szCs w:val="24"/>
        </w:rPr>
        <w:t>M</w:t>
      </w:r>
      <w:r w:rsidR="00355CC0">
        <w:rPr>
          <w:rFonts w:ascii="Arial" w:hAnsi="Arial" w:cs="Arial"/>
          <w:sz w:val="24"/>
          <w:szCs w:val="24"/>
        </w:rPr>
        <w:t xml:space="preserve">onitorados, estes </w:t>
      </w:r>
      <w:r>
        <w:rPr>
          <w:rFonts w:ascii="Arial" w:hAnsi="Arial" w:cs="Arial"/>
          <w:sz w:val="24"/>
          <w:szCs w:val="24"/>
        </w:rPr>
        <w:t>foram</w:t>
      </w:r>
      <w:r w:rsidR="00355CC0">
        <w:rPr>
          <w:rFonts w:ascii="Arial" w:hAnsi="Arial" w:cs="Arial"/>
          <w:sz w:val="24"/>
          <w:szCs w:val="24"/>
        </w:rPr>
        <w:t>: energia elétrica residencial (4,41%), ônibus urbano (1,35%), emplacamento e licença (2,37%), pedágio (0,09%), gasolina (5,15%), produtos farmacêuticos (3,48%) e plano de saúde (4,02%), somando, no total, 20,88%.</w:t>
      </w:r>
    </w:p>
    <w:p w14:paraId="13DA7F81" w14:textId="47D76A0D" w:rsidR="00355CC0" w:rsidRDefault="002B4AD7" w:rsidP="00355CC0">
      <w:pPr>
        <w:spacing w:line="360" w:lineRule="auto"/>
        <w:jc w:val="both"/>
        <w:rPr>
          <w:rFonts w:ascii="Arial" w:hAnsi="Arial" w:cs="Arial"/>
          <w:sz w:val="24"/>
          <w:szCs w:val="24"/>
        </w:rPr>
      </w:pPr>
      <w:r>
        <w:rPr>
          <w:rFonts w:ascii="Arial" w:hAnsi="Arial" w:cs="Arial"/>
          <w:sz w:val="24"/>
          <w:szCs w:val="24"/>
        </w:rPr>
        <w:t>Era esperado que estes 80% ditassem o movimento dos Monitorados sem grandes outliers devido aos outros 17 subitens menores. Logo, foram selecionados índices quantum para cada subitem a fim de compor o indicador completo em questão.</w:t>
      </w:r>
    </w:p>
    <w:p w14:paraId="0C6E0F3C" w14:textId="77777777" w:rsidR="002B4AD7" w:rsidRDefault="002B4AD7" w:rsidP="00355CC0">
      <w:pPr>
        <w:spacing w:line="360" w:lineRule="auto"/>
        <w:jc w:val="both"/>
        <w:rPr>
          <w:rFonts w:ascii="Arial" w:hAnsi="Arial" w:cs="Arial"/>
          <w:sz w:val="24"/>
          <w:szCs w:val="24"/>
        </w:rPr>
      </w:pPr>
    </w:p>
    <w:p w14:paraId="405A34C8" w14:textId="2F003714" w:rsidR="00355CC0" w:rsidRDefault="002B4AD7" w:rsidP="00355CC0">
      <w:pPr>
        <w:spacing w:line="360" w:lineRule="auto"/>
        <w:jc w:val="both"/>
        <w:rPr>
          <w:rFonts w:ascii="Arial" w:hAnsi="Arial" w:cs="Arial"/>
          <w:b/>
          <w:bCs/>
          <w:sz w:val="24"/>
          <w:szCs w:val="24"/>
        </w:rPr>
      </w:pPr>
      <w:r>
        <w:rPr>
          <w:rFonts w:ascii="Arial" w:hAnsi="Arial" w:cs="Arial"/>
          <w:b/>
          <w:bCs/>
          <w:sz w:val="24"/>
          <w:szCs w:val="24"/>
        </w:rPr>
        <w:t>3.1.2.1</w:t>
      </w:r>
      <w:r w:rsidR="00355CC0">
        <w:rPr>
          <w:rFonts w:ascii="Arial" w:hAnsi="Arial" w:cs="Arial"/>
          <w:b/>
          <w:bCs/>
          <w:sz w:val="24"/>
          <w:szCs w:val="24"/>
        </w:rPr>
        <w:t xml:space="preserve"> Energia elétrica residencial</w:t>
      </w:r>
    </w:p>
    <w:p w14:paraId="5FA7A9FB" w14:textId="2E0C62F2" w:rsidR="00355CC0" w:rsidRDefault="00355CC0" w:rsidP="00355CC0">
      <w:pPr>
        <w:spacing w:line="360" w:lineRule="auto"/>
        <w:jc w:val="both"/>
        <w:rPr>
          <w:rFonts w:ascii="Arial" w:hAnsi="Arial" w:cs="Arial"/>
          <w:sz w:val="24"/>
          <w:szCs w:val="24"/>
        </w:rPr>
      </w:pPr>
      <w:r>
        <w:rPr>
          <w:rFonts w:ascii="Arial" w:hAnsi="Arial" w:cs="Arial"/>
          <w:sz w:val="24"/>
          <w:szCs w:val="24"/>
        </w:rPr>
        <w:lastRenderedPageBreak/>
        <w:t>Foi coletada a série da Empresa de Pesquisa Energética (EPE) de consumo de energia elétrica residencial. A série data de 2004 até 2021, é medida em GWh (gigawatt-hora) e tem periodicidade mensal.</w:t>
      </w:r>
    </w:p>
    <w:p w14:paraId="2C3C98CF" w14:textId="77777777" w:rsidR="002B4AD7" w:rsidRDefault="002B4AD7" w:rsidP="00355CC0">
      <w:pPr>
        <w:spacing w:line="360" w:lineRule="auto"/>
        <w:jc w:val="both"/>
        <w:rPr>
          <w:rFonts w:ascii="Arial" w:hAnsi="Arial" w:cs="Arial"/>
          <w:sz w:val="24"/>
          <w:szCs w:val="24"/>
        </w:rPr>
      </w:pPr>
    </w:p>
    <w:p w14:paraId="3E30ED68" w14:textId="77777777" w:rsidR="00355CC0" w:rsidRPr="002909A1" w:rsidRDefault="00355CC0" w:rsidP="00355CC0">
      <w:pPr>
        <w:pStyle w:val="Caption"/>
        <w:keepNext/>
        <w:jc w:val="center"/>
        <w:rPr>
          <w:rFonts w:ascii="Arial" w:hAnsi="Arial" w:cs="Arial"/>
          <w:b/>
          <w:bCs/>
          <w:i w:val="0"/>
          <w:iCs w:val="0"/>
          <w:color w:val="auto"/>
          <w:sz w:val="24"/>
          <w:szCs w:val="24"/>
        </w:rPr>
      </w:pPr>
      <w:r w:rsidRPr="002909A1">
        <w:rPr>
          <w:rFonts w:ascii="Arial" w:hAnsi="Arial" w:cs="Arial"/>
          <w:b/>
          <w:bCs/>
          <w:i w:val="0"/>
          <w:iCs w:val="0"/>
          <w:color w:val="auto"/>
          <w:sz w:val="24"/>
          <w:szCs w:val="24"/>
        </w:rPr>
        <w:t xml:space="preserve">Figura </w:t>
      </w:r>
      <w:r w:rsidRPr="002909A1">
        <w:rPr>
          <w:rFonts w:ascii="Arial" w:hAnsi="Arial" w:cs="Arial"/>
          <w:b/>
          <w:bCs/>
          <w:i w:val="0"/>
          <w:iCs w:val="0"/>
          <w:color w:val="auto"/>
          <w:sz w:val="24"/>
          <w:szCs w:val="24"/>
        </w:rPr>
        <w:fldChar w:fldCharType="begin"/>
      </w:r>
      <w:r w:rsidRPr="002909A1">
        <w:rPr>
          <w:rFonts w:ascii="Arial" w:hAnsi="Arial" w:cs="Arial"/>
          <w:b/>
          <w:bCs/>
          <w:i w:val="0"/>
          <w:iCs w:val="0"/>
          <w:color w:val="auto"/>
          <w:sz w:val="24"/>
          <w:szCs w:val="24"/>
        </w:rPr>
        <w:instrText xml:space="preserve"> SEQ Figura \* ARABIC </w:instrText>
      </w:r>
      <w:r w:rsidRPr="002909A1">
        <w:rPr>
          <w:rFonts w:ascii="Arial" w:hAnsi="Arial" w:cs="Arial"/>
          <w:b/>
          <w:bCs/>
          <w:i w:val="0"/>
          <w:iCs w:val="0"/>
          <w:color w:val="auto"/>
          <w:sz w:val="24"/>
          <w:szCs w:val="24"/>
        </w:rPr>
        <w:fldChar w:fldCharType="separate"/>
      </w:r>
      <w:r w:rsidRPr="002909A1">
        <w:rPr>
          <w:rFonts w:ascii="Arial" w:hAnsi="Arial" w:cs="Arial"/>
          <w:b/>
          <w:bCs/>
          <w:i w:val="0"/>
          <w:iCs w:val="0"/>
          <w:noProof/>
          <w:color w:val="auto"/>
          <w:sz w:val="24"/>
          <w:szCs w:val="24"/>
        </w:rPr>
        <w:t>6</w:t>
      </w:r>
      <w:r w:rsidRPr="002909A1">
        <w:rPr>
          <w:rFonts w:ascii="Arial" w:hAnsi="Arial" w:cs="Arial"/>
          <w:b/>
          <w:bCs/>
          <w:i w:val="0"/>
          <w:iCs w:val="0"/>
          <w:color w:val="auto"/>
          <w:sz w:val="24"/>
          <w:szCs w:val="24"/>
        </w:rPr>
        <w:fldChar w:fldCharType="end"/>
      </w:r>
      <w:r w:rsidRPr="002909A1">
        <w:rPr>
          <w:rFonts w:ascii="Arial" w:hAnsi="Arial" w:cs="Arial"/>
          <w:b/>
          <w:bCs/>
          <w:i w:val="0"/>
          <w:iCs w:val="0"/>
          <w:color w:val="auto"/>
          <w:sz w:val="24"/>
          <w:szCs w:val="24"/>
        </w:rPr>
        <w:t>: Consumo de energia elétrica residencial (GWh)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6"/>
      </w:tblGrid>
      <w:tr w:rsidR="00355CC0" w14:paraId="72EBB237" w14:textId="77777777" w:rsidTr="002019E5">
        <w:trPr>
          <w:jc w:val="center"/>
        </w:trPr>
        <w:tc>
          <w:tcPr>
            <w:tcW w:w="7956" w:type="dxa"/>
          </w:tcPr>
          <w:p w14:paraId="761085D8" w14:textId="77777777" w:rsidR="00355CC0" w:rsidRDefault="00355CC0" w:rsidP="002019E5">
            <w:pPr>
              <w:keepNext/>
              <w:spacing w:line="360" w:lineRule="auto"/>
              <w:jc w:val="both"/>
              <w:rPr>
                <w:rFonts w:ascii="Arial" w:hAnsi="Arial" w:cs="Arial"/>
                <w:sz w:val="24"/>
                <w:szCs w:val="24"/>
              </w:rPr>
            </w:pPr>
            <w:r w:rsidRPr="002909A1">
              <w:rPr>
                <w:rFonts w:ascii="Arial" w:hAnsi="Arial" w:cs="Arial"/>
                <w:noProof/>
                <w:sz w:val="24"/>
                <w:szCs w:val="24"/>
              </w:rPr>
              <w:drawing>
                <wp:anchor distT="0" distB="0" distL="114300" distR="114300" simplePos="0" relativeHeight="251659264" behindDoc="0" locked="0" layoutInCell="1" allowOverlap="1" wp14:anchorId="6DFAB6B3" wp14:editId="463FD91A">
                  <wp:simplePos x="0" y="0"/>
                  <wp:positionH relativeFrom="column">
                    <wp:posOffset>635</wp:posOffset>
                  </wp:positionH>
                  <wp:positionV relativeFrom="paragraph">
                    <wp:posOffset>0</wp:posOffset>
                  </wp:positionV>
                  <wp:extent cx="4914900" cy="28575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2857500"/>
                          </a:xfrm>
                          <a:prstGeom prst="rect">
                            <a:avLst/>
                          </a:prstGeom>
                          <a:noFill/>
                          <a:ln>
                            <a:noFill/>
                          </a:ln>
                        </pic:spPr>
                      </pic:pic>
                    </a:graphicData>
                  </a:graphic>
                </wp:anchor>
              </w:drawing>
            </w:r>
          </w:p>
        </w:tc>
      </w:tr>
    </w:tbl>
    <w:p w14:paraId="5720E6D5" w14:textId="77777777" w:rsidR="00355CC0" w:rsidRPr="002909A1" w:rsidRDefault="00355CC0" w:rsidP="00355CC0">
      <w:pPr>
        <w:pStyle w:val="Caption"/>
        <w:jc w:val="center"/>
        <w:rPr>
          <w:rFonts w:ascii="Arial" w:hAnsi="Arial" w:cs="Arial"/>
          <w:i w:val="0"/>
          <w:iCs w:val="0"/>
          <w:color w:val="auto"/>
          <w:sz w:val="36"/>
          <w:szCs w:val="36"/>
        </w:rPr>
      </w:pPr>
      <w:r w:rsidRPr="002909A1">
        <w:rPr>
          <w:rFonts w:ascii="Arial" w:hAnsi="Arial" w:cs="Arial"/>
          <w:i w:val="0"/>
          <w:iCs w:val="0"/>
          <w:color w:val="auto"/>
          <w:sz w:val="24"/>
          <w:szCs w:val="24"/>
        </w:rPr>
        <w:t>Fonte: EPE, Cálculos próprios</w:t>
      </w:r>
    </w:p>
    <w:p w14:paraId="24446727" w14:textId="77777777" w:rsidR="00355CC0" w:rsidRDefault="00355CC0" w:rsidP="00355CC0">
      <w:pPr>
        <w:spacing w:line="360" w:lineRule="auto"/>
        <w:rPr>
          <w:rFonts w:ascii="Arial" w:hAnsi="Arial" w:cs="Arial"/>
          <w:sz w:val="24"/>
          <w:szCs w:val="24"/>
        </w:rPr>
      </w:pPr>
    </w:p>
    <w:p w14:paraId="6F35FA9D" w14:textId="77777777" w:rsidR="00355CC0" w:rsidRDefault="00355CC0" w:rsidP="00355CC0">
      <w:pPr>
        <w:spacing w:line="360" w:lineRule="auto"/>
        <w:jc w:val="both"/>
        <w:rPr>
          <w:rFonts w:ascii="Arial" w:hAnsi="Arial" w:cs="Arial"/>
          <w:sz w:val="24"/>
          <w:szCs w:val="24"/>
        </w:rPr>
      </w:pPr>
      <w:r>
        <w:rPr>
          <w:rFonts w:ascii="Arial" w:hAnsi="Arial" w:cs="Arial"/>
          <w:sz w:val="24"/>
          <w:szCs w:val="24"/>
        </w:rPr>
        <w:t>A série passa uma impressão visual de não-estacionariedade e de sazonalidade no final e início do ano, provavelmente dado ao verão.</w:t>
      </w:r>
    </w:p>
    <w:p w14:paraId="04DC42C3" w14:textId="77777777" w:rsidR="00355CC0" w:rsidRDefault="00355CC0" w:rsidP="00355CC0">
      <w:pPr>
        <w:spacing w:line="360" w:lineRule="auto"/>
        <w:jc w:val="both"/>
        <w:rPr>
          <w:rFonts w:ascii="Arial" w:hAnsi="Arial" w:cs="Arial"/>
          <w:sz w:val="24"/>
          <w:szCs w:val="24"/>
        </w:rPr>
      </w:pPr>
    </w:p>
    <w:p w14:paraId="10F9F1B5" w14:textId="7F33FEC2" w:rsidR="00355CC0" w:rsidRDefault="002B4AD7" w:rsidP="00355CC0">
      <w:pPr>
        <w:spacing w:line="360" w:lineRule="auto"/>
        <w:jc w:val="both"/>
        <w:rPr>
          <w:rFonts w:ascii="Arial" w:hAnsi="Arial" w:cs="Arial"/>
          <w:b/>
          <w:bCs/>
          <w:sz w:val="24"/>
          <w:szCs w:val="24"/>
        </w:rPr>
      </w:pPr>
      <w:r>
        <w:rPr>
          <w:rFonts w:ascii="Arial" w:hAnsi="Arial" w:cs="Arial"/>
          <w:b/>
          <w:bCs/>
          <w:sz w:val="24"/>
          <w:szCs w:val="24"/>
        </w:rPr>
        <w:t>3.1.2</w:t>
      </w:r>
      <w:r w:rsidR="00355CC0">
        <w:rPr>
          <w:rFonts w:ascii="Arial" w:hAnsi="Arial" w:cs="Arial"/>
          <w:b/>
          <w:bCs/>
          <w:sz w:val="24"/>
          <w:szCs w:val="24"/>
        </w:rPr>
        <w:t>.2 Ônibus urbano</w:t>
      </w:r>
    </w:p>
    <w:p w14:paraId="5FBA6F70" w14:textId="77777777" w:rsidR="00355CC0" w:rsidRDefault="00355CC0" w:rsidP="00355CC0">
      <w:pPr>
        <w:spacing w:line="360" w:lineRule="auto"/>
        <w:jc w:val="both"/>
        <w:rPr>
          <w:rFonts w:ascii="Arial" w:hAnsi="Arial" w:cs="Arial"/>
          <w:sz w:val="24"/>
          <w:szCs w:val="24"/>
        </w:rPr>
      </w:pPr>
      <w:r>
        <w:rPr>
          <w:rFonts w:ascii="Arial" w:hAnsi="Arial" w:cs="Arial"/>
          <w:sz w:val="24"/>
          <w:szCs w:val="24"/>
        </w:rPr>
        <w:t>Para dados de consumo de ônibus urbano, será utilizada a série do Instituto de Energia e Meio Ambiente (IEMA), de passageiros médios por dia. A série em específico trata apenas da cidade de São Paulo, porém como a mudança observada na pandemia teve causa comum em todo o país, era esperado observar o mesmo comportamento para todas as localidades.</w:t>
      </w:r>
    </w:p>
    <w:p w14:paraId="0E520EDB" w14:textId="2BBF0E33" w:rsidR="00355CC0" w:rsidRDefault="00355CC0" w:rsidP="00355CC0">
      <w:pPr>
        <w:spacing w:line="360" w:lineRule="auto"/>
        <w:jc w:val="both"/>
        <w:rPr>
          <w:rFonts w:ascii="Arial" w:hAnsi="Arial" w:cs="Arial"/>
          <w:sz w:val="24"/>
          <w:szCs w:val="24"/>
        </w:rPr>
      </w:pPr>
      <w:r>
        <w:rPr>
          <w:rFonts w:ascii="Arial" w:hAnsi="Arial" w:cs="Arial"/>
          <w:sz w:val="24"/>
          <w:szCs w:val="24"/>
        </w:rPr>
        <w:t xml:space="preserve">A série era originalmente diária, porém foi feita uma média mensal para construir o indicador. Na </w:t>
      </w:r>
      <w:r w:rsidRPr="00451884">
        <w:rPr>
          <w:rFonts w:ascii="Arial" w:hAnsi="Arial" w:cs="Arial"/>
          <w:sz w:val="24"/>
          <w:szCs w:val="24"/>
        </w:rPr>
        <w:fldChar w:fldCharType="begin"/>
      </w:r>
      <w:r w:rsidRPr="00451884">
        <w:rPr>
          <w:rFonts w:ascii="Arial" w:hAnsi="Arial" w:cs="Arial"/>
          <w:sz w:val="24"/>
          <w:szCs w:val="24"/>
        </w:rPr>
        <w:instrText xml:space="preserve"> REF _Ref84794392 \h  \* MERGEFORMAT </w:instrText>
      </w:r>
      <w:r w:rsidRPr="00451884">
        <w:rPr>
          <w:rFonts w:ascii="Arial" w:hAnsi="Arial" w:cs="Arial"/>
          <w:sz w:val="24"/>
          <w:szCs w:val="24"/>
        </w:rPr>
      </w:r>
      <w:r w:rsidRPr="00451884">
        <w:rPr>
          <w:rFonts w:ascii="Arial" w:hAnsi="Arial" w:cs="Arial"/>
          <w:sz w:val="24"/>
          <w:szCs w:val="24"/>
        </w:rPr>
        <w:fldChar w:fldCharType="separate"/>
      </w:r>
      <w:r w:rsidRPr="00451884">
        <w:rPr>
          <w:rFonts w:ascii="Arial" w:hAnsi="Arial" w:cs="Arial"/>
          <w:sz w:val="24"/>
          <w:szCs w:val="24"/>
        </w:rPr>
        <w:t xml:space="preserve">Figura </w:t>
      </w:r>
      <w:r w:rsidRPr="00451884">
        <w:rPr>
          <w:rFonts w:ascii="Arial" w:hAnsi="Arial" w:cs="Arial"/>
          <w:noProof/>
          <w:sz w:val="24"/>
          <w:szCs w:val="24"/>
        </w:rPr>
        <w:t>7</w:t>
      </w:r>
      <w:r w:rsidRPr="00451884">
        <w:rPr>
          <w:rFonts w:ascii="Arial" w:hAnsi="Arial" w:cs="Arial"/>
          <w:sz w:val="24"/>
          <w:szCs w:val="24"/>
        </w:rPr>
        <w:fldChar w:fldCharType="end"/>
      </w:r>
      <w:r w:rsidRPr="00451884">
        <w:rPr>
          <w:rFonts w:ascii="Arial" w:hAnsi="Arial" w:cs="Arial"/>
          <w:sz w:val="24"/>
          <w:szCs w:val="24"/>
        </w:rPr>
        <w:t xml:space="preserve"> </w:t>
      </w:r>
      <w:r>
        <w:rPr>
          <w:rFonts w:ascii="Arial" w:hAnsi="Arial" w:cs="Arial"/>
          <w:sz w:val="24"/>
          <w:szCs w:val="24"/>
        </w:rPr>
        <w:t xml:space="preserve">está plotada a média móvel de 7 dias para tentar </w:t>
      </w:r>
      <w:r>
        <w:rPr>
          <w:rFonts w:ascii="Arial" w:hAnsi="Arial" w:cs="Arial"/>
          <w:sz w:val="24"/>
          <w:szCs w:val="24"/>
        </w:rPr>
        <w:lastRenderedPageBreak/>
        <w:t>amenizar a sazonalidade intrasemanal mas ainda mostrar da melhor forma o impacto da pandemia.</w:t>
      </w:r>
    </w:p>
    <w:p w14:paraId="5B907B90" w14:textId="77777777" w:rsidR="002B4AD7" w:rsidRDefault="002B4AD7" w:rsidP="00355CC0">
      <w:pPr>
        <w:spacing w:line="360" w:lineRule="auto"/>
        <w:jc w:val="both"/>
        <w:rPr>
          <w:rFonts w:ascii="Arial" w:hAnsi="Arial" w:cs="Arial"/>
          <w:sz w:val="24"/>
          <w:szCs w:val="24"/>
        </w:rPr>
      </w:pPr>
    </w:p>
    <w:p w14:paraId="7D10A200" w14:textId="77777777" w:rsidR="00355CC0" w:rsidRPr="002909A1" w:rsidRDefault="00355CC0" w:rsidP="00355CC0">
      <w:pPr>
        <w:pStyle w:val="Caption"/>
        <w:keepNext/>
        <w:jc w:val="center"/>
        <w:rPr>
          <w:rFonts w:ascii="Arial" w:hAnsi="Arial" w:cs="Arial"/>
          <w:b/>
          <w:bCs/>
          <w:i w:val="0"/>
          <w:iCs w:val="0"/>
          <w:color w:val="auto"/>
          <w:sz w:val="24"/>
          <w:szCs w:val="24"/>
        </w:rPr>
      </w:pPr>
      <w:bookmarkStart w:id="0" w:name="_Ref84794392"/>
      <w:r w:rsidRPr="002909A1">
        <w:rPr>
          <w:rFonts w:ascii="Arial" w:hAnsi="Arial" w:cs="Arial"/>
          <w:b/>
          <w:bCs/>
          <w:i w:val="0"/>
          <w:iCs w:val="0"/>
          <w:color w:val="auto"/>
          <w:sz w:val="24"/>
          <w:szCs w:val="24"/>
        </w:rPr>
        <w:t xml:space="preserve">Figura </w:t>
      </w:r>
      <w:r w:rsidRPr="002909A1">
        <w:rPr>
          <w:rFonts w:ascii="Arial" w:hAnsi="Arial" w:cs="Arial"/>
          <w:b/>
          <w:bCs/>
          <w:i w:val="0"/>
          <w:iCs w:val="0"/>
          <w:color w:val="auto"/>
          <w:sz w:val="24"/>
          <w:szCs w:val="24"/>
        </w:rPr>
        <w:fldChar w:fldCharType="begin"/>
      </w:r>
      <w:r w:rsidRPr="002909A1">
        <w:rPr>
          <w:rFonts w:ascii="Arial" w:hAnsi="Arial" w:cs="Arial"/>
          <w:b/>
          <w:bCs/>
          <w:i w:val="0"/>
          <w:iCs w:val="0"/>
          <w:color w:val="auto"/>
          <w:sz w:val="24"/>
          <w:szCs w:val="24"/>
        </w:rPr>
        <w:instrText xml:space="preserve"> SEQ Figura \* ARABIC </w:instrText>
      </w:r>
      <w:r w:rsidRPr="002909A1">
        <w:rPr>
          <w:rFonts w:ascii="Arial" w:hAnsi="Arial" w:cs="Arial"/>
          <w:b/>
          <w:bCs/>
          <w:i w:val="0"/>
          <w:iCs w:val="0"/>
          <w:color w:val="auto"/>
          <w:sz w:val="24"/>
          <w:szCs w:val="24"/>
        </w:rPr>
        <w:fldChar w:fldCharType="separate"/>
      </w:r>
      <w:r>
        <w:rPr>
          <w:rFonts w:ascii="Arial" w:hAnsi="Arial" w:cs="Arial"/>
          <w:b/>
          <w:bCs/>
          <w:i w:val="0"/>
          <w:iCs w:val="0"/>
          <w:noProof/>
          <w:color w:val="auto"/>
          <w:sz w:val="24"/>
          <w:szCs w:val="24"/>
        </w:rPr>
        <w:t>7</w:t>
      </w:r>
      <w:r w:rsidRPr="002909A1">
        <w:rPr>
          <w:rFonts w:ascii="Arial" w:hAnsi="Arial" w:cs="Arial"/>
          <w:b/>
          <w:bCs/>
          <w:i w:val="0"/>
          <w:iCs w:val="0"/>
          <w:color w:val="auto"/>
          <w:sz w:val="24"/>
          <w:szCs w:val="24"/>
        </w:rPr>
        <w:fldChar w:fldCharType="end"/>
      </w:r>
      <w:bookmarkEnd w:id="0"/>
      <w:r w:rsidRPr="002909A1">
        <w:rPr>
          <w:rFonts w:ascii="Arial" w:hAnsi="Arial" w:cs="Arial"/>
          <w:b/>
          <w:bCs/>
          <w:i w:val="0"/>
          <w:iCs w:val="0"/>
          <w:color w:val="auto"/>
          <w:sz w:val="24"/>
          <w:szCs w:val="24"/>
        </w:rPr>
        <w:t xml:space="preserve">: </w:t>
      </w:r>
      <w:r>
        <w:rPr>
          <w:rFonts w:ascii="Arial" w:hAnsi="Arial" w:cs="Arial"/>
          <w:b/>
          <w:bCs/>
          <w:i w:val="0"/>
          <w:iCs w:val="0"/>
          <w:color w:val="auto"/>
          <w:sz w:val="24"/>
          <w:szCs w:val="24"/>
        </w:rPr>
        <w:t>Passageiros médios por dia (cidade de São Paulo, mm7d)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6"/>
      </w:tblGrid>
      <w:tr w:rsidR="00355CC0" w14:paraId="329F63D9" w14:textId="77777777" w:rsidTr="002019E5">
        <w:trPr>
          <w:jc w:val="center"/>
        </w:trPr>
        <w:tc>
          <w:tcPr>
            <w:tcW w:w="7956" w:type="dxa"/>
          </w:tcPr>
          <w:p w14:paraId="0223CDEB" w14:textId="77777777" w:rsidR="00355CC0" w:rsidRDefault="00355CC0" w:rsidP="002019E5">
            <w:pPr>
              <w:keepNext/>
              <w:spacing w:line="360" w:lineRule="auto"/>
              <w:jc w:val="both"/>
              <w:rPr>
                <w:rFonts w:ascii="Arial" w:hAnsi="Arial" w:cs="Arial"/>
                <w:sz w:val="24"/>
                <w:szCs w:val="24"/>
              </w:rPr>
            </w:pPr>
            <w:r w:rsidRPr="00451884">
              <w:rPr>
                <w:rFonts w:ascii="Arial" w:hAnsi="Arial" w:cs="Arial"/>
                <w:noProof/>
                <w:sz w:val="24"/>
                <w:szCs w:val="24"/>
              </w:rPr>
              <w:drawing>
                <wp:anchor distT="0" distB="0" distL="114300" distR="114300" simplePos="0" relativeHeight="251660288" behindDoc="0" locked="0" layoutInCell="1" allowOverlap="1" wp14:anchorId="1A789FD3" wp14:editId="20983247">
                  <wp:simplePos x="0" y="0"/>
                  <wp:positionH relativeFrom="column">
                    <wp:posOffset>1270</wp:posOffset>
                  </wp:positionH>
                  <wp:positionV relativeFrom="paragraph">
                    <wp:posOffset>0</wp:posOffset>
                  </wp:positionV>
                  <wp:extent cx="4924425" cy="28670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2867025"/>
                          </a:xfrm>
                          <a:prstGeom prst="rect">
                            <a:avLst/>
                          </a:prstGeom>
                          <a:noFill/>
                          <a:ln>
                            <a:noFill/>
                          </a:ln>
                        </pic:spPr>
                      </pic:pic>
                    </a:graphicData>
                  </a:graphic>
                </wp:anchor>
              </w:drawing>
            </w:r>
          </w:p>
        </w:tc>
      </w:tr>
    </w:tbl>
    <w:p w14:paraId="27C64D82" w14:textId="77777777" w:rsidR="00355CC0" w:rsidRPr="002909A1" w:rsidRDefault="00355CC0" w:rsidP="00355CC0">
      <w:pPr>
        <w:pStyle w:val="Caption"/>
        <w:jc w:val="center"/>
        <w:rPr>
          <w:rFonts w:ascii="Arial" w:hAnsi="Arial" w:cs="Arial"/>
          <w:i w:val="0"/>
          <w:iCs w:val="0"/>
          <w:color w:val="auto"/>
          <w:sz w:val="36"/>
          <w:szCs w:val="36"/>
        </w:rPr>
      </w:pPr>
      <w:r w:rsidRPr="002909A1">
        <w:rPr>
          <w:rFonts w:ascii="Arial" w:hAnsi="Arial" w:cs="Arial"/>
          <w:i w:val="0"/>
          <w:iCs w:val="0"/>
          <w:color w:val="auto"/>
          <w:sz w:val="24"/>
          <w:szCs w:val="24"/>
        </w:rPr>
        <w:t xml:space="preserve">Fonte: </w:t>
      </w:r>
      <w:r>
        <w:rPr>
          <w:rFonts w:ascii="Arial" w:hAnsi="Arial" w:cs="Arial"/>
          <w:i w:val="0"/>
          <w:iCs w:val="0"/>
          <w:color w:val="auto"/>
          <w:sz w:val="24"/>
          <w:szCs w:val="24"/>
        </w:rPr>
        <w:t>IEMA</w:t>
      </w:r>
      <w:r w:rsidRPr="002909A1">
        <w:rPr>
          <w:rFonts w:ascii="Arial" w:hAnsi="Arial" w:cs="Arial"/>
          <w:i w:val="0"/>
          <w:iCs w:val="0"/>
          <w:color w:val="auto"/>
          <w:sz w:val="24"/>
          <w:szCs w:val="24"/>
        </w:rPr>
        <w:t>, Cálculos próprios</w:t>
      </w:r>
    </w:p>
    <w:p w14:paraId="7D983E41" w14:textId="77777777" w:rsidR="00355CC0" w:rsidRPr="00FE4294" w:rsidRDefault="00355CC0" w:rsidP="00355CC0">
      <w:pPr>
        <w:spacing w:line="360" w:lineRule="auto"/>
        <w:jc w:val="both"/>
        <w:rPr>
          <w:rFonts w:ascii="Arial" w:hAnsi="Arial" w:cs="Arial"/>
          <w:sz w:val="24"/>
          <w:szCs w:val="24"/>
        </w:rPr>
      </w:pPr>
    </w:p>
    <w:p w14:paraId="54992F22" w14:textId="77777777" w:rsidR="00355CC0" w:rsidRDefault="00355CC0" w:rsidP="00355CC0">
      <w:pPr>
        <w:spacing w:line="360" w:lineRule="auto"/>
        <w:rPr>
          <w:rFonts w:ascii="Arial" w:hAnsi="Arial" w:cs="Arial"/>
          <w:sz w:val="24"/>
          <w:szCs w:val="24"/>
        </w:rPr>
      </w:pPr>
      <w:r>
        <w:rPr>
          <w:rFonts w:ascii="Arial" w:hAnsi="Arial" w:cs="Arial"/>
          <w:sz w:val="24"/>
          <w:szCs w:val="24"/>
        </w:rPr>
        <w:t>Vale ressaltar que a primeira e segunda onda da pandemia se concentraram em março-abril de 2020 e fevereiro-abril de 2021, respectivamente. Também é interessante observar as quedas durante a segunda metade de dezembro, provavelmente dado ao recesso.</w:t>
      </w:r>
    </w:p>
    <w:p w14:paraId="13B21E5F" w14:textId="77777777" w:rsidR="00355CC0" w:rsidRDefault="00355CC0" w:rsidP="00355CC0">
      <w:pPr>
        <w:spacing w:line="360" w:lineRule="auto"/>
        <w:rPr>
          <w:rFonts w:ascii="Arial" w:hAnsi="Arial" w:cs="Arial"/>
          <w:sz w:val="24"/>
          <w:szCs w:val="24"/>
        </w:rPr>
      </w:pPr>
    </w:p>
    <w:p w14:paraId="3343CF05" w14:textId="0D94F4A9" w:rsidR="00355CC0" w:rsidRDefault="002B4AD7" w:rsidP="00355CC0">
      <w:pPr>
        <w:spacing w:line="360" w:lineRule="auto"/>
        <w:rPr>
          <w:rFonts w:ascii="Arial" w:hAnsi="Arial" w:cs="Arial"/>
          <w:b/>
          <w:bCs/>
          <w:sz w:val="24"/>
          <w:szCs w:val="24"/>
        </w:rPr>
      </w:pPr>
      <w:r>
        <w:rPr>
          <w:rFonts w:ascii="Arial" w:hAnsi="Arial" w:cs="Arial"/>
          <w:b/>
          <w:bCs/>
          <w:sz w:val="24"/>
          <w:szCs w:val="24"/>
        </w:rPr>
        <w:t>3.1.2.</w:t>
      </w:r>
      <w:r w:rsidR="00355CC0">
        <w:rPr>
          <w:rFonts w:ascii="Arial" w:hAnsi="Arial" w:cs="Arial"/>
          <w:b/>
          <w:bCs/>
          <w:sz w:val="24"/>
          <w:szCs w:val="24"/>
        </w:rPr>
        <w:t>3 Emplacamento e licença</w:t>
      </w:r>
    </w:p>
    <w:p w14:paraId="4B69C89C" w14:textId="77777777" w:rsidR="00355CC0" w:rsidRDefault="00355CC0" w:rsidP="00355CC0">
      <w:pPr>
        <w:spacing w:line="360" w:lineRule="auto"/>
        <w:rPr>
          <w:rFonts w:ascii="Arial" w:hAnsi="Arial" w:cs="Arial"/>
          <w:sz w:val="24"/>
          <w:szCs w:val="24"/>
        </w:rPr>
      </w:pPr>
      <w:r>
        <w:rPr>
          <w:rFonts w:ascii="Arial" w:hAnsi="Arial" w:cs="Arial"/>
          <w:sz w:val="24"/>
          <w:szCs w:val="24"/>
        </w:rPr>
        <w:t>A série de emplacamento e licença foi retirada da Fenabrave. Ela nos mostra a quantidade de emplacamentos em número de autoveículos e data de 2006 a 2021.</w:t>
      </w:r>
    </w:p>
    <w:p w14:paraId="3441E1B0" w14:textId="77777777" w:rsidR="00355CC0" w:rsidRPr="002909A1" w:rsidRDefault="00355CC0" w:rsidP="00355CC0">
      <w:pPr>
        <w:pStyle w:val="Caption"/>
        <w:keepNext/>
        <w:jc w:val="center"/>
        <w:rPr>
          <w:rFonts w:ascii="Arial" w:hAnsi="Arial" w:cs="Arial"/>
          <w:b/>
          <w:bCs/>
          <w:i w:val="0"/>
          <w:iCs w:val="0"/>
          <w:color w:val="auto"/>
          <w:sz w:val="24"/>
          <w:szCs w:val="24"/>
        </w:rPr>
      </w:pPr>
      <w:r w:rsidRPr="002909A1">
        <w:rPr>
          <w:rFonts w:ascii="Arial" w:hAnsi="Arial" w:cs="Arial"/>
          <w:b/>
          <w:bCs/>
          <w:i w:val="0"/>
          <w:iCs w:val="0"/>
          <w:color w:val="auto"/>
          <w:sz w:val="24"/>
          <w:szCs w:val="24"/>
        </w:rPr>
        <w:lastRenderedPageBreak/>
        <w:t xml:space="preserve">Figura </w:t>
      </w:r>
      <w:r w:rsidRPr="002909A1">
        <w:rPr>
          <w:rFonts w:ascii="Arial" w:hAnsi="Arial" w:cs="Arial"/>
          <w:b/>
          <w:bCs/>
          <w:i w:val="0"/>
          <w:iCs w:val="0"/>
          <w:color w:val="auto"/>
          <w:sz w:val="24"/>
          <w:szCs w:val="24"/>
        </w:rPr>
        <w:fldChar w:fldCharType="begin"/>
      </w:r>
      <w:r w:rsidRPr="002909A1">
        <w:rPr>
          <w:rFonts w:ascii="Arial" w:hAnsi="Arial" w:cs="Arial"/>
          <w:b/>
          <w:bCs/>
          <w:i w:val="0"/>
          <w:iCs w:val="0"/>
          <w:color w:val="auto"/>
          <w:sz w:val="24"/>
          <w:szCs w:val="24"/>
        </w:rPr>
        <w:instrText xml:space="preserve"> SEQ Figura \* ARABIC </w:instrText>
      </w:r>
      <w:r w:rsidRPr="002909A1">
        <w:rPr>
          <w:rFonts w:ascii="Arial" w:hAnsi="Arial" w:cs="Arial"/>
          <w:b/>
          <w:bCs/>
          <w:i w:val="0"/>
          <w:iCs w:val="0"/>
          <w:color w:val="auto"/>
          <w:sz w:val="24"/>
          <w:szCs w:val="24"/>
        </w:rPr>
        <w:fldChar w:fldCharType="separate"/>
      </w:r>
      <w:r>
        <w:rPr>
          <w:rFonts w:ascii="Arial" w:hAnsi="Arial" w:cs="Arial"/>
          <w:b/>
          <w:bCs/>
          <w:i w:val="0"/>
          <w:iCs w:val="0"/>
          <w:noProof/>
          <w:color w:val="auto"/>
          <w:sz w:val="24"/>
          <w:szCs w:val="24"/>
        </w:rPr>
        <w:t>8</w:t>
      </w:r>
      <w:r w:rsidRPr="002909A1">
        <w:rPr>
          <w:rFonts w:ascii="Arial" w:hAnsi="Arial" w:cs="Arial"/>
          <w:b/>
          <w:bCs/>
          <w:i w:val="0"/>
          <w:iCs w:val="0"/>
          <w:color w:val="auto"/>
          <w:sz w:val="24"/>
          <w:szCs w:val="24"/>
        </w:rPr>
        <w:fldChar w:fldCharType="end"/>
      </w:r>
      <w:r w:rsidRPr="002909A1">
        <w:rPr>
          <w:rFonts w:ascii="Arial" w:hAnsi="Arial" w:cs="Arial"/>
          <w:b/>
          <w:bCs/>
          <w:i w:val="0"/>
          <w:iCs w:val="0"/>
          <w:color w:val="auto"/>
          <w:sz w:val="24"/>
          <w:szCs w:val="24"/>
        </w:rPr>
        <w:t xml:space="preserve">: </w:t>
      </w:r>
      <w:r>
        <w:rPr>
          <w:rFonts w:ascii="Arial" w:hAnsi="Arial" w:cs="Arial"/>
          <w:b/>
          <w:bCs/>
          <w:i w:val="0"/>
          <w:iCs w:val="0"/>
          <w:color w:val="auto"/>
          <w:sz w:val="24"/>
          <w:szCs w:val="24"/>
        </w:rPr>
        <w:t>Emplacamento de autoveículos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6"/>
      </w:tblGrid>
      <w:tr w:rsidR="00355CC0" w14:paraId="53808FEE" w14:textId="77777777" w:rsidTr="002019E5">
        <w:trPr>
          <w:jc w:val="center"/>
        </w:trPr>
        <w:tc>
          <w:tcPr>
            <w:tcW w:w="7956" w:type="dxa"/>
          </w:tcPr>
          <w:p w14:paraId="5E7BEEAF" w14:textId="77777777" w:rsidR="00355CC0" w:rsidRDefault="00355CC0" w:rsidP="002019E5">
            <w:pPr>
              <w:keepNext/>
              <w:spacing w:line="360" w:lineRule="auto"/>
              <w:jc w:val="both"/>
              <w:rPr>
                <w:rFonts w:ascii="Arial" w:hAnsi="Arial" w:cs="Arial"/>
                <w:sz w:val="24"/>
                <w:szCs w:val="24"/>
              </w:rPr>
            </w:pPr>
            <w:r w:rsidRPr="009C5C82">
              <w:rPr>
                <w:rFonts w:ascii="Arial" w:hAnsi="Arial" w:cs="Arial"/>
                <w:noProof/>
                <w:sz w:val="24"/>
                <w:szCs w:val="24"/>
              </w:rPr>
              <w:drawing>
                <wp:anchor distT="0" distB="0" distL="114300" distR="114300" simplePos="0" relativeHeight="251661312" behindDoc="0" locked="0" layoutInCell="1" allowOverlap="1" wp14:anchorId="09CD925B" wp14:editId="2E746841">
                  <wp:simplePos x="0" y="0"/>
                  <wp:positionH relativeFrom="column">
                    <wp:posOffset>1270</wp:posOffset>
                  </wp:positionH>
                  <wp:positionV relativeFrom="paragraph">
                    <wp:posOffset>0</wp:posOffset>
                  </wp:positionV>
                  <wp:extent cx="4829175" cy="28670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2867025"/>
                          </a:xfrm>
                          <a:prstGeom prst="rect">
                            <a:avLst/>
                          </a:prstGeom>
                          <a:noFill/>
                          <a:ln>
                            <a:noFill/>
                          </a:ln>
                        </pic:spPr>
                      </pic:pic>
                    </a:graphicData>
                  </a:graphic>
                </wp:anchor>
              </w:drawing>
            </w:r>
          </w:p>
        </w:tc>
      </w:tr>
    </w:tbl>
    <w:p w14:paraId="061E8DEF" w14:textId="77777777" w:rsidR="00355CC0" w:rsidRPr="002909A1" w:rsidRDefault="00355CC0" w:rsidP="00355CC0">
      <w:pPr>
        <w:pStyle w:val="Caption"/>
        <w:jc w:val="center"/>
        <w:rPr>
          <w:rFonts w:ascii="Arial" w:hAnsi="Arial" w:cs="Arial"/>
          <w:i w:val="0"/>
          <w:iCs w:val="0"/>
          <w:color w:val="auto"/>
          <w:sz w:val="36"/>
          <w:szCs w:val="36"/>
        </w:rPr>
      </w:pPr>
      <w:r w:rsidRPr="002909A1">
        <w:rPr>
          <w:rFonts w:ascii="Arial" w:hAnsi="Arial" w:cs="Arial"/>
          <w:i w:val="0"/>
          <w:iCs w:val="0"/>
          <w:color w:val="auto"/>
          <w:sz w:val="24"/>
          <w:szCs w:val="24"/>
        </w:rPr>
        <w:t xml:space="preserve">Fonte: </w:t>
      </w:r>
      <w:r>
        <w:rPr>
          <w:rFonts w:ascii="Arial" w:hAnsi="Arial" w:cs="Arial"/>
          <w:i w:val="0"/>
          <w:iCs w:val="0"/>
          <w:color w:val="auto"/>
          <w:sz w:val="24"/>
          <w:szCs w:val="24"/>
        </w:rPr>
        <w:t>Fenabrave</w:t>
      </w:r>
      <w:r w:rsidRPr="002909A1">
        <w:rPr>
          <w:rFonts w:ascii="Arial" w:hAnsi="Arial" w:cs="Arial"/>
          <w:i w:val="0"/>
          <w:iCs w:val="0"/>
          <w:color w:val="auto"/>
          <w:sz w:val="24"/>
          <w:szCs w:val="24"/>
        </w:rPr>
        <w:t>, Cálculos próprios</w:t>
      </w:r>
    </w:p>
    <w:p w14:paraId="5D37AF96" w14:textId="77777777" w:rsidR="00355CC0" w:rsidRDefault="00355CC0" w:rsidP="00355CC0">
      <w:pPr>
        <w:spacing w:line="360" w:lineRule="auto"/>
        <w:jc w:val="both"/>
        <w:rPr>
          <w:rFonts w:ascii="Arial" w:hAnsi="Arial" w:cs="Arial"/>
          <w:sz w:val="24"/>
          <w:szCs w:val="24"/>
        </w:rPr>
      </w:pPr>
    </w:p>
    <w:p w14:paraId="3C57FC50" w14:textId="77777777" w:rsidR="00355CC0" w:rsidRDefault="00355CC0" w:rsidP="00355CC0">
      <w:pPr>
        <w:spacing w:line="360" w:lineRule="auto"/>
        <w:jc w:val="both"/>
        <w:rPr>
          <w:rFonts w:ascii="Arial" w:hAnsi="Arial" w:cs="Arial"/>
          <w:sz w:val="24"/>
          <w:szCs w:val="24"/>
        </w:rPr>
      </w:pPr>
      <w:r>
        <w:rPr>
          <w:rFonts w:ascii="Arial" w:hAnsi="Arial" w:cs="Arial"/>
          <w:sz w:val="24"/>
          <w:szCs w:val="24"/>
        </w:rPr>
        <w:t>É possível observar queda contínua durante a crise de 2014-16 e uma sazonalidade nos meses de fevereiro, provavelmente dado ao Carnaval, que prejudica as vendas do mês.</w:t>
      </w:r>
    </w:p>
    <w:p w14:paraId="16775558" w14:textId="77777777" w:rsidR="00355CC0" w:rsidRDefault="00355CC0" w:rsidP="00355CC0">
      <w:pPr>
        <w:spacing w:line="360" w:lineRule="auto"/>
        <w:jc w:val="both"/>
        <w:rPr>
          <w:rFonts w:ascii="Arial" w:hAnsi="Arial" w:cs="Arial"/>
          <w:sz w:val="24"/>
          <w:szCs w:val="24"/>
        </w:rPr>
      </w:pPr>
    </w:p>
    <w:p w14:paraId="7B11C0FF" w14:textId="2CA002E2" w:rsidR="00355CC0" w:rsidRDefault="002B4AD7" w:rsidP="00355CC0">
      <w:pPr>
        <w:spacing w:line="360" w:lineRule="auto"/>
        <w:jc w:val="both"/>
        <w:rPr>
          <w:rFonts w:ascii="Arial" w:hAnsi="Arial" w:cs="Arial"/>
          <w:b/>
          <w:bCs/>
          <w:sz w:val="24"/>
          <w:szCs w:val="24"/>
        </w:rPr>
      </w:pPr>
      <w:r>
        <w:rPr>
          <w:rFonts w:ascii="Arial" w:hAnsi="Arial" w:cs="Arial"/>
          <w:b/>
          <w:bCs/>
          <w:sz w:val="24"/>
          <w:szCs w:val="24"/>
        </w:rPr>
        <w:t>3.1.2</w:t>
      </w:r>
      <w:r>
        <w:rPr>
          <w:rFonts w:ascii="Arial" w:hAnsi="Arial" w:cs="Arial"/>
          <w:b/>
          <w:bCs/>
          <w:sz w:val="24"/>
          <w:szCs w:val="24"/>
        </w:rPr>
        <w:t>.</w:t>
      </w:r>
      <w:r w:rsidR="00355CC0">
        <w:rPr>
          <w:rFonts w:ascii="Arial" w:hAnsi="Arial" w:cs="Arial"/>
          <w:b/>
          <w:bCs/>
          <w:sz w:val="24"/>
          <w:szCs w:val="24"/>
        </w:rPr>
        <w:t xml:space="preserve">4  </w:t>
      </w:r>
      <w:r w:rsidR="00355CC0" w:rsidRPr="009C5C82">
        <w:rPr>
          <w:rFonts w:ascii="Arial" w:hAnsi="Arial" w:cs="Arial"/>
          <w:b/>
          <w:bCs/>
          <w:sz w:val="24"/>
          <w:szCs w:val="24"/>
        </w:rPr>
        <w:t>Pedá</w:t>
      </w:r>
      <w:r w:rsidR="00355CC0">
        <w:rPr>
          <w:rFonts w:ascii="Arial" w:hAnsi="Arial" w:cs="Arial"/>
          <w:b/>
          <w:bCs/>
          <w:sz w:val="24"/>
          <w:szCs w:val="24"/>
        </w:rPr>
        <w:t>g</w:t>
      </w:r>
      <w:r w:rsidR="00355CC0" w:rsidRPr="009C5C82">
        <w:rPr>
          <w:rFonts w:ascii="Arial" w:hAnsi="Arial" w:cs="Arial"/>
          <w:b/>
          <w:bCs/>
          <w:sz w:val="24"/>
          <w:szCs w:val="24"/>
        </w:rPr>
        <w:t>io</w:t>
      </w:r>
    </w:p>
    <w:p w14:paraId="7325E108" w14:textId="77777777" w:rsidR="00355CC0" w:rsidRDefault="00355CC0" w:rsidP="00355CC0">
      <w:pPr>
        <w:spacing w:line="360" w:lineRule="auto"/>
        <w:jc w:val="both"/>
        <w:rPr>
          <w:rFonts w:ascii="Arial" w:hAnsi="Arial" w:cs="Arial"/>
          <w:sz w:val="24"/>
          <w:szCs w:val="24"/>
        </w:rPr>
      </w:pPr>
      <w:r>
        <w:rPr>
          <w:rFonts w:ascii="Arial" w:hAnsi="Arial" w:cs="Arial"/>
          <w:sz w:val="24"/>
          <w:szCs w:val="24"/>
        </w:rPr>
        <w:t xml:space="preserve">Para medir o uso de pedágio, foi coletada a série da </w:t>
      </w:r>
      <w:r w:rsidRPr="009C5C82">
        <w:rPr>
          <w:rFonts w:ascii="Arial" w:hAnsi="Arial" w:cs="Arial"/>
          <w:sz w:val="24"/>
          <w:szCs w:val="24"/>
        </w:rPr>
        <w:t>Associação Brasileira de Concessionárias de Rodovias</w:t>
      </w:r>
      <w:r>
        <w:rPr>
          <w:rFonts w:ascii="Arial" w:hAnsi="Arial" w:cs="Arial"/>
          <w:sz w:val="24"/>
          <w:szCs w:val="24"/>
        </w:rPr>
        <w:t xml:space="preserve"> (ABCR). Mais especificamente, a série de veículos leves (carros, motocicletas e caminhonetes), a fim de restringir o estudo às famílias, ao invés de utilizar o índice cheio que engloba veículos pesados (caminhões, ônibus e tratores, típicos de atividade empresarial e/ou industrial).</w:t>
      </w:r>
    </w:p>
    <w:p w14:paraId="0F36ED6A" w14:textId="77777777" w:rsidR="00355CC0" w:rsidRDefault="00355CC0" w:rsidP="00355CC0">
      <w:pPr>
        <w:spacing w:line="360" w:lineRule="auto"/>
        <w:jc w:val="both"/>
        <w:rPr>
          <w:rFonts w:ascii="Arial" w:hAnsi="Arial" w:cs="Arial"/>
          <w:sz w:val="24"/>
          <w:szCs w:val="24"/>
        </w:rPr>
      </w:pPr>
      <w:r>
        <w:rPr>
          <w:rFonts w:ascii="Arial" w:hAnsi="Arial" w:cs="Arial"/>
          <w:sz w:val="24"/>
          <w:szCs w:val="24"/>
        </w:rPr>
        <w:t>A série é construída em um índice com base 1999 = 100 e data de 1999 a 2021.</w:t>
      </w:r>
    </w:p>
    <w:p w14:paraId="493EB893" w14:textId="77777777" w:rsidR="00355CC0" w:rsidRDefault="00355CC0" w:rsidP="00355CC0">
      <w:pPr>
        <w:spacing w:line="360" w:lineRule="auto"/>
        <w:jc w:val="both"/>
        <w:rPr>
          <w:rFonts w:ascii="Arial" w:hAnsi="Arial" w:cs="Arial"/>
          <w:sz w:val="24"/>
          <w:szCs w:val="24"/>
        </w:rPr>
      </w:pPr>
    </w:p>
    <w:p w14:paraId="063BBAAB" w14:textId="77777777" w:rsidR="00355CC0" w:rsidRPr="002909A1" w:rsidRDefault="00355CC0" w:rsidP="00355CC0">
      <w:pPr>
        <w:pStyle w:val="Caption"/>
        <w:keepNext/>
        <w:jc w:val="center"/>
        <w:rPr>
          <w:rFonts w:ascii="Arial" w:hAnsi="Arial" w:cs="Arial"/>
          <w:b/>
          <w:bCs/>
          <w:i w:val="0"/>
          <w:iCs w:val="0"/>
          <w:color w:val="auto"/>
          <w:sz w:val="24"/>
          <w:szCs w:val="24"/>
        </w:rPr>
      </w:pPr>
      <w:r w:rsidRPr="002909A1">
        <w:rPr>
          <w:rFonts w:ascii="Arial" w:hAnsi="Arial" w:cs="Arial"/>
          <w:b/>
          <w:bCs/>
          <w:i w:val="0"/>
          <w:iCs w:val="0"/>
          <w:color w:val="auto"/>
          <w:sz w:val="24"/>
          <w:szCs w:val="24"/>
        </w:rPr>
        <w:lastRenderedPageBreak/>
        <w:t xml:space="preserve">Figura </w:t>
      </w:r>
      <w:r w:rsidRPr="002909A1">
        <w:rPr>
          <w:rFonts w:ascii="Arial" w:hAnsi="Arial" w:cs="Arial"/>
          <w:b/>
          <w:bCs/>
          <w:i w:val="0"/>
          <w:iCs w:val="0"/>
          <w:color w:val="auto"/>
          <w:sz w:val="24"/>
          <w:szCs w:val="24"/>
        </w:rPr>
        <w:fldChar w:fldCharType="begin"/>
      </w:r>
      <w:r w:rsidRPr="002909A1">
        <w:rPr>
          <w:rFonts w:ascii="Arial" w:hAnsi="Arial" w:cs="Arial"/>
          <w:b/>
          <w:bCs/>
          <w:i w:val="0"/>
          <w:iCs w:val="0"/>
          <w:color w:val="auto"/>
          <w:sz w:val="24"/>
          <w:szCs w:val="24"/>
        </w:rPr>
        <w:instrText xml:space="preserve"> SEQ Figura \* ARABIC </w:instrText>
      </w:r>
      <w:r w:rsidRPr="002909A1">
        <w:rPr>
          <w:rFonts w:ascii="Arial" w:hAnsi="Arial" w:cs="Arial"/>
          <w:b/>
          <w:bCs/>
          <w:i w:val="0"/>
          <w:iCs w:val="0"/>
          <w:color w:val="auto"/>
          <w:sz w:val="24"/>
          <w:szCs w:val="24"/>
        </w:rPr>
        <w:fldChar w:fldCharType="separate"/>
      </w:r>
      <w:r>
        <w:rPr>
          <w:rFonts w:ascii="Arial" w:hAnsi="Arial" w:cs="Arial"/>
          <w:b/>
          <w:bCs/>
          <w:i w:val="0"/>
          <w:iCs w:val="0"/>
          <w:noProof/>
          <w:color w:val="auto"/>
          <w:sz w:val="24"/>
          <w:szCs w:val="24"/>
        </w:rPr>
        <w:t>9</w:t>
      </w:r>
      <w:r w:rsidRPr="002909A1">
        <w:rPr>
          <w:rFonts w:ascii="Arial" w:hAnsi="Arial" w:cs="Arial"/>
          <w:b/>
          <w:bCs/>
          <w:i w:val="0"/>
          <w:iCs w:val="0"/>
          <w:color w:val="auto"/>
          <w:sz w:val="24"/>
          <w:szCs w:val="24"/>
        </w:rPr>
        <w:fldChar w:fldCharType="end"/>
      </w:r>
      <w:r w:rsidRPr="002909A1">
        <w:rPr>
          <w:rFonts w:ascii="Arial" w:hAnsi="Arial" w:cs="Arial"/>
          <w:b/>
          <w:bCs/>
          <w:i w:val="0"/>
          <w:iCs w:val="0"/>
          <w:color w:val="auto"/>
          <w:sz w:val="24"/>
          <w:szCs w:val="24"/>
        </w:rPr>
        <w:t xml:space="preserve">: </w:t>
      </w:r>
      <w:r>
        <w:rPr>
          <w:rFonts w:ascii="Arial" w:hAnsi="Arial" w:cs="Arial"/>
          <w:b/>
          <w:bCs/>
          <w:i w:val="0"/>
          <w:iCs w:val="0"/>
          <w:color w:val="auto"/>
          <w:sz w:val="24"/>
          <w:szCs w:val="24"/>
        </w:rPr>
        <w:t>Fluxo pedagiado de veículos leves (1999 = 100)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6"/>
      </w:tblGrid>
      <w:tr w:rsidR="00355CC0" w14:paraId="6CF7A079" w14:textId="77777777" w:rsidTr="002019E5">
        <w:trPr>
          <w:jc w:val="center"/>
        </w:trPr>
        <w:tc>
          <w:tcPr>
            <w:tcW w:w="7956" w:type="dxa"/>
          </w:tcPr>
          <w:p w14:paraId="3C74EEBD" w14:textId="77777777" w:rsidR="00355CC0" w:rsidRDefault="00355CC0" w:rsidP="002019E5">
            <w:pPr>
              <w:keepNext/>
              <w:spacing w:line="360" w:lineRule="auto"/>
              <w:jc w:val="both"/>
              <w:rPr>
                <w:rFonts w:ascii="Arial" w:hAnsi="Arial" w:cs="Arial"/>
                <w:sz w:val="24"/>
                <w:szCs w:val="24"/>
              </w:rPr>
            </w:pPr>
            <w:r w:rsidRPr="00B8322B">
              <w:rPr>
                <w:rFonts w:ascii="Arial" w:hAnsi="Arial" w:cs="Arial"/>
                <w:noProof/>
                <w:sz w:val="24"/>
                <w:szCs w:val="24"/>
              </w:rPr>
              <w:drawing>
                <wp:anchor distT="0" distB="0" distL="114300" distR="114300" simplePos="0" relativeHeight="251662336" behindDoc="0" locked="0" layoutInCell="1" allowOverlap="1" wp14:anchorId="42D04C1F" wp14:editId="4C05182E">
                  <wp:simplePos x="0" y="0"/>
                  <wp:positionH relativeFrom="column">
                    <wp:posOffset>1270</wp:posOffset>
                  </wp:positionH>
                  <wp:positionV relativeFrom="paragraph">
                    <wp:posOffset>0</wp:posOffset>
                  </wp:positionV>
                  <wp:extent cx="4581525" cy="28670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2867025"/>
                          </a:xfrm>
                          <a:prstGeom prst="rect">
                            <a:avLst/>
                          </a:prstGeom>
                          <a:noFill/>
                          <a:ln>
                            <a:noFill/>
                          </a:ln>
                        </pic:spPr>
                      </pic:pic>
                    </a:graphicData>
                  </a:graphic>
                </wp:anchor>
              </w:drawing>
            </w:r>
          </w:p>
        </w:tc>
      </w:tr>
    </w:tbl>
    <w:p w14:paraId="72D43DA9" w14:textId="77777777" w:rsidR="00355CC0" w:rsidRPr="002909A1" w:rsidRDefault="00355CC0" w:rsidP="00355CC0">
      <w:pPr>
        <w:pStyle w:val="Caption"/>
        <w:jc w:val="center"/>
        <w:rPr>
          <w:rFonts w:ascii="Arial" w:hAnsi="Arial" w:cs="Arial"/>
          <w:i w:val="0"/>
          <w:iCs w:val="0"/>
          <w:color w:val="auto"/>
          <w:sz w:val="36"/>
          <w:szCs w:val="36"/>
        </w:rPr>
      </w:pPr>
      <w:r w:rsidRPr="002909A1">
        <w:rPr>
          <w:rFonts w:ascii="Arial" w:hAnsi="Arial" w:cs="Arial"/>
          <w:i w:val="0"/>
          <w:iCs w:val="0"/>
          <w:color w:val="auto"/>
          <w:sz w:val="24"/>
          <w:szCs w:val="24"/>
        </w:rPr>
        <w:t xml:space="preserve">Fonte: </w:t>
      </w:r>
      <w:r>
        <w:rPr>
          <w:rFonts w:ascii="Arial" w:hAnsi="Arial" w:cs="Arial"/>
          <w:i w:val="0"/>
          <w:iCs w:val="0"/>
          <w:color w:val="auto"/>
          <w:sz w:val="24"/>
          <w:szCs w:val="24"/>
        </w:rPr>
        <w:t>ABCR</w:t>
      </w:r>
      <w:r w:rsidRPr="002909A1">
        <w:rPr>
          <w:rFonts w:ascii="Arial" w:hAnsi="Arial" w:cs="Arial"/>
          <w:i w:val="0"/>
          <w:iCs w:val="0"/>
          <w:color w:val="auto"/>
          <w:sz w:val="24"/>
          <w:szCs w:val="24"/>
        </w:rPr>
        <w:t>, Cálculos próprios</w:t>
      </w:r>
    </w:p>
    <w:p w14:paraId="534E7866" w14:textId="77777777" w:rsidR="00355CC0" w:rsidRDefault="00355CC0" w:rsidP="00355CC0">
      <w:pPr>
        <w:spacing w:line="360" w:lineRule="auto"/>
        <w:jc w:val="both"/>
        <w:rPr>
          <w:rFonts w:ascii="Arial" w:hAnsi="Arial" w:cs="Arial"/>
          <w:sz w:val="24"/>
          <w:szCs w:val="24"/>
        </w:rPr>
      </w:pPr>
    </w:p>
    <w:p w14:paraId="046DD293" w14:textId="77777777" w:rsidR="00355CC0" w:rsidRDefault="00355CC0" w:rsidP="00355CC0">
      <w:pPr>
        <w:spacing w:line="360" w:lineRule="auto"/>
        <w:jc w:val="both"/>
        <w:rPr>
          <w:rFonts w:ascii="Arial" w:hAnsi="Arial" w:cs="Arial"/>
          <w:sz w:val="24"/>
          <w:szCs w:val="24"/>
        </w:rPr>
      </w:pPr>
      <w:r>
        <w:rPr>
          <w:rFonts w:ascii="Arial" w:hAnsi="Arial" w:cs="Arial"/>
          <w:sz w:val="24"/>
          <w:szCs w:val="24"/>
        </w:rPr>
        <w:t xml:space="preserve">Os </w:t>
      </w:r>
      <w:r>
        <w:rPr>
          <w:rFonts w:ascii="Arial" w:hAnsi="Arial" w:cs="Arial"/>
          <w:i/>
          <w:iCs/>
          <w:sz w:val="24"/>
          <w:szCs w:val="24"/>
        </w:rPr>
        <w:t>spikes</w:t>
      </w:r>
      <w:r>
        <w:rPr>
          <w:rFonts w:ascii="Arial" w:hAnsi="Arial" w:cs="Arial"/>
          <w:sz w:val="24"/>
          <w:szCs w:val="24"/>
        </w:rPr>
        <w:t xml:space="preserve"> sazonais são todos em dezembro, provavelmente dado à época das festas de final de ano e o maior deslocamento para viagens, etc. A maior queda de 2020 aconteceu em abril.</w:t>
      </w:r>
    </w:p>
    <w:p w14:paraId="04340C00" w14:textId="77777777" w:rsidR="00355CC0" w:rsidRDefault="00355CC0" w:rsidP="00355CC0">
      <w:pPr>
        <w:spacing w:line="360" w:lineRule="auto"/>
        <w:jc w:val="both"/>
        <w:rPr>
          <w:rFonts w:ascii="Arial" w:hAnsi="Arial" w:cs="Arial"/>
          <w:sz w:val="24"/>
          <w:szCs w:val="24"/>
        </w:rPr>
      </w:pPr>
    </w:p>
    <w:p w14:paraId="5BBD111F" w14:textId="106B6BDD" w:rsidR="00355CC0" w:rsidRPr="00F3628E" w:rsidRDefault="002B4AD7" w:rsidP="00355CC0">
      <w:pPr>
        <w:spacing w:line="360" w:lineRule="auto"/>
        <w:jc w:val="both"/>
        <w:rPr>
          <w:rFonts w:ascii="Arial" w:hAnsi="Arial" w:cs="Arial"/>
          <w:b/>
          <w:bCs/>
          <w:sz w:val="24"/>
          <w:szCs w:val="24"/>
        </w:rPr>
      </w:pPr>
      <w:r>
        <w:rPr>
          <w:rFonts w:ascii="Arial" w:hAnsi="Arial" w:cs="Arial"/>
          <w:b/>
          <w:bCs/>
          <w:sz w:val="24"/>
          <w:szCs w:val="24"/>
        </w:rPr>
        <w:t>3.1.2.</w:t>
      </w:r>
      <w:r w:rsidR="00355CC0">
        <w:rPr>
          <w:rFonts w:ascii="Arial" w:hAnsi="Arial" w:cs="Arial"/>
          <w:b/>
          <w:bCs/>
          <w:sz w:val="24"/>
          <w:szCs w:val="24"/>
        </w:rPr>
        <w:t>5 Gasolina</w:t>
      </w:r>
    </w:p>
    <w:p w14:paraId="7F46CA25" w14:textId="77777777" w:rsidR="00355CC0" w:rsidRPr="009C5C82" w:rsidRDefault="00355CC0" w:rsidP="00355CC0">
      <w:pPr>
        <w:spacing w:line="360" w:lineRule="auto"/>
        <w:jc w:val="both"/>
        <w:rPr>
          <w:rFonts w:ascii="Arial" w:hAnsi="Arial" w:cs="Arial"/>
          <w:sz w:val="24"/>
          <w:szCs w:val="24"/>
        </w:rPr>
      </w:pPr>
      <w:r>
        <w:rPr>
          <w:rFonts w:ascii="Arial" w:hAnsi="Arial" w:cs="Arial"/>
          <w:sz w:val="24"/>
          <w:szCs w:val="24"/>
        </w:rPr>
        <w:t xml:space="preserve">Foi utilizada uma série da </w:t>
      </w:r>
      <w:r w:rsidRPr="005A4CE3">
        <w:rPr>
          <w:rFonts w:ascii="Arial" w:hAnsi="Arial" w:cs="Arial"/>
          <w:sz w:val="24"/>
          <w:szCs w:val="24"/>
        </w:rPr>
        <w:t>Agência Nacional do Petróleo, Gás Natural e Biocombustíve</w:t>
      </w:r>
      <w:r>
        <w:rPr>
          <w:rFonts w:ascii="Arial" w:hAnsi="Arial" w:cs="Arial"/>
          <w:sz w:val="24"/>
          <w:szCs w:val="24"/>
        </w:rPr>
        <w:t>is (ANP) de consumo aparente</w:t>
      </w:r>
      <w:r>
        <w:rPr>
          <w:rStyle w:val="FootnoteReference"/>
          <w:rFonts w:ascii="Arial" w:hAnsi="Arial" w:cs="Arial"/>
          <w:sz w:val="24"/>
          <w:szCs w:val="24"/>
        </w:rPr>
        <w:footnoteReference w:id="1"/>
      </w:r>
      <w:r>
        <w:rPr>
          <w:rFonts w:ascii="Arial" w:hAnsi="Arial" w:cs="Arial"/>
          <w:sz w:val="24"/>
          <w:szCs w:val="24"/>
        </w:rPr>
        <w:t xml:space="preserve"> de gasolina como base para o consumo de gasolina ao longo do tempo. </w:t>
      </w:r>
    </w:p>
    <w:p w14:paraId="59C5DF42" w14:textId="77777777" w:rsidR="00355CC0" w:rsidRDefault="00355CC0" w:rsidP="00355CC0">
      <w:pPr>
        <w:spacing w:line="360" w:lineRule="auto"/>
        <w:rPr>
          <w:rFonts w:ascii="Arial" w:hAnsi="Arial" w:cs="Arial"/>
          <w:sz w:val="24"/>
          <w:szCs w:val="24"/>
        </w:rPr>
      </w:pPr>
      <w:r>
        <w:rPr>
          <w:rFonts w:ascii="Arial" w:hAnsi="Arial" w:cs="Arial"/>
          <w:sz w:val="24"/>
          <w:szCs w:val="24"/>
        </w:rPr>
        <w:t>A série data de 1979, a mais antiga do conjunto, até 2021, e é medida em quantidade média de barris.</w:t>
      </w:r>
    </w:p>
    <w:p w14:paraId="1712BD86" w14:textId="77777777" w:rsidR="00355CC0" w:rsidRPr="002909A1" w:rsidRDefault="00355CC0" w:rsidP="00355CC0">
      <w:pPr>
        <w:pStyle w:val="Caption"/>
        <w:keepNext/>
        <w:jc w:val="center"/>
        <w:rPr>
          <w:rFonts w:ascii="Arial" w:hAnsi="Arial" w:cs="Arial"/>
          <w:b/>
          <w:bCs/>
          <w:i w:val="0"/>
          <w:iCs w:val="0"/>
          <w:color w:val="auto"/>
          <w:sz w:val="24"/>
          <w:szCs w:val="24"/>
        </w:rPr>
      </w:pPr>
      <w:r w:rsidRPr="002909A1">
        <w:rPr>
          <w:rFonts w:ascii="Arial" w:hAnsi="Arial" w:cs="Arial"/>
          <w:b/>
          <w:bCs/>
          <w:i w:val="0"/>
          <w:iCs w:val="0"/>
          <w:color w:val="auto"/>
          <w:sz w:val="24"/>
          <w:szCs w:val="24"/>
        </w:rPr>
        <w:lastRenderedPageBreak/>
        <w:t xml:space="preserve">Figura </w:t>
      </w:r>
      <w:r w:rsidRPr="002909A1">
        <w:rPr>
          <w:rFonts w:ascii="Arial" w:hAnsi="Arial" w:cs="Arial"/>
          <w:b/>
          <w:bCs/>
          <w:i w:val="0"/>
          <w:iCs w:val="0"/>
          <w:color w:val="auto"/>
          <w:sz w:val="24"/>
          <w:szCs w:val="24"/>
        </w:rPr>
        <w:fldChar w:fldCharType="begin"/>
      </w:r>
      <w:r w:rsidRPr="002909A1">
        <w:rPr>
          <w:rFonts w:ascii="Arial" w:hAnsi="Arial" w:cs="Arial"/>
          <w:b/>
          <w:bCs/>
          <w:i w:val="0"/>
          <w:iCs w:val="0"/>
          <w:color w:val="auto"/>
          <w:sz w:val="24"/>
          <w:szCs w:val="24"/>
        </w:rPr>
        <w:instrText xml:space="preserve"> SEQ Figura \* ARABIC </w:instrText>
      </w:r>
      <w:r w:rsidRPr="002909A1">
        <w:rPr>
          <w:rFonts w:ascii="Arial" w:hAnsi="Arial" w:cs="Arial"/>
          <w:b/>
          <w:bCs/>
          <w:i w:val="0"/>
          <w:iCs w:val="0"/>
          <w:color w:val="auto"/>
          <w:sz w:val="24"/>
          <w:szCs w:val="24"/>
        </w:rPr>
        <w:fldChar w:fldCharType="separate"/>
      </w:r>
      <w:r>
        <w:rPr>
          <w:rFonts w:ascii="Arial" w:hAnsi="Arial" w:cs="Arial"/>
          <w:b/>
          <w:bCs/>
          <w:i w:val="0"/>
          <w:iCs w:val="0"/>
          <w:noProof/>
          <w:color w:val="auto"/>
          <w:sz w:val="24"/>
          <w:szCs w:val="24"/>
        </w:rPr>
        <w:t>10</w:t>
      </w:r>
      <w:r w:rsidRPr="002909A1">
        <w:rPr>
          <w:rFonts w:ascii="Arial" w:hAnsi="Arial" w:cs="Arial"/>
          <w:b/>
          <w:bCs/>
          <w:i w:val="0"/>
          <w:iCs w:val="0"/>
          <w:color w:val="auto"/>
          <w:sz w:val="24"/>
          <w:szCs w:val="24"/>
        </w:rPr>
        <w:fldChar w:fldCharType="end"/>
      </w:r>
      <w:r w:rsidRPr="002909A1">
        <w:rPr>
          <w:rFonts w:ascii="Arial" w:hAnsi="Arial" w:cs="Arial"/>
          <w:b/>
          <w:bCs/>
          <w:i w:val="0"/>
          <w:iCs w:val="0"/>
          <w:color w:val="auto"/>
          <w:sz w:val="24"/>
          <w:szCs w:val="24"/>
        </w:rPr>
        <w:t xml:space="preserve">: </w:t>
      </w:r>
      <w:r>
        <w:rPr>
          <w:rFonts w:ascii="Arial" w:hAnsi="Arial" w:cs="Arial"/>
          <w:b/>
          <w:bCs/>
          <w:i w:val="0"/>
          <w:iCs w:val="0"/>
          <w:color w:val="auto"/>
          <w:sz w:val="24"/>
          <w:szCs w:val="24"/>
        </w:rPr>
        <w:t>Consumo aparente de gasolina (mil barris)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6"/>
      </w:tblGrid>
      <w:tr w:rsidR="00355CC0" w14:paraId="48BD0AC8" w14:textId="77777777" w:rsidTr="002019E5">
        <w:trPr>
          <w:jc w:val="center"/>
        </w:trPr>
        <w:tc>
          <w:tcPr>
            <w:tcW w:w="7956" w:type="dxa"/>
          </w:tcPr>
          <w:p w14:paraId="44FD694A" w14:textId="77777777" w:rsidR="00355CC0" w:rsidRDefault="00355CC0" w:rsidP="002019E5">
            <w:pPr>
              <w:keepNext/>
              <w:spacing w:line="360" w:lineRule="auto"/>
              <w:jc w:val="both"/>
              <w:rPr>
                <w:rFonts w:ascii="Arial" w:hAnsi="Arial" w:cs="Arial"/>
                <w:sz w:val="24"/>
                <w:szCs w:val="24"/>
              </w:rPr>
            </w:pPr>
            <w:r w:rsidRPr="005A4CE3">
              <w:rPr>
                <w:rFonts w:ascii="Arial" w:hAnsi="Arial" w:cs="Arial"/>
                <w:noProof/>
                <w:sz w:val="24"/>
                <w:szCs w:val="24"/>
              </w:rPr>
              <w:drawing>
                <wp:anchor distT="0" distB="0" distL="114300" distR="114300" simplePos="0" relativeHeight="251663360" behindDoc="0" locked="0" layoutInCell="1" allowOverlap="1" wp14:anchorId="7A7D6B28" wp14:editId="3884E48E">
                  <wp:simplePos x="0" y="0"/>
                  <wp:positionH relativeFrom="column">
                    <wp:posOffset>1270</wp:posOffset>
                  </wp:positionH>
                  <wp:positionV relativeFrom="paragraph">
                    <wp:posOffset>0</wp:posOffset>
                  </wp:positionV>
                  <wp:extent cx="4581525" cy="286702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2867025"/>
                          </a:xfrm>
                          <a:prstGeom prst="rect">
                            <a:avLst/>
                          </a:prstGeom>
                          <a:noFill/>
                          <a:ln>
                            <a:noFill/>
                          </a:ln>
                        </pic:spPr>
                      </pic:pic>
                    </a:graphicData>
                  </a:graphic>
                </wp:anchor>
              </w:drawing>
            </w:r>
          </w:p>
        </w:tc>
      </w:tr>
    </w:tbl>
    <w:p w14:paraId="17537EC3" w14:textId="77777777" w:rsidR="00355CC0" w:rsidRPr="002909A1" w:rsidRDefault="00355CC0" w:rsidP="00355CC0">
      <w:pPr>
        <w:pStyle w:val="Caption"/>
        <w:jc w:val="center"/>
        <w:rPr>
          <w:rFonts w:ascii="Arial" w:hAnsi="Arial" w:cs="Arial"/>
          <w:i w:val="0"/>
          <w:iCs w:val="0"/>
          <w:color w:val="auto"/>
          <w:sz w:val="36"/>
          <w:szCs w:val="36"/>
        </w:rPr>
      </w:pPr>
      <w:r w:rsidRPr="002909A1">
        <w:rPr>
          <w:rFonts w:ascii="Arial" w:hAnsi="Arial" w:cs="Arial"/>
          <w:i w:val="0"/>
          <w:iCs w:val="0"/>
          <w:color w:val="auto"/>
          <w:sz w:val="24"/>
          <w:szCs w:val="24"/>
        </w:rPr>
        <w:t xml:space="preserve">Fonte: </w:t>
      </w:r>
      <w:r>
        <w:rPr>
          <w:rFonts w:ascii="Arial" w:hAnsi="Arial" w:cs="Arial"/>
          <w:i w:val="0"/>
          <w:iCs w:val="0"/>
          <w:color w:val="auto"/>
          <w:sz w:val="24"/>
          <w:szCs w:val="24"/>
        </w:rPr>
        <w:t>ANP</w:t>
      </w:r>
      <w:r w:rsidRPr="002909A1">
        <w:rPr>
          <w:rFonts w:ascii="Arial" w:hAnsi="Arial" w:cs="Arial"/>
          <w:i w:val="0"/>
          <w:iCs w:val="0"/>
          <w:color w:val="auto"/>
          <w:sz w:val="24"/>
          <w:szCs w:val="24"/>
        </w:rPr>
        <w:t>, Cálculos próprios</w:t>
      </w:r>
    </w:p>
    <w:p w14:paraId="7932CC16" w14:textId="6A8C2F3D" w:rsidR="00355CC0" w:rsidRDefault="00355CC0" w:rsidP="00355CC0">
      <w:pPr>
        <w:spacing w:line="360" w:lineRule="auto"/>
        <w:rPr>
          <w:rFonts w:ascii="Arial" w:hAnsi="Arial" w:cs="Arial"/>
          <w:sz w:val="24"/>
          <w:szCs w:val="24"/>
        </w:rPr>
      </w:pPr>
    </w:p>
    <w:p w14:paraId="1EFD2A67" w14:textId="3C8B3796" w:rsidR="002B4AD7" w:rsidRDefault="002B4AD7" w:rsidP="00355CC0">
      <w:pPr>
        <w:spacing w:line="360" w:lineRule="auto"/>
        <w:rPr>
          <w:rFonts w:ascii="Arial" w:hAnsi="Arial" w:cs="Arial"/>
          <w:sz w:val="24"/>
          <w:szCs w:val="24"/>
        </w:rPr>
      </w:pPr>
      <w:r>
        <w:rPr>
          <w:rFonts w:ascii="Arial" w:hAnsi="Arial" w:cs="Arial"/>
          <w:sz w:val="24"/>
          <w:szCs w:val="24"/>
        </w:rPr>
        <w:t>Outra série possível seria o subgrupo “Combustíveis e lubrificantes” da PMC.</w:t>
      </w:r>
    </w:p>
    <w:p w14:paraId="2BA16AD5" w14:textId="77777777" w:rsidR="002B4AD7" w:rsidRDefault="002B4AD7" w:rsidP="00355CC0">
      <w:pPr>
        <w:spacing w:line="360" w:lineRule="auto"/>
        <w:rPr>
          <w:rFonts w:ascii="Arial" w:hAnsi="Arial" w:cs="Arial"/>
          <w:sz w:val="24"/>
          <w:szCs w:val="24"/>
        </w:rPr>
      </w:pPr>
    </w:p>
    <w:p w14:paraId="2CCC729C" w14:textId="302A9798" w:rsidR="00355CC0" w:rsidRDefault="002B4AD7" w:rsidP="00355CC0">
      <w:pPr>
        <w:spacing w:line="360" w:lineRule="auto"/>
        <w:jc w:val="both"/>
        <w:rPr>
          <w:rFonts w:ascii="Arial" w:hAnsi="Arial" w:cs="Arial"/>
          <w:b/>
          <w:bCs/>
          <w:sz w:val="24"/>
          <w:szCs w:val="24"/>
        </w:rPr>
      </w:pPr>
      <w:r>
        <w:rPr>
          <w:rFonts w:ascii="Arial" w:hAnsi="Arial" w:cs="Arial"/>
          <w:b/>
          <w:bCs/>
          <w:sz w:val="24"/>
          <w:szCs w:val="24"/>
        </w:rPr>
        <w:t>3.1.2</w:t>
      </w:r>
      <w:r w:rsidR="00355CC0">
        <w:rPr>
          <w:rFonts w:ascii="Arial" w:hAnsi="Arial" w:cs="Arial"/>
          <w:b/>
          <w:bCs/>
          <w:sz w:val="24"/>
          <w:szCs w:val="24"/>
        </w:rPr>
        <w:t>.6 Produtos farmacêuticos</w:t>
      </w:r>
    </w:p>
    <w:p w14:paraId="3A55A603" w14:textId="77777777" w:rsidR="00355CC0" w:rsidRDefault="00355CC0" w:rsidP="00355CC0">
      <w:pPr>
        <w:spacing w:line="360" w:lineRule="auto"/>
        <w:jc w:val="both"/>
        <w:rPr>
          <w:rFonts w:ascii="Arial" w:hAnsi="Arial" w:cs="Arial"/>
          <w:sz w:val="24"/>
          <w:szCs w:val="24"/>
        </w:rPr>
      </w:pPr>
      <w:r>
        <w:rPr>
          <w:rFonts w:ascii="Arial" w:hAnsi="Arial" w:cs="Arial"/>
          <w:sz w:val="24"/>
          <w:szCs w:val="24"/>
        </w:rPr>
        <w:t xml:space="preserve">Para produtos farmacêuticos, que no IPCA corresponde a 14 tipos de remédios e produtos em geral, foi utilizada a série de vendas do mercado total (Brasil) do </w:t>
      </w:r>
      <w:r w:rsidRPr="00525DD9">
        <w:rPr>
          <w:rFonts w:ascii="Arial" w:hAnsi="Arial" w:cs="Arial"/>
          <w:sz w:val="24"/>
          <w:szCs w:val="24"/>
        </w:rPr>
        <w:t>Sindicato da Indústria de Produtos Farmacêuticos no Estado de São Paulo</w:t>
      </w:r>
      <w:r>
        <w:rPr>
          <w:rFonts w:ascii="Arial" w:hAnsi="Arial" w:cs="Arial"/>
          <w:sz w:val="24"/>
          <w:szCs w:val="24"/>
        </w:rPr>
        <w:t xml:space="preserve"> (Sindusfarma). A série tem periodicidade mensal e é medida em quantum (unidades de caixa).</w:t>
      </w:r>
    </w:p>
    <w:p w14:paraId="02CE84AE" w14:textId="77777777" w:rsidR="00355CC0" w:rsidRDefault="00355CC0" w:rsidP="00355CC0">
      <w:pPr>
        <w:spacing w:line="360" w:lineRule="auto"/>
        <w:jc w:val="both"/>
        <w:rPr>
          <w:rFonts w:ascii="Arial" w:hAnsi="Arial" w:cs="Arial"/>
          <w:sz w:val="24"/>
          <w:szCs w:val="24"/>
        </w:rPr>
      </w:pPr>
    </w:p>
    <w:p w14:paraId="47C4B48B" w14:textId="77777777" w:rsidR="00355CC0" w:rsidRPr="002909A1" w:rsidRDefault="00355CC0" w:rsidP="00355CC0">
      <w:pPr>
        <w:pStyle w:val="Caption"/>
        <w:keepNext/>
        <w:jc w:val="center"/>
        <w:rPr>
          <w:rFonts w:ascii="Arial" w:hAnsi="Arial" w:cs="Arial"/>
          <w:b/>
          <w:bCs/>
          <w:i w:val="0"/>
          <w:iCs w:val="0"/>
          <w:color w:val="auto"/>
          <w:sz w:val="24"/>
          <w:szCs w:val="24"/>
        </w:rPr>
      </w:pPr>
      <w:r w:rsidRPr="002909A1">
        <w:rPr>
          <w:rFonts w:ascii="Arial" w:hAnsi="Arial" w:cs="Arial"/>
          <w:b/>
          <w:bCs/>
          <w:i w:val="0"/>
          <w:iCs w:val="0"/>
          <w:color w:val="auto"/>
          <w:sz w:val="24"/>
          <w:szCs w:val="24"/>
        </w:rPr>
        <w:lastRenderedPageBreak/>
        <w:t xml:space="preserve">Figura </w:t>
      </w:r>
      <w:r w:rsidRPr="002909A1">
        <w:rPr>
          <w:rFonts w:ascii="Arial" w:hAnsi="Arial" w:cs="Arial"/>
          <w:b/>
          <w:bCs/>
          <w:i w:val="0"/>
          <w:iCs w:val="0"/>
          <w:color w:val="auto"/>
          <w:sz w:val="24"/>
          <w:szCs w:val="24"/>
        </w:rPr>
        <w:fldChar w:fldCharType="begin"/>
      </w:r>
      <w:r w:rsidRPr="002909A1">
        <w:rPr>
          <w:rFonts w:ascii="Arial" w:hAnsi="Arial" w:cs="Arial"/>
          <w:b/>
          <w:bCs/>
          <w:i w:val="0"/>
          <w:iCs w:val="0"/>
          <w:color w:val="auto"/>
          <w:sz w:val="24"/>
          <w:szCs w:val="24"/>
        </w:rPr>
        <w:instrText xml:space="preserve"> SEQ Figura \* ARABIC </w:instrText>
      </w:r>
      <w:r w:rsidRPr="002909A1">
        <w:rPr>
          <w:rFonts w:ascii="Arial" w:hAnsi="Arial" w:cs="Arial"/>
          <w:b/>
          <w:bCs/>
          <w:i w:val="0"/>
          <w:iCs w:val="0"/>
          <w:color w:val="auto"/>
          <w:sz w:val="24"/>
          <w:szCs w:val="24"/>
        </w:rPr>
        <w:fldChar w:fldCharType="separate"/>
      </w:r>
      <w:r>
        <w:rPr>
          <w:rFonts w:ascii="Arial" w:hAnsi="Arial" w:cs="Arial"/>
          <w:b/>
          <w:bCs/>
          <w:i w:val="0"/>
          <w:iCs w:val="0"/>
          <w:noProof/>
          <w:color w:val="auto"/>
          <w:sz w:val="24"/>
          <w:szCs w:val="24"/>
        </w:rPr>
        <w:t>11</w:t>
      </w:r>
      <w:r w:rsidRPr="002909A1">
        <w:rPr>
          <w:rFonts w:ascii="Arial" w:hAnsi="Arial" w:cs="Arial"/>
          <w:b/>
          <w:bCs/>
          <w:i w:val="0"/>
          <w:iCs w:val="0"/>
          <w:color w:val="auto"/>
          <w:sz w:val="24"/>
          <w:szCs w:val="24"/>
        </w:rPr>
        <w:fldChar w:fldCharType="end"/>
      </w:r>
      <w:r w:rsidRPr="002909A1">
        <w:rPr>
          <w:rFonts w:ascii="Arial" w:hAnsi="Arial" w:cs="Arial"/>
          <w:b/>
          <w:bCs/>
          <w:i w:val="0"/>
          <w:iCs w:val="0"/>
          <w:color w:val="auto"/>
          <w:sz w:val="24"/>
          <w:szCs w:val="24"/>
        </w:rPr>
        <w:t xml:space="preserve">: </w:t>
      </w:r>
      <w:r>
        <w:rPr>
          <w:rFonts w:ascii="Arial" w:hAnsi="Arial" w:cs="Arial"/>
          <w:b/>
          <w:bCs/>
          <w:i w:val="0"/>
          <w:iCs w:val="0"/>
          <w:color w:val="auto"/>
          <w:sz w:val="24"/>
          <w:szCs w:val="24"/>
        </w:rPr>
        <w:t>Vendas do mercado total (unidades de caixa)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6"/>
      </w:tblGrid>
      <w:tr w:rsidR="00355CC0" w14:paraId="53E13D07" w14:textId="77777777" w:rsidTr="002019E5">
        <w:trPr>
          <w:jc w:val="center"/>
        </w:trPr>
        <w:tc>
          <w:tcPr>
            <w:tcW w:w="7956" w:type="dxa"/>
          </w:tcPr>
          <w:p w14:paraId="604F0E37" w14:textId="77777777" w:rsidR="00355CC0" w:rsidRDefault="00355CC0" w:rsidP="002019E5">
            <w:pPr>
              <w:keepNext/>
              <w:spacing w:line="360" w:lineRule="auto"/>
              <w:jc w:val="both"/>
              <w:rPr>
                <w:rFonts w:ascii="Arial" w:hAnsi="Arial" w:cs="Arial"/>
                <w:sz w:val="24"/>
                <w:szCs w:val="24"/>
              </w:rPr>
            </w:pPr>
            <w:r w:rsidRPr="00525DD9">
              <w:rPr>
                <w:rFonts w:ascii="Arial" w:hAnsi="Arial" w:cs="Arial"/>
                <w:noProof/>
                <w:sz w:val="24"/>
                <w:szCs w:val="24"/>
              </w:rPr>
              <w:drawing>
                <wp:anchor distT="0" distB="0" distL="114300" distR="114300" simplePos="0" relativeHeight="251664384" behindDoc="0" locked="0" layoutInCell="1" allowOverlap="1" wp14:anchorId="5D40DB59" wp14:editId="1C2BD547">
                  <wp:simplePos x="0" y="0"/>
                  <wp:positionH relativeFrom="column">
                    <wp:posOffset>1270</wp:posOffset>
                  </wp:positionH>
                  <wp:positionV relativeFrom="paragraph">
                    <wp:posOffset>0</wp:posOffset>
                  </wp:positionV>
                  <wp:extent cx="5057775" cy="285750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2857500"/>
                          </a:xfrm>
                          <a:prstGeom prst="rect">
                            <a:avLst/>
                          </a:prstGeom>
                          <a:noFill/>
                          <a:ln>
                            <a:noFill/>
                          </a:ln>
                        </pic:spPr>
                      </pic:pic>
                    </a:graphicData>
                  </a:graphic>
                </wp:anchor>
              </w:drawing>
            </w:r>
          </w:p>
        </w:tc>
      </w:tr>
    </w:tbl>
    <w:p w14:paraId="02EF28B6" w14:textId="77777777" w:rsidR="00355CC0" w:rsidRPr="002909A1" w:rsidRDefault="00355CC0" w:rsidP="00355CC0">
      <w:pPr>
        <w:pStyle w:val="Caption"/>
        <w:jc w:val="center"/>
        <w:rPr>
          <w:rFonts w:ascii="Arial" w:hAnsi="Arial" w:cs="Arial"/>
          <w:i w:val="0"/>
          <w:iCs w:val="0"/>
          <w:color w:val="auto"/>
          <w:sz w:val="36"/>
          <w:szCs w:val="36"/>
        </w:rPr>
      </w:pPr>
      <w:r w:rsidRPr="002909A1">
        <w:rPr>
          <w:rFonts w:ascii="Arial" w:hAnsi="Arial" w:cs="Arial"/>
          <w:i w:val="0"/>
          <w:iCs w:val="0"/>
          <w:color w:val="auto"/>
          <w:sz w:val="24"/>
          <w:szCs w:val="24"/>
        </w:rPr>
        <w:t xml:space="preserve">Fonte: </w:t>
      </w:r>
      <w:r>
        <w:rPr>
          <w:rFonts w:ascii="Arial" w:hAnsi="Arial" w:cs="Arial"/>
          <w:i w:val="0"/>
          <w:iCs w:val="0"/>
          <w:color w:val="auto"/>
          <w:sz w:val="24"/>
          <w:szCs w:val="24"/>
        </w:rPr>
        <w:t>Sindusfarma</w:t>
      </w:r>
      <w:r w:rsidRPr="002909A1">
        <w:rPr>
          <w:rFonts w:ascii="Arial" w:hAnsi="Arial" w:cs="Arial"/>
          <w:i w:val="0"/>
          <w:iCs w:val="0"/>
          <w:color w:val="auto"/>
          <w:sz w:val="24"/>
          <w:szCs w:val="24"/>
        </w:rPr>
        <w:t>, Cálculos próprios</w:t>
      </w:r>
    </w:p>
    <w:p w14:paraId="2BF98890" w14:textId="77777777" w:rsidR="00355CC0" w:rsidRPr="005A4CE3" w:rsidRDefault="00355CC0" w:rsidP="00355CC0">
      <w:pPr>
        <w:spacing w:line="360" w:lineRule="auto"/>
        <w:jc w:val="both"/>
        <w:rPr>
          <w:rFonts w:ascii="Arial" w:hAnsi="Arial" w:cs="Arial"/>
          <w:sz w:val="24"/>
          <w:szCs w:val="24"/>
        </w:rPr>
      </w:pPr>
    </w:p>
    <w:p w14:paraId="1EF8C9DE" w14:textId="0D537872" w:rsidR="00355CC0" w:rsidRDefault="00355CC0" w:rsidP="00355CC0">
      <w:pPr>
        <w:spacing w:line="360" w:lineRule="auto"/>
        <w:jc w:val="both"/>
        <w:rPr>
          <w:rFonts w:ascii="Arial" w:hAnsi="Arial" w:cs="Arial"/>
          <w:sz w:val="24"/>
          <w:szCs w:val="24"/>
        </w:rPr>
      </w:pPr>
      <w:r>
        <w:rPr>
          <w:rFonts w:ascii="Arial" w:hAnsi="Arial" w:cs="Arial"/>
          <w:sz w:val="24"/>
          <w:szCs w:val="24"/>
        </w:rPr>
        <w:t>Ao contrário de todas as séries vistas anteriormente, os produtos farmacêuticos tiveram alta no início da pandemia (março de 2020). Além disso, a sazonalidade aparente do gráfico acontece em fevereiro, quando temos geralmente o Carnaval, que por sua vez afeta a grande maioria dos indicadores de vendas.</w:t>
      </w:r>
    </w:p>
    <w:p w14:paraId="564060F7" w14:textId="50A62C37" w:rsidR="002B4AD7" w:rsidRDefault="002B4AD7" w:rsidP="002B4AD7">
      <w:pPr>
        <w:spacing w:line="360" w:lineRule="auto"/>
        <w:jc w:val="both"/>
        <w:rPr>
          <w:rFonts w:ascii="Arial" w:hAnsi="Arial" w:cs="Arial"/>
          <w:sz w:val="24"/>
          <w:szCs w:val="24"/>
        </w:rPr>
      </w:pPr>
      <w:r>
        <w:rPr>
          <w:rFonts w:ascii="Arial" w:hAnsi="Arial" w:cs="Arial"/>
          <w:sz w:val="24"/>
          <w:szCs w:val="24"/>
        </w:rPr>
        <w:t>Outra série possível seria o subgrupo “</w:t>
      </w:r>
      <w:r w:rsidRPr="002B4AD7">
        <w:rPr>
          <w:rFonts w:ascii="Arial" w:hAnsi="Arial" w:cs="Arial"/>
          <w:sz w:val="24"/>
          <w:szCs w:val="24"/>
        </w:rPr>
        <w:t>Artigos farmacêuticos, médicos, ortopédicos, perfumaria e cosméticos</w:t>
      </w:r>
      <w:r>
        <w:rPr>
          <w:rFonts w:ascii="Arial" w:hAnsi="Arial" w:cs="Arial"/>
          <w:sz w:val="24"/>
          <w:szCs w:val="24"/>
        </w:rPr>
        <w:t>” da PMC.</w:t>
      </w:r>
    </w:p>
    <w:p w14:paraId="4965140D" w14:textId="77777777" w:rsidR="00355CC0" w:rsidRDefault="00355CC0" w:rsidP="00355CC0">
      <w:pPr>
        <w:spacing w:line="360" w:lineRule="auto"/>
        <w:rPr>
          <w:rFonts w:ascii="Arial" w:hAnsi="Arial" w:cs="Arial"/>
          <w:sz w:val="24"/>
          <w:szCs w:val="24"/>
        </w:rPr>
      </w:pPr>
    </w:p>
    <w:p w14:paraId="45BF1EB9" w14:textId="4AF430F9" w:rsidR="00355CC0" w:rsidRDefault="002B4AD7" w:rsidP="00355CC0">
      <w:pPr>
        <w:spacing w:line="360" w:lineRule="auto"/>
        <w:rPr>
          <w:rFonts w:ascii="Arial" w:hAnsi="Arial" w:cs="Arial"/>
          <w:b/>
          <w:bCs/>
          <w:sz w:val="24"/>
          <w:szCs w:val="24"/>
        </w:rPr>
      </w:pPr>
      <w:r>
        <w:rPr>
          <w:rFonts w:ascii="Arial" w:hAnsi="Arial" w:cs="Arial"/>
          <w:b/>
          <w:bCs/>
          <w:sz w:val="24"/>
          <w:szCs w:val="24"/>
        </w:rPr>
        <w:t>3.1.2</w:t>
      </w:r>
      <w:r w:rsidR="00355CC0">
        <w:rPr>
          <w:rFonts w:ascii="Arial" w:hAnsi="Arial" w:cs="Arial"/>
          <w:b/>
          <w:bCs/>
          <w:sz w:val="24"/>
          <w:szCs w:val="24"/>
        </w:rPr>
        <w:t>.7 Plano de saúde</w:t>
      </w:r>
    </w:p>
    <w:p w14:paraId="500A7D8B" w14:textId="77777777" w:rsidR="00355CC0" w:rsidRDefault="00355CC0" w:rsidP="00355CC0">
      <w:pPr>
        <w:spacing w:line="360" w:lineRule="auto"/>
        <w:rPr>
          <w:rFonts w:ascii="Arial" w:hAnsi="Arial" w:cs="Arial"/>
          <w:sz w:val="24"/>
          <w:szCs w:val="24"/>
        </w:rPr>
      </w:pPr>
      <w:r>
        <w:rPr>
          <w:rFonts w:ascii="Arial" w:hAnsi="Arial" w:cs="Arial"/>
          <w:sz w:val="24"/>
          <w:szCs w:val="24"/>
        </w:rPr>
        <w:t xml:space="preserve">Finalmente, para planos de saúde a série selecionada é da </w:t>
      </w:r>
      <w:r w:rsidRPr="00AD0454">
        <w:rPr>
          <w:rFonts w:ascii="Arial" w:hAnsi="Arial" w:cs="Arial"/>
          <w:sz w:val="24"/>
          <w:szCs w:val="24"/>
        </w:rPr>
        <w:t>Agência Nacional de Saúde Suplementar</w:t>
      </w:r>
      <w:r>
        <w:rPr>
          <w:rFonts w:ascii="Arial" w:hAnsi="Arial" w:cs="Arial"/>
          <w:sz w:val="24"/>
          <w:szCs w:val="24"/>
        </w:rPr>
        <w:t xml:space="preserve"> (ANS). Ela conta com o número total de beneficiários no final do período, sendo estes </w:t>
      </w:r>
      <w:r w:rsidRPr="00593BFF">
        <w:rPr>
          <w:rFonts w:ascii="Arial" w:hAnsi="Arial" w:cs="Arial"/>
          <w:sz w:val="24"/>
          <w:szCs w:val="24"/>
        </w:rPr>
        <w:t>vínculos aos planos de saúde, podendo incluir vários para um mesmo indivíduo.</w:t>
      </w:r>
      <w:r>
        <w:rPr>
          <w:rFonts w:ascii="Arial" w:hAnsi="Arial" w:cs="Arial"/>
          <w:sz w:val="24"/>
          <w:szCs w:val="24"/>
        </w:rPr>
        <w:t xml:space="preserve"> Os números incluem assistência odontológia.</w:t>
      </w:r>
    </w:p>
    <w:p w14:paraId="3D7F0B46" w14:textId="77777777" w:rsidR="00355CC0" w:rsidRDefault="00355CC0" w:rsidP="00355CC0">
      <w:pPr>
        <w:spacing w:line="360" w:lineRule="auto"/>
        <w:rPr>
          <w:rFonts w:ascii="Arial" w:hAnsi="Arial" w:cs="Arial"/>
          <w:sz w:val="24"/>
          <w:szCs w:val="24"/>
        </w:rPr>
      </w:pPr>
      <w:r>
        <w:rPr>
          <w:rFonts w:ascii="Arial" w:hAnsi="Arial" w:cs="Arial"/>
          <w:sz w:val="24"/>
          <w:szCs w:val="24"/>
        </w:rPr>
        <w:t>A séria é mensal até setembro 2019 e trimestral até junho de 2011. Para unir as duas, foi feita uma interpolação linear na série mais antiga.</w:t>
      </w:r>
    </w:p>
    <w:p w14:paraId="4DE044BC" w14:textId="77777777" w:rsidR="00355CC0" w:rsidRPr="002909A1" w:rsidRDefault="00355CC0" w:rsidP="00355CC0">
      <w:pPr>
        <w:pStyle w:val="Caption"/>
        <w:keepNext/>
        <w:jc w:val="center"/>
        <w:rPr>
          <w:rFonts w:ascii="Arial" w:hAnsi="Arial" w:cs="Arial"/>
          <w:b/>
          <w:bCs/>
          <w:i w:val="0"/>
          <w:iCs w:val="0"/>
          <w:color w:val="auto"/>
          <w:sz w:val="24"/>
          <w:szCs w:val="24"/>
        </w:rPr>
      </w:pPr>
      <w:r w:rsidRPr="002909A1">
        <w:rPr>
          <w:rFonts w:ascii="Arial" w:hAnsi="Arial" w:cs="Arial"/>
          <w:b/>
          <w:bCs/>
          <w:i w:val="0"/>
          <w:iCs w:val="0"/>
          <w:color w:val="auto"/>
          <w:sz w:val="24"/>
          <w:szCs w:val="24"/>
        </w:rPr>
        <w:lastRenderedPageBreak/>
        <w:t xml:space="preserve">Figura </w:t>
      </w:r>
      <w:r w:rsidRPr="002909A1">
        <w:rPr>
          <w:rFonts w:ascii="Arial" w:hAnsi="Arial" w:cs="Arial"/>
          <w:b/>
          <w:bCs/>
          <w:i w:val="0"/>
          <w:iCs w:val="0"/>
          <w:color w:val="auto"/>
          <w:sz w:val="24"/>
          <w:szCs w:val="24"/>
        </w:rPr>
        <w:fldChar w:fldCharType="begin"/>
      </w:r>
      <w:r w:rsidRPr="002909A1">
        <w:rPr>
          <w:rFonts w:ascii="Arial" w:hAnsi="Arial" w:cs="Arial"/>
          <w:b/>
          <w:bCs/>
          <w:i w:val="0"/>
          <w:iCs w:val="0"/>
          <w:color w:val="auto"/>
          <w:sz w:val="24"/>
          <w:szCs w:val="24"/>
        </w:rPr>
        <w:instrText xml:space="preserve"> SEQ Figura \* ARABIC </w:instrText>
      </w:r>
      <w:r w:rsidRPr="002909A1">
        <w:rPr>
          <w:rFonts w:ascii="Arial" w:hAnsi="Arial" w:cs="Arial"/>
          <w:b/>
          <w:bCs/>
          <w:i w:val="0"/>
          <w:iCs w:val="0"/>
          <w:color w:val="auto"/>
          <w:sz w:val="24"/>
          <w:szCs w:val="24"/>
        </w:rPr>
        <w:fldChar w:fldCharType="separate"/>
      </w:r>
      <w:r>
        <w:rPr>
          <w:rFonts w:ascii="Arial" w:hAnsi="Arial" w:cs="Arial"/>
          <w:b/>
          <w:bCs/>
          <w:i w:val="0"/>
          <w:iCs w:val="0"/>
          <w:noProof/>
          <w:color w:val="auto"/>
          <w:sz w:val="24"/>
          <w:szCs w:val="24"/>
        </w:rPr>
        <w:t>12</w:t>
      </w:r>
      <w:r w:rsidRPr="002909A1">
        <w:rPr>
          <w:rFonts w:ascii="Arial" w:hAnsi="Arial" w:cs="Arial"/>
          <w:b/>
          <w:bCs/>
          <w:i w:val="0"/>
          <w:iCs w:val="0"/>
          <w:color w:val="auto"/>
          <w:sz w:val="24"/>
          <w:szCs w:val="24"/>
        </w:rPr>
        <w:fldChar w:fldCharType="end"/>
      </w:r>
      <w:r w:rsidRPr="002909A1">
        <w:rPr>
          <w:rFonts w:ascii="Arial" w:hAnsi="Arial" w:cs="Arial"/>
          <w:b/>
          <w:bCs/>
          <w:i w:val="0"/>
          <w:iCs w:val="0"/>
          <w:color w:val="auto"/>
          <w:sz w:val="24"/>
          <w:szCs w:val="24"/>
        </w:rPr>
        <w:t xml:space="preserve">: </w:t>
      </w:r>
      <w:r>
        <w:rPr>
          <w:rFonts w:ascii="Arial" w:hAnsi="Arial" w:cs="Arial"/>
          <w:b/>
          <w:bCs/>
          <w:i w:val="0"/>
          <w:iCs w:val="0"/>
          <w:color w:val="auto"/>
          <w:sz w:val="24"/>
          <w:szCs w:val="24"/>
        </w:rPr>
        <w:t>Evolução de beneficiários de planos de saúde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6"/>
      </w:tblGrid>
      <w:tr w:rsidR="00355CC0" w14:paraId="04C76FA3" w14:textId="77777777" w:rsidTr="002019E5">
        <w:trPr>
          <w:jc w:val="center"/>
        </w:trPr>
        <w:tc>
          <w:tcPr>
            <w:tcW w:w="7956" w:type="dxa"/>
          </w:tcPr>
          <w:p w14:paraId="2FB9C500" w14:textId="77777777" w:rsidR="00355CC0" w:rsidRDefault="00355CC0" w:rsidP="002019E5">
            <w:pPr>
              <w:keepNext/>
              <w:spacing w:line="360" w:lineRule="auto"/>
              <w:jc w:val="both"/>
              <w:rPr>
                <w:rFonts w:ascii="Arial" w:hAnsi="Arial" w:cs="Arial"/>
                <w:sz w:val="24"/>
                <w:szCs w:val="24"/>
              </w:rPr>
            </w:pPr>
            <w:r w:rsidRPr="00C53692">
              <w:rPr>
                <w:rFonts w:ascii="Arial" w:hAnsi="Arial" w:cs="Arial"/>
                <w:noProof/>
                <w:sz w:val="24"/>
                <w:szCs w:val="24"/>
              </w:rPr>
              <w:drawing>
                <wp:anchor distT="0" distB="0" distL="114300" distR="114300" simplePos="0" relativeHeight="251665408" behindDoc="0" locked="0" layoutInCell="1" allowOverlap="1" wp14:anchorId="58A1C681" wp14:editId="5149282A">
                  <wp:simplePos x="0" y="0"/>
                  <wp:positionH relativeFrom="column">
                    <wp:posOffset>1270</wp:posOffset>
                  </wp:positionH>
                  <wp:positionV relativeFrom="paragraph">
                    <wp:posOffset>0</wp:posOffset>
                  </wp:positionV>
                  <wp:extent cx="4991100" cy="286702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2867025"/>
                          </a:xfrm>
                          <a:prstGeom prst="rect">
                            <a:avLst/>
                          </a:prstGeom>
                          <a:noFill/>
                          <a:ln>
                            <a:noFill/>
                          </a:ln>
                        </pic:spPr>
                      </pic:pic>
                    </a:graphicData>
                  </a:graphic>
                </wp:anchor>
              </w:drawing>
            </w:r>
          </w:p>
        </w:tc>
      </w:tr>
    </w:tbl>
    <w:p w14:paraId="7212837F" w14:textId="77777777" w:rsidR="00355CC0" w:rsidRPr="002909A1" w:rsidRDefault="00355CC0" w:rsidP="00355CC0">
      <w:pPr>
        <w:pStyle w:val="Caption"/>
        <w:jc w:val="center"/>
        <w:rPr>
          <w:rFonts w:ascii="Arial" w:hAnsi="Arial" w:cs="Arial"/>
          <w:i w:val="0"/>
          <w:iCs w:val="0"/>
          <w:color w:val="auto"/>
          <w:sz w:val="36"/>
          <w:szCs w:val="36"/>
        </w:rPr>
      </w:pPr>
      <w:r w:rsidRPr="002909A1">
        <w:rPr>
          <w:rFonts w:ascii="Arial" w:hAnsi="Arial" w:cs="Arial"/>
          <w:i w:val="0"/>
          <w:iCs w:val="0"/>
          <w:color w:val="auto"/>
          <w:sz w:val="24"/>
          <w:szCs w:val="24"/>
        </w:rPr>
        <w:t xml:space="preserve">Fonte: </w:t>
      </w:r>
      <w:r>
        <w:rPr>
          <w:rFonts w:ascii="Arial" w:hAnsi="Arial" w:cs="Arial"/>
          <w:i w:val="0"/>
          <w:iCs w:val="0"/>
          <w:color w:val="auto"/>
          <w:sz w:val="24"/>
          <w:szCs w:val="24"/>
        </w:rPr>
        <w:t>ANS</w:t>
      </w:r>
      <w:r w:rsidRPr="002909A1">
        <w:rPr>
          <w:rFonts w:ascii="Arial" w:hAnsi="Arial" w:cs="Arial"/>
          <w:i w:val="0"/>
          <w:iCs w:val="0"/>
          <w:color w:val="auto"/>
          <w:sz w:val="24"/>
          <w:szCs w:val="24"/>
        </w:rPr>
        <w:t>, Cálculos próprios</w:t>
      </w:r>
    </w:p>
    <w:p w14:paraId="4B4BA3AF" w14:textId="77777777" w:rsidR="00355CC0" w:rsidRDefault="00355CC0" w:rsidP="00355CC0">
      <w:pPr>
        <w:spacing w:line="360" w:lineRule="auto"/>
        <w:rPr>
          <w:rFonts w:ascii="Arial" w:hAnsi="Arial" w:cs="Arial"/>
          <w:sz w:val="24"/>
          <w:szCs w:val="24"/>
        </w:rPr>
      </w:pPr>
    </w:p>
    <w:p w14:paraId="2FD356DA" w14:textId="1ED7BF51" w:rsidR="00355CC0" w:rsidRDefault="002B4AD7" w:rsidP="00355CC0">
      <w:pPr>
        <w:spacing w:line="360" w:lineRule="auto"/>
        <w:rPr>
          <w:rFonts w:ascii="Arial" w:hAnsi="Arial" w:cs="Arial"/>
          <w:b/>
          <w:bCs/>
          <w:sz w:val="24"/>
          <w:szCs w:val="24"/>
        </w:rPr>
      </w:pPr>
      <w:r>
        <w:rPr>
          <w:rFonts w:ascii="Arial" w:hAnsi="Arial" w:cs="Arial"/>
          <w:b/>
          <w:bCs/>
          <w:sz w:val="24"/>
          <w:szCs w:val="24"/>
        </w:rPr>
        <w:t>3.1.2</w:t>
      </w:r>
      <w:r>
        <w:rPr>
          <w:rFonts w:ascii="Arial" w:hAnsi="Arial" w:cs="Arial"/>
          <w:b/>
          <w:bCs/>
          <w:sz w:val="24"/>
          <w:szCs w:val="24"/>
        </w:rPr>
        <w:t>.</w:t>
      </w:r>
      <w:r w:rsidR="00355CC0">
        <w:rPr>
          <w:rFonts w:ascii="Arial" w:hAnsi="Arial" w:cs="Arial"/>
          <w:b/>
          <w:bCs/>
          <w:sz w:val="24"/>
          <w:szCs w:val="24"/>
        </w:rPr>
        <w:t>8 Compilação do índice de monitorados</w:t>
      </w:r>
    </w:p>
    <w:p w14:paraId="59B7C0B6" w14:textId="0FC5933E" w:rsidR="00355CC0" w:rsidRPr="006B2172" w:rsidRDefault="00355CC0" w:rsidP="00355CC0">
      <w:pPr>
        <w:spacing w:line="360" w:lineRule="auto"/>
        <w:jc w:val="both"/>
        <w:rPr>
          <w:rFonts w:ascii="Arial" w:hAnsi="Arial" w:cs="Arial"/>
          <w:sz w:val="24"/>
          <w:szCs w:val="24"/>
        </w:rPr>
      </w:pPr>
      <w:r>
        <w:rPr>
          <w:rFonts w:ascii="Arial" w:hAnsi="Arial" w:cs="Arial"/>
          <w:sz w:val="24"/>
          <w:szCs w:val="24"/>
        </w:rPr>
        <w:t>Com todas as séries apresentadas, podemos montar o indicador</w:t>
      </w:r>
      <w:r w:rsidR="002B4AD7">
        <w:rPr>
          <w:rFonts w:ascii="Arial" w:hAnsi="Arial" w:cs="Arial"/>
          <w:sz w:val="24"/>
          <w:szCs w:val="24"/>
        </w:rPr>
        <w:t xml:space="preserve"> quantum</w:t>
      </w:r>
      <w:r>
        <w:rPr>
          <w:rFonts w:ascii="Arial" w:hAnsi="Arial" w:cs="Arial"/>
          <w:sz w:val="24"/>
          <w:szCs w:val="24"/>
        </w:rPr>
        <w:t xml:space="preserve"> d</w:t>
      </w:r>
      <w:r w:rsidR="002B4AD7">
        <w:rPr>
          <w:rFonts w:ascii="Arial" w:hAnsi="Arial" w:cs="Arial"/>
          <w:sz w:val="24"/>
          <w:szCs w:val="24"/>
        </w:rPr>
        <w:t>os</w:t>
      </w:r>
      <w:r>
        <w:rPr>
          <w:rFonts w:ascii="Arial" w:hAnsi="Arial" w:cs="Arial"/>
          <w:sz w:val="24"/>
          <w:szCs w:val="24"/>
        </w:rPr>
        <w:t xml:space="preserve"> </w:t>
      </w:r>
      <w:r w:rsidR="002B4AD7">
        <w:rPr>
          <w:rFonts w:ascii="Arial" w:hAnsi="Arial" w:cs="Arial"/>
          <w:sz w:val="24"/>
          <w:szCs w:val="24"/>
        </w:rPr>
        <w:t>M</w:t>
      </w:r>
      <w:r>
        <w:rPr>
          <w:rFonts w:ascii="Arial" w:hAnsi="Arial" w:cs="Arial"/>
          <w:sz w:val="24"/>
          <w:szCs w:val="24"/>
        </w:rPr>
        <w:t>onitorados.</w:t>
      </w:r>
    </w:p>
    <w:p w14:paraId="7968E5F3" w14:textId="01F03098" w:rsidR="00355CC0" w:rsidRDefault="00355CC0" w:rsidP="00355CC0">
      <w:pPr>
        <w:spacing w:line="360" w:lineRule="auto"/>
        <w:jc w:val="both"/>
        <w:rPr>
          <w:rFonts w:ascii="Arial" w:hAnsi="Arial" w:cs="Arial"/>
          <w:sz w:val="24"/>
          <w:szCs w:val="24"/>
        </w:rPr>
      </w:pPr>
      <w:r>
        <w:rPr>
          <w:rFonts w:ascii="Arial" w:hAnsi="Arial" w:cs="Arial"/>
          <w:sz w:val="24"/>
          <w:szCs w:val="24"/>
        </w:rPr>
        <w:t xml:space="preserve">Para tal, todas as séries foram transformadas em índices com base 100 em janeiro de 2020 e o índice cheio foi feito através de uma média ponderada pelos pesos originais dos grupos no período inicial, segundo o IPCA, como foi apresentado anteriormente. O resultado está apresentado na </w:t>
      </w:r>
      <w:r w:rsidRPr="006B2172">
        <w:rPr>
          <w:rFonts w:ascii="Arial" w:hAnsi="Arial" w:cs="Arial"/>
          <w:sz w:val="24"/>
          <w:szCs w:val="24"/>
        </w:rPr>
        <w:fldChar w:fldCharType="begin"/>
      </w:r>
      <w:r w:rsidRPr="006B2172">
        <w:rPr>
          <w:rFonts w:ascii="Arial" w:hAnsi="Arial" w:cs="Arial"/>
          <w:sz w:val="24"/>
          <w:szCs w:val="24"/>
        </w:rPr>
        <w:instrText xml:space="preserve"> REF _Ref84802839 \h  \* MERGEFORMAT </w:instrText>
      </w:r>
      <w:r w:rsidRPr="006B2172">
        <w:rPr>
          <w:rFonts w:ascii="Arial" w:hAnsi="Arial" w:cs="Arial"/>
          <w:sz w:val="24"/>
          <w:szCs w:val="24"/>
        </w:rPr>
      </w:r>
      <w:r w:rsidRPr="006B2172">
        <w:rPr>
          <w:rFonts w:ascii="Arial" w:hAnsi="Arial" w:cs="Arial"/>
          <w:sz w:val="24"/>
          <w:szCs w:val="24"/>
        </w:rPr>
        <w:fldChar w:fldCharType="separate"/>
      </w:r>
      <w:r w:rsidRPr="006B2172">
        <w:rPr>
          <w:rFonts w:ascii="Arial" w:hAnsi="Arial" w:cs="Arial"/>
          <w:sz w:val="24"/>
          <w:szCs w:val="24"/>
        </w:rPr>
        <w:t xml:space="preserve">Figura </w:t>
      </w:r>
      <w:r w:rsidRPr="006B2172">
        <w:rPr>
          <w:rFonts w:ascii="Arial" w:hAnsi="Arial" w:cs="Arial"/>
          <w:noProof/>
          <w:sz w:val="24"/>
          <w:szCs w:val="24"/>
        </w:rPr>
        <w:t>13</w:t>
      </w:r>
      <w:r w:rsidRPr="006B2172">
        <w:rPr>
          <w:rFonts w:ascii="Arial" w:hAnsi="Arial" w:cs="Arial"/>
          <w:sz w:val="24"/>
          <w:szCs w:val="24"/>
        </w:rPr>
        <w:fldChar w:fldCharType="end"/>
      </w:r>
      <w:r w:rsidRPr="006B2172">
        <w:rPr>
          <w:rFonts w:ascii="Arial" w:hAnsi="Arial" w:cs="Arial"/>
          <w:sz w:val="24"/>
          <w:szCs w:val="24"/>
        </w:rPr>
        <w:t>.</w:t>
      </w:r>
    </w:p>
    <w:p w14:paraId="6D505CA3" w14:textId="77777777" w:rsidR="00355CC0" w:rsidRDefault="00355CC0" w:rsidP="00355CC0">
      <w:pPr>
        <w:spacing w:line="360" w:lineRule="auto"/>
        <w:jc w:val="both"/>
        <w:rPr>
          <w:rFonts w:ascii="Arial" w:hAnsi="Arial" w:cs="Arial"/>
          <w:sz w:val="24"/>
          <w:szCs w:val="24"/>
        </w:rPr>
      </w:pPr>
    </w:p>
    <w:p w14:paraId="3EFED359" w14:textId="77777777" w:rsidR="00355CC0" w:rsidRPr="002909A1" w:rsidRDefault="00355CC0" w:rsidP="00355CC0">
      <w:pPr>
        <w:pStyle w:val="Caption"/>
        <w:keepNext/>
        <w:jc w:val="center"/>
        <w:rPr>
          <w:rFonts w:ascii="Arial" w:hAnsi="Arial" w:cs="Arial"/>
          <w:b/>
          <w:bCs/>
          <w:i w:val="0"/>
          <w:iCs w:val="0"/>
          <w:color w:val="auto"/>
          <w:sz w:val="24"/>
          <w:szCs w:val="24"/>
        </w:rPr>
      </w:pPr>
      <w:bookmarkStart w:id="1" w:name="_Ref84802839"/>
      <w:r w:rsidRPr="002909A1">
        <w:rPr>
          <w:rFonts w:ascii="Arial" w:hAnsi="Arial" w:cs="Arial"/>
          <w:b/>
          <w:bCs/>
          <w:i w:val="0"/>
          <w:iCs w:val="0"/>
          <w:color w:val="auto"/>
          <w:sz w:val="24"/>
          <w:szCs w:val="24"/>
        </w:rPr>
        <w:lastRenderedPageBreak/>
        <w:t xml:space="preserve">Figura </w:t>
      </w:r>
      <w:r w:rsidRPr="002909A1">
        <w:rPr>
          <w:rFonts w:ascii="Arial" w:hAnsi="Arial" w:cs="Arial"/>
          <w:b/>
          <w:bCs/>
          <w:i w:val="0"/>
          <w:iCs w:val="0"/>
          <w:color w:val="auto"/>
          <w:sz w:val="24"/>
          <w:szCs w:val="24"/>
        </w:rPr>
        <w:fldChar w:fldCharType="begin"/>
      </w:r>
      <w:r w:rsidRPr="002909A1">
        <w:rPr>
          <w:rFonts w:ascii="Arial" w:hAnsi="Arial" w:cs="Arial"/>
          <w:b/>
          <w:bCs/>
          <w:i w:val="0"/>
          <w:iCs w:val="0"/>
          <w:color w:val="auto"/>
          <w:sz w:val="24"/>
          <w:szCs w:val="24"/>
        </w:rPr>
        <w:instrText xml:space="preserve"> SEQ Figura \* ARABIC </w:instrText>
      </w:r>
      <w:r w:rsidRPr="002909A1">
        <w:rPr>
          <w:rFonts w:ascii="Arial" w:hAnsi="Arial" w:cs="Arial"/>
          <w:b/>
          <w:bCs/>
          <w:i w:val="0"/>
          <w:iCs w:val="0"/>
          <w:color w:val="auto"/>
          <w:sz w:val="24"/>
          <w:szCs w:val="24"/>
        </w:rPr>
        <w:fldChar w:fldCharType="separate"/>
      </w:r>
      <w:r>
        <w:rPr>
          <w:rFonts w:ascii="Arial" w:hAnsi="Arial" w:cs="Arial"/>
          <w:b/>
          <w:bCs/>
          <w:i w:val="0"/>
          <w:iCs w:val="0"/>
          <w:noProof/>
          <w:color w:val="auto"/>
          <w:sz w:val="24"/>
          <w:szCs w:val="24"/>
        </w:rPr>
        <w:t>13</w:t>
      </w:r>
      <w:r w:rsidRPr="002909A1">
        <w:rPr>
          <w:rFonts w:ascii="Arial" w:hAnsi="Arial" w:cs="Arial"/>
          <w:b/>
          <w:bCs/>
          <w:i w:val="0"/>
          <w:iCs w:val="0"/>
          <w:color w:val="auto"/>
          <w:sz w:val="24"/>
          <w:szCs w:val="24"/>
        </w:rPr>
        <w:fldChar w:fldCharType="end"/>
      </w:r>
      <w:bookmarkEnd w:id="1"/>
      <w:r w:rsidRPr="002909A1">
        <w:rPr>
          <w:rFonts w:ascii="Arial" w:hAnsi="Arial" w:cs="Arial"/>
          <w:b/>
          <w:bCs/>
          <w:i w:val="0"/>
          <w:iCs w:val="0"/>
          <w:color w:val="auto"/>
          <w:sz w:val="24"/>
          <w:szCs w:val="24"/>
        </w:rPr>
        <w:t xml:space="preserve">: </w:t>
      </w:r>
      <w:r>
        <w:rPr>
          <w:rFonts w:ascii="Arial" w:hAnsi="Arial" w:cs="Arial"/>
          <w:b/>
          <w:bCs/>
          <w:i w:val="0"/>
          <w:iCs w:val="0"/>
          <w:color w:val="auto"/>
          <w:sz w:val="24"/>
          <w:szCs w:val="24"/>
        </w:rPr>
        <w:t>Indicador quantum para itens monitorados selecionados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355CC0" w14:paraId="5C047F7B" w14:textId="77777777" w:rsidTr="002019E5">
        <w:trPr>
          <w:jc w:val="center"/>
        </w:trPr>
        <w:tc>
          <w:tcPr>
            <w:tcW w:w="7956" w:type="dxa"/>
          </w:tcPr>
          <w:p w14:paraId="50FEDA2B" w14:textId="77777777" w:rsidR="00355CC0" w:rsidRDefault="00355CC0" w:rsidP="002019E5">
            <w:pPr>
              <w:keepNext/>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6432" behindDoc="0" locked="0" layoutInCell="1" allowOverlap="1" wp14:anchorId="7E96C346" wp14:editId="78CE4378">
                  <wp:simplePos x="0" y="0"/>
                  <wp:positionH relativeFrom="column">
                    <wp:posOffset>-68580</wp:posOffset>
                  </wp:positionH>
                  <wp:positionV relativeFrom="paragraph">
                    <wp:posOffset>0</wp:posOffset>
                  </wp:positionV>
                  <wp:extent cx="5456325" cy="329565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69248" cy="3303456"/>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339B860C" w14:textId="77777777" w:rsidR="00355CC0" w:rsidRPr="002909A1" w:rsidRDefault="00355CC0" w:rsidP="00355CC0">
      <w:pPr>
        <w:pStyle w:val="Caption"/>
        <w:spacing w:line="360" w:lineRule="auto"/>
        <w:jc w:val="center"/>
        <w:rPr>
          <w:rFonts w:ascii="Arial" w:hAnsi="Arial" w:cs="Arial"/>
          <w:i w:val="0"/>
          <w:iCs w:val="0"/>
          <w:color w:val="auto"/>
          <w:sz w:val="36"/>
          <w:szCs w:val="36"/>
        </w:rPr>
      </w:pPr>
      <w:r w:rsidRPr="002909A1">
        <w:rPr>
          <w:rFonts w:ascii="Arial" w:hAnsi="Arial" w:cs="Arial"/>
          <w:i w:val="0"/>
          <w:iCs w:val="0"/>
          <w:color w:val="auto"/>
          <w:sz w:val="24"/>
          <w:szCs w:val="24"/>
        </w:rPr>
        <w:t xml:space="preserve">Fonte: </w:t>
      </w:r>
      <w:r>
        <w:rPr>
          <w:rFonts w:ascii="Arial" w:hAnsi="Arial" w:cs="Arial"/>
          <w:i w:val="0"/>
          <w:iCs w:val="0"/>
          <w:color w:val="auto"/>
          <w:sz w:val="24"/>
          <w:szCs w:val="24"/>
        </w:rPr>
        <w:t xml:space="preserve">EPE, IEMA, Fenabrave, ABCR, ANP, Sindusfarma, ANS, </w:t>
      </w:r>
      <w:r w:rsidRPr="002909A1">
        <w:rPr>
          <w:rFonts w:ascii="Arial" w:hAnsi="Arial" w:cs="Arial"/>
          <w:i w:val="0"/>
          <w:iCs w:val="0"/>
          <w:color w:val="auto"/>
          <w:sz w:val="24"/>
          <w:szCs w:val="24"/>
        </w:rPr>
        <w:t>Cálculos próprios</w:t>
      </w:r>
    </w:p>
    <w:p w14:paraId="4BCC7D9A" w14:textId="77777777" w:rsidR="00BD0F59" w:rsidRDefault="00BD0F59" w:rsidP="00BD0F59">
      <w:pPr>
        <w:spacing w:line="360" w:lineRule="auto"/>
        <w:jc w:val="both"/>
        <w:rPr>
          <w:rFonts w:ascii="Arial" w:hAnsi="Arial" w:cs="Arial"/>
          <w:sz w:val="24"/>
          <w:szCs w:val="24"/>
          <w:highlight w:val="yellow"/>
        </w:rPr>
      </w:pPr>
    </w:p>
    <w:p w14:paraId="0DB8721D" w14:textId="42B88988" w:rsidR="00BD0F59" w:rsidRDefault="00BD0F59" w:rsidP="00BD0F59">
      <w:pPr>
        <w:spacing w:line="360" w:lineRule="auto"/>
        <w:jc w:val="both"/>
        <w:rPr>
          <w:rFonts w:ascii="Arial" w:hAnsi="Arial" w:cs="Arial"/>
          <w:sz w:val="24"/>
          <w:szCs w:val="24"/>
        </w:rPr>
      </w:pPr>
      <w:r w:rsidRPr="00BD0F59">
        <w:rPr>
          <w:rFonts w:ascii="Arial" w:hAnsi="Arial" w:cs="Arial"/>
          <w:sz w:val="24"/>
          <w:szCs w:val="24"/>
        </w:rPr>
        <w:t>No cas</w:t>
      </w:r>
      <w:r>
        <w:rPr>
          <w:rFonts w:ascii="Arial" w:hAnsi="Arial" w:cs="Arial"/>
          <w:sz w:val="24"/>
          <w:szCs w:val="24"/>
        </w:rPr>
        <w:t>o geral, poderíamos expandir essa construção de acordo com a TRU e agregar da forma que for interessante. Uma possibilidade seria agregar nos 9 grupos principais do IPCA</w:t>
      </w:r>
      <w:r w:rsidR="00D468A5">
        <w:rPr>
          <w:rFonts w:ascii="Arial" w:hAnsi="Arial" w:cs="Arial"/>
          <w:sz w:val="24"/>
          <w:szCs w:val="24"/>
        </w:rPr>
        <w:t xml:space="preserve"> ou também selecionar alguns subgrupos importantes, como Alimentação no Domicílio.</w:t>
      </w:r>
    </w:p>
    <w:p w14:paraId="3C8105A4" w14:textId="06D823B7" w:rsidR="00D468A5" w:rsidRPr="00BD0F59" w:rsidRDefault="00D468A5" w:rsidP="00BD0F59">
      <w:pPr>
        <w:spacing w:line="360" w:lineRule="auto"/>
        <w:jc w:val="both"/>
        <w:rPr>
          <w:rFonts w:ascii="Arial" w:hAnsi="Arial" w:cs="Arial"/>
          <w:sz w:val="24"/>
          <w:szCs w:val="24"/>
        </w:rPr>
      </w:pPr>
      <w:r>
        <w:rPr>
          <w:rFonts w:ascii="Arial" w:hAnsi="Arial" w:cs="Arial"/>
          <w:sz w:val="24"/>
          <w:szCs w:val="24"/>
        </w:rPr>
        <w:t>Esta metodologia se diferenciaria da PMC, por exemplo, pois estaria associada exatamete a cada subitem que é utilizado no IPCA, à partir das informações que compõe o PIB (TRU).</w:t>
      </w:r>
    </w:p>
    <w:p w14:paraId="45E92A9F" w14:textId="7861B1E7" w:rsidR="00BD0F59" w:rsidRDefault="00D468A5" w:rsidP="00A05546">
      <w:pPr>
        <w:spacing w:line="360" w:lineRule="auto"/>
        <w:jc w:val="both"/>
        <w:rPr>
          <w:rFonts w:ascii="Arial" w:hAnsi="Arial" w:cs="Arial"/>
          <w:sz w:val="24"/>
          <w:szCs w:val="24"/>
        </w:rPr>
      </w:pPr>
      <w:r>
        <w:rPr>
          <w:rFonts w:ascii="Arial" w:hAnsi="Arial" w:cs="Arial"/>
          <w:sz w:val="24"/>
          <w:szCs w:val="24"/>
        </w:rPr>
        <w:t>Após a criação, tais indicadores poderiam ser utilizados para rebasear as quantidades das cestas de consumo do IPCA mais frequentemente, em uma ideia parecida com um índice ideal de Fisher ou o PCE, que será abordado à frente.</w:t>
      </w:r>
    </w:p>
    <w:p w14:paraId="46024696" w14:textId="77777777" w:rsidR="00BD0F59" w:rsidRDefault="00BD0F59" w:rsidP="00A05546">
      <w:pPr>
        <w:spacing w:line="360" w:lineRule="auto"/>
        <w:jc w:val="both"/>
        <w:rPr>
          <w:rFonts w:ascii="Arial" w:hAnsi="Arial" w:cs="Arial"/>
          <w:sz w:val="24"/>
          <w:szCs w:val="24"/>
        </w:rPr>
      </w:pPr>
    </w:p>
    <w:p w14:paraId="752DCC12" w14:textId="323F9838" w:rsidR="00F757CD" w:rsidRPr="00355CC0" w:rsidRDefault="00F757CD" w:rsidP="00A05546">
      <w:pPr>
        <w:spacing w:line="360" w:lineRule="auto"/>
        <w:jc w:val="both"/>
        <w:rPr>
          <w:rFonts w:ascii="Arial" w:hAnsi="Arial" w:cs="Arial"/>
          <w:b/>
          <w:bCs/>
          <w:sz w:val="24"/>
          <w:szCs w:val="24"/>
          <w:lang w:val="en-US"/>
        </w:rPr>
      </w:pPr>
      <w:r w:rsidRPr="00355CC0">
        <w:rPr>
          <w:rFonts w:ascii="Arial" w:hAnsi="Arial" w:cs="Arial"/>
          <w:b/>
          <w:bCs/>
          <w:sz w:val="24"/>
          <w:szCs w:val="24"/>
          <w:lang w:val="en-US"/>
        </w:rPr>
        <w:t>3.</w:t>
      </w:r>
      <w:r w:rsidR="007F757E" w:rsidRPr="00355CC0">
        <w:rPr>
          <w:rFonts w:ascii="Arial" w:hAnsi="Arial" w:cs="Arial"/>
          <w:b/>
          <w:bCs/>
          <w:sz w:val="24"/>
          <w:szCs w:val="24"/>
          <w:lang w:val="en-US"/>
        </w:rPr>
        <w:t>1.</w:t>
      </w:r>
      <w:r w:rsidR="00355CC0" w:rsidRPr="00355CC0">
        <w:rPr>
          <w:rFonts w:ascii="Arial" w:hAnsi="Arial" w:cs="Arial"/>
          <w:b/>
          <w:bCs/>
          <w:sz w:val="24"/>
          <w:szCs w:val="24"/>
          <w:lang w:val="en-US"/>
        </w:rPr>
        <w:t>3</w:t>
      </w:r>
      <w:r w:rsidRPr="00355CC0">
        <w:rPr>
          <w:rFonts w:ascii="Arial" w:hAnsi="Arial" w:cs="Arial"/>
          <w:b/>
          <w:bCs/>
          <w:sz w:val="24"/>
          <w:szCs w:val="24"/>
          <w:lang w:val="en-US"/>
        </w:rPr>
        <w:t xml:space="preserve"> Almost Ideal Demand System (AIDS)</w:t>
      </w:r>
    </w:p>
    <w:p w14:paraId="7B157EAC" w14:textId="7FD6A115" w:rsidR="00384616" w:rsidRDefault="00DC0B54" w:rsidP="00A05546">
      <w:pPr>
        <w:spacing w:line="360" w:lineRule="auto"/>
        <w:jc w:val="both"/>
        <w:rPr>
          <w:rFonts w:ascii="Arial" w:eastAsiaTheme="minorEastAsia" w:hAnsi="Arial" w:cs="Arial"/>
          <w:sz w:val="24"/>
          <w:szCs w:val="24"/>
        </w:rPr>
      </w:pPr>
      <w:r>
        <w:rPr>
          <w:rFonts w:ascii="Arial" w:hAnsi="Arial" w:cs="Arial"/>
          <w:sz w:val="24"/>
          <w:szCs w:val="24"/>
        </w:rPr>
        <w:lastRenderedPageBreak/>
        <w:t xml:space="preserve">Outro método possível de ser utilizado seria o apresentado em Deaton (XXX), o modelo AIDS. O modelo basicamente tenta estimar o efeito de variações de preços de vários bens na demanda do consumidor (elasticidades e variações de preço afetando alocação de recursos). Com esse sistema, poderia ser estimado uma função de demanda </w:t>
      </w: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p</m:t>
            </m:r>
          </m:e>
        </m:d>
        <m:r>
          <w:rPr>
            <w:rFonts w:ascii="Cambria Math" w:hAnsi="Cambria Math" w:cs="Arial"/>
            <w:sz w:val="24"/>
            <w:szCs w:val="24"/>
          </w:rPr>
          <m:t>=q</m:t>
        </m:r>
      </m:oMath>
      <w:r>
        <w:rPr>
          <w:rFonts w:ascii="Arial" w:eastAsiaTheme="minorEastAsia" w:hAnsi="Arial" w:cs="Arial"/>
          <w:sz w:val="24"/>
          <w:szCs w:val="24"/>
        </w:rPr>
        <w:t>, e assim determinar os pesos de cada grupo de bem na demanda do consumidor durante a pandemia, e assim utilizar tais resultados para reponderar a inflação no mesmo período.</w:t>
      </w:r>
    </w:p>
    <w:p w14:paraId="7E869128" w14:textId="1B68116B" w:rsidR="00A40EE7" w:rsidRDefault="00A40EE7" w:rsidP="00A05546">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A forma geral do modelo AIDS pode ser descrita </w:t>
      </w:r>
      <w:r w:rsidR="00A47134">
        <w:rPr>
          <w:rFonts w:ascii="Arial" w:eastAsiaTheme="minorEastAsia" w:hAnsi="Arial" w:cs="Arial"/>
          <w:sz w:val="24"/>
          <w:szCs w:val="24"/>
        </w:rPr>
        <w:t>da seguinte forma, como abordada em Choo, et al XXXX</w:t>
      </w:r>
      <w:r>
        <w:rPr>
          <w:rFonts w:ascii="Arial" w:eastAsiaTheme="minorEastAsia" w:hAnsi="Arial" w:cs="Arial"/>
          <w:sz w:val="24"/>
          <w:szCs w:val="24"/>
        </w:rPr>
        <w:t>:</w:t>
      </w:r>
    </w:p>
    <w:p w14:paraId="0C553017" w14:textId="6A3E335F" w:rsidR="00A40EE7" w:rsidRPr="00A40EE7" w:rsidRDefault="002B55AF" w:rsidP="00A05546">
      <w:pPr>
        <w:spacing w:line="36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nary>
            <m:naryPr>
              <m:chr m:val="∑"/>
              <m:limLoc m:val="undOvr"/>
              <m:supHide m:val="1"/>
              <m:ctrlPr>
                <w:rPr>
                  <w:rFonts w:ascii="Cambria Math" w:eastAsiaTheme="minorEastAsia" w:hAnsi="Cambria Math" w:cs="Arial"/>
                  <w:i/>
                  <w:sz w:val="24"/>
                  <w:szCs w:val="24"/>
                </w:rPr>
              </m:ctrlPr>
            </m:naryPr>
            <m:sub>
              <m:r>
                <w:rPr>
                  <w:rFonts w:ascii="Cambria Math" w:eastAsiaTheme="minorEastAsia" w:hAnsi="Cambria Math" w:cs="Arial"/>
                  <w:sz w:val="24"/>
                  <w:szCs w:val="24"/>
                </w:rPr>
                <m:t>j</m:t>
              </m: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γ</m:t>
                  </m:r>
                </m:e>
                <m:sub>
                  <m:r>
                    <w:rPr>
                      <w:rFonts w:ascii="Cambria Math" w:eastAsiaTheme="minorEastAsia" w:hAnsi="Cambria Math" w:cs="Arial"/>
                      <w:sz w:val="24"/>
                      <w:szCs w:val="24"/>
                    </w:rPr>
                    <m:t>ij</m:t>
                  </m:r>
                </m:sub>
              </m:sSub>
            </m:e>
          </m:nary>
          <m:r>
            <w:rPr>
              <w:rFonts w:ascii="Cambria Math" w:eastAsiaTheme="minorEastAsia" w:hAnsi="Cambria Math" w:cs="Arial"/>
              <w:sz w:val="24"/>
              <w:szCs w:val="24"/>
            </w:rPr>
            <m:t>ln</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j</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β</m:t>
              </m:r>
            </m:e>
            <m:sub>
              <m:r>
                <w:rPr>
                  <w:rFonts w:ascii="Cambria Math" w:eastAsiaTheme="minorEastAsia" w:hAnsi="Cambria Math" w:cs="Arial"/>
                  <w:sz w:val="24"/>
                  <w:szCs w:val="24"/>
                </w:rPr>
                <m:t>i</m:t>
              </m:r>
            </m:sub>
          </m:sSub>
          <m:func>
            <m:funcPr>
              <m:ctrlPr>
                <w:rPr>
                  <w:rFonts w:ascii="Cambria Math" w:eastAsiaTheme="minorEastAsia" w:hAnsi="Cambria Math" w:cs="Arial"/>
                  <w:i/>
                  <w:sz w:val="24"/>
                  <w:szCs w:val="24"/>
                </w:rPr>
              </m:ctrlPr>
            </m:funcPr>
            <m:fName>
              <m:r>
                <m:rPr>
                  <m:sty m:val="p"/>
                </m:rPr>
                <w:rPr>
                  <w:rFonts w:ascii="Cambria Math" w:eastAsiaTheme="minorEastAsia" w:hAnsi="Cambria Math" w:cs="Arial"/>
                  <w:sz w:val="24"/>
                  <w:szCs w:val="24"/>
                </w:rPr>
                <m:t>ln</m:t>
              </m:r>
            </m:fName>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X</m:t>
                      </m:r>
                    </m:num>
                    <m:den>
                      <m:r>
                        <w:rPr>
                          <w:rFonts w:ascii="Cambria Math" w:eastAsiaTheme="minorEastAsia" w:hAnsi="Cambria Math" w:cs="Arial"/>
                          <w:sz w:val="24"/>
                          <w:szCs w:val="24"/>
                        </w:rPr>
                        <m:t>P</m:t>
                      </m:r>
                    </m:den>
                  </m:f>
                </m:e>
              </m:d>
            </m:e>
          </m:func>
          <m:r>
            <w:rPr>
              <w:rFonts w:ascii="Cambria Math" w:eastAsiaTheme="minorEastAsia" w:hAnsi="Cambria Math" w:cs="Arial"/>
              <w:sz w:val="24"/>
              <w:szCs w:val="24"/>
            </w:rPr>
            <m:t>, i=1, 2, …, k,</m:t>
          </m:r>
        </m:oMath>
      </m:oMathPara>
    </w:p>
    <w:p w14:paraId="7F557902" w14:textId="570418CF" w:rsidR="00A40EE7" w:rsidRDefault="00A40EE7" w:rsidP="00A05546">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onde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i</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m:t>
                </m:r>
              </m:sub>
            </m:sSub>
          </m:num>
          <m:den>
            <m:nary>
              <m:naryPr>
                <m:chr m:val="∑"/>
                <m:limLoc m:val="undOvr"/>
                <m:supHide m:val="1"/>
                <m:ctrlPr>
                  <w:rPr>
                    <w:rFonts w:ascii="Cambria Math" w:eastAsiaTheme="minorEastAsia" w:hAnsi="Cambria Math" w:cs="Arial"/>
                    <w:i/>
                    <w:sz w:val="24"/>
                    <w:szCs w:val="24"/>
                  </w:rPr>
                </m:ctrlPr>
              </m:naryPr>
              <m:sub>
                <m:r>
                  <w:rPr>
                    <w:rFonts w:ascii="Cambria Math" w:eastAsiaTheme="minorEastAsia" w:hAnsi="Cambria Math" w:cs="Arial"/>
                    <w:sz w:val="24"/>
                    <w:szCs w:val="24"/>
                  </w:rPr>
                  <m:t>j</m:t>
                </m: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j</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j</m:t>
                    </m:r>
                  </m:sub>
                </m:sSub>
              </m:e>
            </m:nary>
          </m:den>
        </m:f>
      </m:oMath>
      <w:r>
        <w:rPr>
          <w:rFonts w:ascii="Arial" w:eastAsiaTheme="minorEastAsia" w:hAnsi="Arial" w:cs="Arial"/>
          <w:sz w:val="24"/>
          <w:szCs w:val="24"/>
        </w:rPr>
        <w:t xml:space="preserve"> é a fração de gasto do bem </w:t>
      </w:r>
      <m:oMath>
        <m:r>
          <w:rPr>
            <w:rFonts w:ascii="Cambria Math" w:eastAsiaTheme="minorEastAsia" w:hAnsi="Cambria Math" w:cs="Arial"/>
            <w:sz w:val="24"/>
            <w:szCs w:val="24"/>
          </w:rPr>
          <m:t>i</m:t>
        </m:r>
      </m:oMath>
      <w:r>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j</m:t>
            </m:r>
          </m:sub>
        </m:sSub>
      </m:oMath>
      <w:r>
        <w:rPr>
          <w:rFonts w:ascii="Arial" w:eastAsiaTheme="minorEastAsia" w:hAnsi="Arial" w:cs="Arial"/>
          <w:sz w:val="24"/>
          <w:szCs w:val="24"/>
        </w:rPr>
        <w:t xml:space="preserve"> é o preço do bem </w:t>
      </w:r>
      <m:oMath>
        <m:r>
          <w:rPr>
            <w:rFonts w:ascii="Cambria Math" w:eastAsiaTheme="minorEastAsia" w:hAnsi="Cambria Math" w:cs="Arial"/>
            <w:sz w:val="24"/>
            <w:szCs w:val="24"/>
          </w:rPr>
          <m:t>j</m:t>
        </m:r>
      </m:oMath>
      <w:r>
        <w:rPr>
          <w:rFonts w:ascii="Arial" w:eastAsiaTheme="minorEastAsia" w:hAnsi="Arial" w:cs="Arial"/>
          <w:sz w:val="24"/>
          <w:szCs w:val="24"/>
        </w:rPr>
        <w:t xml:space="preserve">, </w:t>
      </w:r>
      <m:oMath>
        <m:r>
          <w:rPr>
            <w:rFonts w:ascii="Cambria Math" w:eastAsiaTheme="minorEastAsia" w:hAnsi="Cambria Math" w:cs="Arial"/>
            <w:sz w:val="24"/>
            <w:szCs w:val="24"/>
          </w:rPr>
          <m:t>X</m:t>
        </m:r>
      </m:oMath>
      <w:r>
        <w:rPr>
          <w:rFonts w:ascii="Arial" w:eastAsiaTheme="minorEastAsia" w:hAnsi="Arial" w:cs="Arial"/>
          <w:sz w:val="24"/>
          <w:szCs w:val="24"/>
        </w:rPr>
        <w:t xml:space="preserve"> é o gasto total com todos os bens (≈ renda),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i</m:t>
            </m:r>
          </m:sub>
        </m:sSub>
      </m:oMath>
      <w:r>
        <w:rPr>
          <w:rFonts w:ascii="Arial" w:eastAsiaTheme="minorEastAsia" w:hAnsi="Arial" w:cs="Arial"/>
          <w:sz w:val="24"/>
          <w:szCs w:val="24"/>
        </w:rPr>
        <w:t xml:space="preserve"> é a constante na equação do bem </w:t>
      </w:r>
      <m:oMath>
        <m:r>
          <w:rPr>
            <w:rFonts w:ascii="Cambria Math" w:eastAsiaTheme="minorEastAsia" w:hAnsi="Cambria Math" w:cs="Arial"/>
            <w:sz w:val="24"/>
            <w:szCs w:val="24"/>
          </w:rPr>
          <m:t>i</m:t>
        </m:r>
      </m:oMath>
      <w:r>
        <w:rPr>
          <w:rFonts w:ascii="Arial" w:eastAsiaTheme="minorEastAsia" w:hAnsi="Arial" w:cs="Arial"/>
          <w:sz w:val="24"/>
          <w:szCs w:val="24"/>
        </w:rPr>
        <w:t>,</w:t>
      </w:r>
      <w:r w:rsidR="00A47134">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γ</m:t>
            </m:r>
          </m:e>
          <m:sub>
            <m:r>
              <w:rPr>
                <w:rFonts w:ascii="Cambria Math" w:eastAsiaTheme="minorEastAsia" w:hAnsi="Cambria Math" w:cs="Arial"/>
                <w:sz w:val="24"/>
                <w:szCs w:val="24"/>
              </w:rPr>
              <m:t>ij</m:t>
            </m:r>
          </m:sub>
        </m:sSub>
      </m:oMath>
      <w:r w:rsidR="00A47134">
        <w:rPr>
          <w:rFonts w:ascii="Arial" w:eastAsiaTheme="minorEastAsia" w:hAnsi="Arial" w:cs="Arial"/>
          <w:sz w:val="24"/>
          <w:szCs w:val="24"/>
        </w:rPr>
        <w:t xml:space="preserve"> é o coeficiente de inclinação associado com o preço do bem </w:t>
      </w:r>
      <m:oMath>
        <m:r>
          <w:rPr>
            <w:rFonts w:ascii="Cambria Math" w:eastAsiaTheme="minorEastAsia" w:hAnsi="Cambria Math" w:cs="Arial"/>
            <w:sz w:val="24"/>
            <w:szCs w:val="24"/>
          </w:rPr>
          <m:t>j</m:t>
        </m:r>
      </m:oMath>
      <w:r w:rsidR="00A47134">
        <w:rPr>
          <w:rFonts w:ascii="Arial" w:eastAsiaTheme="minorEastAsia" w:hAnsi="Arial" w:cs="Arial"/>
          <w:sz w:val="24"/>
          <w:szCs w:val="24"/>
        </w:rPr>
        <w:t xml:space="preserve"> na equação do bem </w:t>
      </w:r>
      <m:oMath>
        <m:r>
          <w:rPr>
            <w:rFonts w:ascii="Cambria Math" w:eastAsiaTheme="minorEastAsia" w:hAnsi="Cambria Math" w:cs="Arial"/>
            <w:sz w:val="24"/>
            <w:szCs w:val="24"/>
          </w:rPr>
          <m:t>i</m:t>
        </m:r>
      </m:oMath>
      <w:r w:rsidR="00A47134">
        <w:rPr>
          <w:rFonts w:ascii="Arial" w:eastAsiaTheme="minorEastAsia" w:hAnsi="Arial" w:cs="Arial"/>
          <w:sz w:val="24"/>
          <w:szCs w:val="24"/>
        </w:rPr>
        <w:t>,</w:t>
      </w:r>
      <w:r>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β</m:t>
            </m:r>
          </m:e>
          <m:sub>
            <m:r>
              <w:rPr>
                <w:rFonts w:ascii="Cambria Math" w:eastAsiaTheme="minorEastAsia" w:hAnsi="Cambria Math" w:cs="Arial"/>
                <w:sz w:val="24"/>
                <w:szCs w:val="24"/>
              </w:rPr>
              <m:t>i</m:t>
            </m:r>
          </m:sub>
        </m:sSub>
      </m:oMath>
      <w:r>
        <w:rPr>
          <w:rFonts w:ascii="Arial" w:eastAsiaTheme="minorEastAsia" w:hAnsi="Arial" w:cs="Arial"/>
          <w:sz w:val="24"/>
          <w:szCs w:val="24"/>
        </w:rPr>
        <w:t xml:space="preserve"> é o coeficiente de inclinação associado </w:t>
      </w:r>
      <w:r w:rsidR="00A47134">
        <w:rPr>
          <w:rFonts w:ascii="Arial" w:eastAsiaTheme="minorEastAsia" w:hAnsi="Arial" w:cs="Arial"/>
          <w:sz w:val="24"/>
          <w:szCs w:val="24"/>
        </w:rPr>
        <w:t xml:space="preserve">ao gasto total </w:t>
      </w:r>
      <w:r>
        <w:rPr>
          <w:rFonts w:ascii="Arial" w:eastAsiaTheme="minorEastAsia" w:hAnsi="Arial" w:cs="Arial"/>
          <w:sz w:val="24"/>
          <w:szCs w:val="24"/>
        </w:rPr>
        <w:t xml:space="preserve">na equação do bem </w:t>
      </w:r>
      <m:oMath>
        <m:r>
          <w:rPr>
            <w:rFonts w:ascii="Cambria Math" w:eastAsiaTheme="minorEastAsia" w:hAnsi="Cambria Math" w:cs="Arial"/>
            <w:sz w:val="24"/>
            <w:szCs w:val="24"/>
          </w:rPr>
          <m:t>i</m:t>
        </m:r>
      </m:oMath>
      <w:r w:rsidR="00A47134">
        <w:rPr>
          <w:rFonts w:ascii="Arial" w:eastAsiaTheme="minorEastAsia" w:hAnsi="Arial" w:cs="Arial"/>
          <w:sz w:val="24"/>
          <w:szCs w:val="24"/>
        </w:rPr>
        <w:t xml:space="preserve">, e </w:t>
      </w:r>
      <m:oMath>
        <m:r>
          <w:rPr>
            <w:rFonts w:ascii="Cambria Math" w:eastAsiaTheme="minorEastAsia" w:hAnsi="Cambria Math" w:cs="Arial"/>
            <w:sz w:val="24"/>
            <w:szCs w:val="24"/>
          </w:rPr>
          <m:t>P</m:t>
        </m:r>
      </m:oMath>
      <w:r w:rsidR="00A47134">
        <w:rPr>
          <w:rFonts w:ascii="Arial" w:eastAsiaTheme="minorEastAsia" w:hAnsi="Arial" w:cs="Arial"/>
          <w:sz w:val="24"/>
          <w:szCs w:val="24"/>
        </w:rPr>
        <w:t xml:space="preserve"> é o índice de preço definido como:</w:t>
      </w:r>
    </w:p>
    <w:p w14:paraId="71D5608A" w14:textId="150DABF8" w:rsidR="00A47134" w:rsidRPr="00A47134" w:rsidRDefault="00A47134" w:rsidP="00A05546">
      <w:pPr>
        <w:spacing w:line="360" w:lineRule="auto"/>
        <w:jc w:val="both"/>
        <w:rPr>
          <w:rFonts w:eastAsiaTheme="minorEastAsia"/>
        </w:rPr>
      </w:pPr>
      <m:oMathPara>
        <m:oMath>
          <m:r>
            <w:rPr>
              <w:rFonts w:ascii="Cambria Math" w:hAnsi="Cambria Math"/>
            </w:rPr>
            <m:t>ln P=</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nary>
          <m:r>
            <w:rPr>
              <w:rFonts w:ascii="Cambria Math" w:eastAsiaTheme="minorEastAsia" w:hAnsi="Cambria Math"/>
            </w:rPr>
            <m:t>ln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m:t>
                      </m:r>
                    </m:sub>
                  </m:sSub>
                </m:e>
              </m:nary>
            </m:e>
          </m:nary>
          <m:r>
            <w:rPr>
              <w:rFonts w:ascii="Cambria Math" w:eastAsiaTheme="minorEastAsia" w:hAnsi="Cambria Math"/>
            </w:rPr>
            <m:t>ln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ln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 xml:space="preserve">, i,j=1, 2, …, k. </m:t>
          </m:r>
        </m:oMath>
      </m:oMathPara>
    </w:p>
    <w:p w14:paraId="488B01E4" w14:textId="0B80FDC1" w:rsidR="00A47134" w:rsidRDefault="00A47134" w:rsidP="00A05546">
      <w:pPr>
        <w:spacing w:line="360" w:lineRule="auto"/>
        <w:jc w:val="both"/>
        <w:rPr>
          <w:rFonts w:ascii="Arial" w:eastAsiaTheme="minorEastAsia" w:hAnsi="Arial" w:cs="Arial"/>
          <w:sz w:val="24"/>
          <w:szCs w:val="24"/>
        </w:rPr>
      </w:pPr>
      <w:r w:rsidRPr="00A47134">
        <w:rPr>
          <w:rFonts w:ascii="Arial" w:eastAsiaTheme="minorEastAsia" w:hAnsi="Arial" w:cs="Arial"/>
          <w:sz w:val="24"/>
          <w:szCs w:val="24"/>
        </w:rPr>
        <w:t>Por fim, seguindo</w:t>
      </w:r>
      <w:r>
        <w:rPr>
          <w:rFonts w:ascii="Arial" w:eastAsiaTheme="minorEastAsia" w:hAnsi="Arial" w:cs="Arial"/>
          <w:sz w:val="24"/>
          <w:szCs w:val="24"/>
        </w:rPr>
        <w:t xml:space="preserve"> a teoria do consumidor, as restrições aa seguir devem valer:</w:t>
      </w:r>
    </w:p>
    <w:p w14:paraId="6E9389B6" w14:textId="42F1E2C3" w:rsidR="00A47134" w:rsidRDefault="002B55AF" w:rsidP="00A05546">
      <w:pPr>
        <w:spacing w:line="360" w:lineRule="auto"/>
        <w:jc w:val="both"/>
        <w:rPr>
          <w:rFonts w:ascii="Arial" w:eastAsiaTheme="minorEastAsia" w:hAnsi="Arial" w:cs="Arial"/>
          <w:sz w:val="24"/>
          <w:szCs w:val="24"/>
        </w:rPr>
      </w:pPr>
      <m:oMath>
        <m:nary>
          <m:naryPr>
            <m:chr m:val="∑"/>
            <m:limLoc m:val="undOvr"/>
            <m:supHide m:val="1"/>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i</m:t>
                </m:r>
              </m:sub>
            </m:sSub>
            <m:r>
              <w:rPr>
                <w:rFonts w:ascii="Cambria Math" w:eastAsiaTheme="minorEastAsia" w:hAnsi="Cambria Math" w:cs="Arial"/>
                <w:sz w:val="24"/>
                <w:szCs w:val="24"/>
              </w:rPr>
              <m:t>=1</m:t>
            </m:r>
          </m:e>
        </m:nary>
        <m:r>
          <w:rPr>
            <w:rFonts w:ascii="Cambria Math" w:eastAsiaTheme="minorEastAsia" w:hAnsi="Cambria Math" w:cs="Arial"/>
            <w:sz w:val="24"/>
            <w:szCs w:val="24"/>
          </w:rPr>
          <m:t xml:space="preserve">, </m:t>
        </m:r>
        <m:nary>
          <m:naryPr>
            <m:chr m:val="∑"/>
            <m:limLoc m:val="undOvr"/>
            <m:supHide m:val="1"/>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γ</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e>
        </m:nary>
        <m:r>
          <w:rPr>
            <w:rFonts w:ascii="Cambria Math" w:eastAsiaTheme="minorEastAsia" w:hAnsi="Cambria Math" w:cs="Arial"/>
            <w:sz w:val="24"/>
            <w:szCs w:val="24"/>
          </w:rPr>
          <m:t xml:space="preserve">, </m:t>
        </m:r>
        <m:nary>
          <m:naryPr>
            <m:chr m:val="∑"/>
            <m:limLoc m:val="undOvr"/>
            <m:supHide m:val="1"/>
            <m:ctrlPr>
              <w:rPr>
                <w:rFonts w:ascii="Cambria Math" w:eastAsiaTheme="minorEastAsia" w:hAnsi="Cambria Math" w:cs="Arial"/>
                <w:i/>
                <w:sz w:val="24"/>
                <w:szCs w:val="24"/>
              </w:rPr>
            </m:ctrlPr>
          </m:naryPr>
          <m:sub>
            <m:r>
              <w:rPr>
                <w:rFonts w:ascii="Cambria Math" w:eastAsiaTheme="minorEastAsia" w:hAnsi="Cambria Math" w:cs="Arial"/>
                <w:sz w:val="24"/>
                <w:szCs w:val="24"/>
              </w:rPr>
              <m:t>i</m:t>
            </m: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β</m:t>
                </m:r>
              </m:e>
              <m:sub>
                <m:r>
                  <w:rPr>
                    <w:rFonts w:ascii="Cambria Math" w:eastAsiaTheme="minorEastAsia" w:hAnsi="Cambria Math" w:cs="Arial"/>
                    <w:sz w:val="24"/>
                    <w:szCs w:val="24"/>
                  </w:rPr>
                  <m:t>i</m:t>
                </m:r>
              </m:sub>
            </m:sSub>
            <m:r>
              <w:rPr>
                <w:rFonts w:ascii="Cambria Math" w:eastAsiaTheme="minorEastAsia" w:hAnsi="Cambria Math" w:cs="Arial"/>
                <w:sz w:val="24"/>
                <w:szCs w:val="24"/>
              </w:rPr>
              <m:t>=0</m:t>
            </m:r>
          </m:e>
        </m:nary>
      </m:oMath>
      <w:r w:rsidR="001F623C" w:rsidRPr="001F623C">
        <w:rPr>
          <w:rFonts w:ascii="Arial" w:eastAsiaTheme="minorEastAsia" w:hAnsi="Arial" w:cs="Arial"/>
          <w:sz w:val="24"/>
          <w:szCs w:val="24"/>
        </w:rPr>
        <w:t xml:space="preserve"> (adi</w:t>
      </w:r>
      <w:r w:rsidR="001F623C">
        <w:rPr>
          <w:rFonts w:ascii="Arial" w:eastAsiaTheme="minorEastAsia" w:hAnsi="Arial" w:cs="Arial"/>
          <w:sz w:val="24"/>
          <w:szCs w:val="24"/>
        </w:rPr>
        <w:t>ção)</w:t>
      </w:r>
    </w:p>
    <w:p w14:paraId="549536F1" w14:textId="58899D45" w:rsidR="001F623C" w:rsidRDefault="002B55AF" w:rsidP="00A05546">
      <w:pPr>
        <w:spacing w:line="360" w:lineRule="auto"/>
        <w:jc w:val="both"/>
        <w:rPr>
          <w:rFonts w:ascii="Arial" w:eastAsiaTheme="minorEastAsia" w:hAnsi="Arial" w:cs="Arial"/>
          <w:sz w:val="24"/>
          <w:szCs w:val="24"/>
        </w:rPr>
      </w:pPr>
      <m:oMath>
        <m:nary>
          <m:naryPr>
            <m:chr m:val="∑"/>
            <m:limLoc m:val="undOvr"/>
            <m:supHide m:val="1"/>
            <m:ctrlPr>
              <w:rPr>
                <w:rFonts w:ascii="Cambria Math" w:eastAsiaTheme="minorEastAsia" w:hAnsi="Cambria Math" w:cs="Arial"/>
                <w:i/>
                <w:sz w:val="24"/>
                <w:szCs w:val="24"/>
              </w:rPr>
            </m:ctrlPr>
          </m:naryPr>
          <m:sub>
            <m:r>
              <w:rPr>
                <w:rFonts w:ascii="Cambria Math" w:eastAsiaTheme="minorEastAsia" w:hAnsi="Cambria Math" w:cs="Arial"/>
                <w:sz w:val="24"/>
                <w:szCs w:val="24"/>
              </w:rPr>
              <m:t>j</m:t>
            </m:r>
          </m:sub>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γ</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e>
        </m:nary>
      </m:oMath>
      <w:r w:rsidR="001F623C">
        <w:rPr>
          <w:rFonts w:ascii="Arial" w:eastAsiaTheme="minorEastAsia" w:hAnsi="Arial" w:cs="Arial"/>
          <w:sz w:val="24"/>
          <w:szCs w:val="24"/>
        </w:rPr>
        <w:t xml:space="preserve"> (homogeneidade)</w:t>
      </w:r>
    </w:p>
    <w:p w14:paraId="32634632" w14:textId="386A030A" w:rsidR="001F623C" w:rsidRDefault="002B55AF" w:rsidP="00A05546">
      <w:pPr>
        <w:spacing w:line="360" w:lineRule="auto"/>
        <w:jc w:val="both"/>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γ</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γ</m:t>
            </m:r>
          </m:e>
          <m:sub>
            <m:r>
              <w:rPr>
                <w:rFonts w:ascii="Cambria Math" w:eastAsiaTheme="minorEastAsia" w:hAnsi="Cambria Math" w:cs="Arial"/>
                <w:sz w:val="24"/>
                <w:szCs w:val="24"/>
              </w:rPr>
              <m:t>ji</m:t>
            </m:r>
          </m:sub>
        </m:sSub>
      </m:oMath>
      <w:r w:rsidR="001F623C" w:rsidRPr="001F623C">
        <w:rPr>
          <w:rFonts w:ascii="Arial" w:eastAsiaTheme="minorEastAsia" w:hAnsi="Arial" w:cs="Arial"/>
          <w:sz w:val="24"/>
          <w:szCs w:val="24"/>
        </w:rPr>
        <w:t xml:space="preserve"> (simetria</w:t>
      </w:r>
      <w:r w:rsidR="001F623C">
        <w:rPr>
          <w:rFonts w:ascii="Arial" w:eastAsiaTheme="minorEastAsia" w:hAnsi="Arial" w:cs="Arial"/>
          <w:sz w:val="24"/>
          <w:szCs w:val="24"/>
        </w:rPr>
        <w:t>)</w:t>
      </w:r>
    </w:p>
    <w:p w14:paraId="20DE5345" w14:textId="01951971" w:rsidR="00DC0B54" w:rsidRDefault="00A40EE7" w:rsidP="00A05546">
      <w:pPr>
        <w:spacing w:line="360" w:lineRule="auto"/>
        <w:jc w:val="both"/>
        <w:rPr>
          <w:rFonts w:ascii="Arial" w:eastAsiaTheme="minorEastAsia" w:hAnsi="Arial" w:cs="Arial"/>
          <w:sz w:val="24"/>
          <w:szCs w:val="24"/>
        </w:rPr>
      </w:pPr>
      <w:r>
        <w:rPr>
          <w:rFonts w:ascii="Arial" w:eastAsiaTheme="minorEastAsia" w:hAnsi="Arial" w:cs="Arial"/>
          <w:sz w:val="24"/>
          <w:szCs w:val="24"/>
        </w:rPr>
        <w:t>Apesar do modelo apresentar característica desejáveis para estimar a demanda, como homogeneidade e simetri</w:t>
      </w:r>
      <w:r w:rsidR="001F623C">
        <w:rPr>
          <w:rFonts w:ascii="Arial" w:eastAsiaTheme="minorEastAsia" w:hAnsi="Arial" w:cs="Arial"/>
          <w:sz w:val="24"/>
          <w:szCs w:val="24"/>
        </w:rPr>
        <w:t>a</w:t>
      </w:r>
      <w:r>
        <w:rPr>
          <w:rFonts w:ascii="Arial" w:eastAsiaTheme="minorEastAsia" w:hAnsi="Arial" w:cs="Arial"/>
          <w:sz w:val="24"/>
          <w:szCs w:val="24"/>
        </w:rPr>
        <w:t xml:space="preserve">, ele </w:t>
      </w:r>
      <w:r w:rsidR="00DC0B54">
        <w:rPr>
          <w:rFonts w:ascii="Arial" w:eastAsiaTheme="minorEastAsia" w:hAnsi="Arial" w:cs="Arial"/>
          <w:sz w:val="24"/>
          <w:szCs w:val="24"/>
        </w:rPr>
        <w:t>é mais complexo que a metodologia utilizada nesta Monografia e é muito dependente de dados, um problema já encontrado mesmo na metodologia simples. Em uma situação com dados abundantes, a exploração do modelo de Deaton seria interessante.</w:t>
      </w:r>
    </w:p>
    <w:p w14:paraId="4FFDB222" w14:textId="77777777" w:rsidR="007D54D4" w:rsidRDefault="007D54D4" w:rsidP="00A05546">
      <w:pPr>
        <w:spacing w:line="360" w:lineRule="auto"/>
        <w:jc w:val="both"/>
        <w:rPr>
          <w:rFonts w:ascii="Arial" w:eastAsiaTheme="minorEastAsia" w:hAnsi="Arial" w:cs="Arial"/>
          <w:sz w:val="24"/>
          <w:szCs w:val="24"/>
        </w:rPr>
      </w:pPr>
    </w:p>
    <w:p w14:paraId="489EDA7D" w14:textId="63A7EE79" w:rsidR="00F757CD" w:rsidRPr="0065573A" w:rsidRDefault="00F757CD" w:rsidP="00A05546">
      <w:pPr>
        <w:spacing w:line="360" w:lineRule="auto"/>
        <w:jc w:val="both"/>
        <w:rPr>
          <w:rFonts w:ascii="Arial" w:eastAsiaTheme="minorEastAsia" w:hAnsi="Arial" w:cs="Arial"/>
          <w:b/>
          <w:bCs/>
          <w:sz w:val="24"/>
          <w:szCs w:val="24"/>
          <w:lang w:val="en-US"/>
        </w:rPr>
      </w:pPr>
      <w:r w:rsidRPr="0065573A">
        <w:rPr>
          <w:rFonts w:ascii="Arial" w:eastAsiaTheme="minorEastAsia" w:hAnsi="Arial" w:cs="Arial"/>
          <w:b/>
          <w:bCs/>
          <w:sz w:val="24"/>
          <w:szCs w:val="24"/>
          <w:lang w:val="en-US"/>
        </w:rPr>
        <w:t>3.</w:t>
      </w:r>
      <w:r w:rsidR="007F757E">
        <w:rPr>
          <w:rFonts w:ascii="Arial" w:eastAsiaTheme="minorEastAsia" w:hAnsi="Arial" w:cs="Arial"/>
          <w:b/>
          <w:bCs/>
          <w:sz w:val="24"/>
          <w:szCs w:val="24"/>
          <w:lang w:val="en-US"/>
        </w:rPr>
        <w:t>1.</w:t>
      </w:r>
      <w:r w:rsidR="00355CC0">
        <w:rPr>
          <w:rFonts w:ascii="Arial" w:eastAsiaTheme="minorEastAsia" w:hAnsi="Arial" w:cs="Arial"/>
          <w:b/>
          <w:bCs/>
          <w:sz w:val="24"/>
          <w:szCs w:val="24"/>
          <w:lang w:val="en-US"/>
        </w:rPr>
        <w:t>4</w:t>
      </w:r>
      <w:r w:rsidRPr="0065573A">
        <w:rPr>
          <w:rFonts w:ascii="Arial" w:eastAsiaTheme="minorEastAsia" w:hAnsi="Arial" w:cs="Arial"/>
          <w:b/>
          <w:bCs/>
          <w:sz w:val="24"/>
          <w:szCs w:val="24"/>
          <w:lang w:val="en-US"/>
        </w:rPr>
        <w:t xml:space="preserve"> Personal Consumption Expenditures</w:t>
      </w:r>
      <w:r w:rsidR="0065573A" w:rsidRPr="0065573A">
        <w:rPr>
          <w:rFonts w:ascii="Arial" w:eastAsiaTheme="minorEastAsia" w:hAnsi="Arial" w:cs="Arial"/>
          <w:b/>
          <w:bCs/>
          <w:sz w:val="24"/>
          <w:szCs w:val="24"/>
          <w:lang w:val="en-US"/>
        </w:rPr>
        <w:t xml:space="preserve"> Price Index</w:t>
      </w:r>
      <w:r w:rsidRPr="0065573A">
        <w:rPr>
          <w:rFonts w:ascii="Arial" w:eastAsiaTheme="minorEastAsia" w:hAnsi="Arial" w:cs="Arial"/>
          <w:b/>
          <w:bCs/>
          <w:sz w:val="24"/>
          <w:szCs w:val="24"/>
          <w:lang w:val="en-US"/>
        </w:rPr>
        <w:t xml:space="preserve"> (PCE)</w:t>
      </w:r>
    </w:p>
    <w:p w14:paraId="6283B1FE" w14:textId="44484BA7" w:rsidR="00F757CD" w:rsidRPr="00F757CD" w:rsidRDefault="00F757CD" w:rsidP="00A05546">
      <w:pPr>
        <w:spacing w:line="360" w:lineRule="auto"/>
        <w:jc w:val="both"/>
        <w:rPr>
          <w:rFonts w:ascii="Arial" w:eastAsiaTheme="minorEastAsia" w:hAnsi="Arial" w:cs="Arial"/>
          <w:sz w:val="24"/>
          <w:szCs w:val="24"/>
        </w:rPr>
      </w:pPr>
      <w:r>
        <w:rPr>
          <w:rFonts w:ascii="Arial" w:eastAsiaTheme="minorEastAsia" w:hAnsi="Arial" w:cs="Arial"/>
          <w:sz w:val="24"/>
          <w:szCs w:val="24"/>
        </w:rPr>
        <w:lastRenderedPageBreak/>
        <w:t xml:space="preserve">Um indicador que se assemelha ao que foi buscado </w:t>
      </w:r>
      <w:r w:rsidR="00951ECF">
        <w:rPr>
          <w:rFonts w:ascii="Arial" w:eastAsiaTheme="minorEastAsia" w:hAnsi="Arial" w:cs="Arial"/>
          <w:sz w:val="24"/>
          <w:szCs w:val="24"/>
        </w:rPr>
        <w:t>e que mitiga os efeitos negativos explorados nesta Monografia</w:t>
      </w:r>
      <w:r>
        <w:rPr>
          <w:rFonts w:ascii="Arial" w:eastAsiaTheme="minorEastAsia" w:hAnsi="Arial" w:cs="Arial"/>
          <w:sz w:val="24"/>
          <w:szCs w:val="24"/>
        </w:rPr>
        <w:t xml:space="preserve"> é o PCE, elaborado pelo U.S. Bureau of Economic Analysis (BEA).</w:t>
      </w:r>
    </w:p>
    <w:p w14:paraId="5DF2886B" w14:textId="6846FCE1" w:rsidR="00DB0EE9" w:rsidRDefault="0065573A" w:rsidP="00A05546">
      <w:pPr>
        <w:spacing w:line="360" w:lineRule="auto"/>
        <w:jc w:val="both"/>
        <w:rPr>
          <w:rFonts w:ascii="Arial" w:hAnsi="Arial" w:cs="Arial"/>
          <w:sz w:val="24"/>
          <w:szCs w:val="24"/>
        </w:rPr>
      </w:pPr>
      <w:r>
        <w:rPr>
          <w:rFonts w:ascii="Arial" w:hAnsi="Arial" w:cs="Arial"/>
          <w:sz w:val="24"/>
          <w:szCs w:val="24"/>
        </w:rPr>
        <w:t>Segundo Johnson (2017), as diferenças entre o PCE e o CPI (</w:t>
      </w:r>
      <w:r w:rsidR="007D54D4">
        <w:rPr>
          <w:rFonts w:ascii="Arial" w:hAnsi="Arial" w:cs="Arial"/>
          <w:sz w:val="24"/>
          <w:szCs w:val="24"/>
        </w:rPr>
        <w:t xml:space="preserve">Consumer Price Index, </w:t>
      </w:r>
      <w:r>
        <w:rPr>
          <w:rFonts w:ascii="Arial" w:hAnsi="Arial" w:cs="Arial"/>
          <w:sz w:val="24"/>
          <w:szCs w:val="24"/>
        </w:rPr>
        <w:t>índice de inflação americano semelhante ao IPCA), se dão em quatro aspectos: fórmula, escopo, peso e outros</w:t>
      </w:r>
      <w:r w:rsidR="00DB0EE9">
        <w:rPr>
          <w:rFonts w:ascii="Arial" w:hAnsi="Arial" w:cs="Arial"/>
          <w:sz w:val="24"/>
          <w:szCs w:val="24"/>
        </w:rPr>
        <w:t xml:space="preserve"> (conjunto dos efeitos menores)</w:t>
      </w:r>
      <w:r>
        <w:rPr>
          <w:rFonts w:ascii="Arial" w:hAnsi="Arial" w:cs="Arial"/>
          <w:sz w:val="24"/>
          <w:szCs w:val="24"/>
        </w:rPr>
        <w:t>.</w:t>
      </w:r>
    </w:p>
    <w:p w14:paraId="1DEE83E7" w14:textId="7D6067F3" w:rsidR="00034D52" w:rsidRDefault="0065573A" w:rsidP="00A05546">
      <w:pPr>
        <w:spacing w:line="360" w:lineRule="auto"/>
        <w:jc w:val="both"/>
        <w:rPr>
          <w:rFonts w:ascii="Arial" w:hAnsi="Arial" w:cs="Arial"/>
          <w:sz w:val="24"/>
          <w:szCs w:val="24"/>
        </w:rPr>
      </w:pPr>
      <w:r>
        <w:rPr>
          <w:rFonts w:ascii="Arial" w:hAnsi="Arial" w:cs="Arial"/>
          <w:sz w:val="24"/>
          <w:szCs w:val="24"/>
        </w:rPr>
        <w:t>O efeito mais importante para o tema é o de fórmula, que advém do fato do CPI ser construído à partir de um índice de Laspeyres</w:t>
      </w:r>
      <w:r w:rsidR="00DB0EE9">
        <w:rPr>
          <w:rFonts w:ascii="Arial" w:hAnsi="Arial" w:cs="Arial"/>
          <w:sz w:val="24"/>
          <w:szCs w:val="24"/>
        </w:rPr>
        <w:t xml:space="preserve"> modificado</w:t>
      </w:r>
      <w:r>
        <w:rPr>
          <w:rFonts w:ascii="Arial" w:hAnsi="Arial" w:cs="Arial"/>
          <w:sz w:val="24"/>
          <w:szCs w:val="24"/>
        </w:rPr>
        <w:t xml:space="preserve">, enquanto o PCE é construído como um índice ideal de Fisher, </w:t>
      </w:r>
      <w:r w:rsidR="00DB0EE9">
        <w:rPr>
          <w:rFonts w:ascii="Arial" w:hAnsi="Arial" w:cs="Arial"/>
          <w:sz w:val="24"/>
          <w:szCs w:val="24"/>
        </w:rPr>
        <w:t xml:space="preserve">ambos </w:t>
      </w:r>
      <w:r>
        <w:rPr>
          <w:rFonts w:ascii="Arial" w:hAnsi="Arial" w:cs="Arial"/>
          <w:sz w:val="24"/>
          <w:szCs w:val="24"/>
        </w:rPr>
        <w:t>descrito</w:t>
      </w:r>
      <w:r w:rsidR="00DB0EE9">
        <w:rPr>
          <w:rFonts w:ascii="Arial" w:hAnsi="Arial" w:cs="Arial"/>
          <w:sz w:val="24"/>
          <w:szCs w:val="24"/>
        </w:rPr>
        <w:t>s</w:t>
      </w:r>
      <w:r>
        <w:rPr>
          <w:rFonts w:ascii="Arial" w:hAnsi="Arial" w:cs="Arial"/>
          <w:sz w:val="24"/>
          <w:szCs w:val="24"/>
        </w:rPr>
        <w:t xml:space="preserve"> no Capítulo 1</w:t>
      </w:r>
      <w:r w:rsidR="00DB0EE9">
        <w:rPr>
          <w:rFonts w:ascii="Arial" w:hAnsi="Arial" w:cs="Arial"/>
          <w:sz w:val="24"/>
          <w:szCs w:val="24"/>
        </w:rPr>
        <w:t xml:space="preserve">. O PCE, portanto, </w:t>
      </w:r>
      <w:r>
        <w:rPr>
          <w:rFonts w:ascii="Arial" w:hAnsi="Arial" w:cs="Arial"/>
          <w:sz w:val="24"/>
          <w:szCs w:val="24"/>
        </w:rPr>
        <w:t>leva em conta variações de quantidades além de preços no período corrente.</w:t>
      </w:r>
    </w:p>
    <w:p w14:paraId="5DA3C05A" w14:textId="540D0271" w:rsidR="0065573A" w:rsidRDefault="0065573A" w:rsidP="00A05546">
      <w:pPr>
        <w:spacing w:line="360" w:lineRule="auto"/>
        <w:jc w:val="both"/>
        <w:rPr>
          <w:rFonts w:ascii="Arial" w:hAnsi="Arial" w:cs="Arial"/>
          <w:sz w:val="24"/>
          <w:szCs w:val="24"/>
        </w:rPr>
      </w:pPr>
      <w:r>
        <w:rPr>
          <w:rFonts w:ascii="Arial" w:hAnsi="Arial" w:cs="Arial"/>
          <w:sz w:val="24"/>
          <w:szCs w:val="24"/>
        </w:rPr>
        <w:t>O aspecto de escopo se dá ao fato do CPI cobrir apenas a população urbana e consumo “out-of-pocket”</w:t>
      </w:r>
      <w:r>
        <w:rPr>
          <w:rStyle w:val="FootnoteReference"/>
          <w:rFonts w:ascii="Arial" w:hAnsi="Arial" w:cs="Arial"/>
          <w:sz w:val="24"/>
          <w:szCs w:val="24"/>
        </w:rPr>
        <w:footnoteReference w:id="2"/>
      </w:r>
      <w:r>
        <w:rPr>
          <w:rFonts w:ascii="Arial" w:hAnsi="Arial" w:cs="Arial"/>
          <w:sz w:val="24"/>
          <w:szCs w:val="24"/>
        </w:rPr>
        <w:t>, enquanto o PCE abrange também o rural e todo tipo de consumo.</w:t>
      </w:r>
    </w:p>
    <w:p w14:paraId="6EAA3EA5" w14:textId="3343427D" w:rsidR="00DB0EE9" w:rsidRPr="00DB0EE9" w:rsidRDefault="0065573A" w:rsidP="00A05546">
      <w:pPr>
        <w:spacing w:line="360" w:lineRule="auto"/>
        <w:jc w:val="both"/>
        <w:rPr>
          <w:rFonts w:ascii="Arial" w:hAnsi="Arial" w:cs="Arial"/>
          <w:sz w:val="24"/>
          <w:szCs w:val="24"/>
        </w:rPr>
      </w:pPr>
      <w:r>
        <w:rPr>
          <w:rFonts w:ascii="Arial" w:hAnsi="Arial" w:cs="Arial"/>
          <w:sz w:val="24"/>
          <w:szCs w:val="24"/>
        </w:rPr>
        <w:t xml:space="preserve">Por último, o aspecto do peso. Os índices possuem ponderações diferentes pois a fonte da </w:t>
      </w:r>
      <w:r w:rsidR="00DB0EE9">
        <w:rPr>
          <w:rFonts w:ascii="Arial" w:hAnsi="Arial" w:cs="Arial"/>
          <w:sz w:val="24"/>
          <w:szCs w:val="24"/>
        </w:rPr>
        <w:t xml:space="preserve">elaboração da </w:t>
      </w:r>
      <w:r>
        <w:rPr>
          <w:rFonts w:ascii="Arial" w:hAnsi="Arial" w:cs="Arial"/>
          <w:sz w:val="24"/>
          <w:szCs w:val="24"/>
        </w:rPr>
        <w:t xml:space="preserve">cesta de consumo </w:t>
      </w:r>
      <w:r w:rsidR="00DB0EE9">
        <w:rPr>
          <w:rFonts w:ascii="Arial" w:hAnsi="Arial" w:cs="Arial"/>
          <w:sz w:val="24"/>
          <w:szCs w:val="24"/>
        </w:rPr>
        <w:t>não é a mesma entre os dois</w:t>
      </w:r>
      <w:r>
        <w:rPr>
          <w:rFonts w:ascii="Arial" w:hAnsi="Arial" w:cs="Arial"/>
          <w:sz w:val="24"/>
          <w:szCs w:val="24"/>
        </w:rPr>
        <w:t xml:space="preserve"> (o que, no caso brasileiro, seria a POF). No CPI é utilizado a Consumer Expenditure Survey (CE), que é uma combinação de duas pesquisas de consumo. </w:t>
      </w:r>
      <w:r w:rsidRPr="0065573A">
        <w:rPr>
          <w:rFonts w:ascii="Arial" w:hAnsi="Arial" w:cs="Arial"/>
          <w:sz w:val="24"/>
          <w:szCs w:val="24"/>
          <w:lang w:val="en-US"/>
        </w:rPr>
        <w:t>Já o PCE utiliza a Personal Consumption Expenditures do National Income and Product Account</w:t>
      </w:r>
      <w:r>
        <w:rPr>
          <w:rFonts w:ascii="Arial" w:hAnsi="Arial" w:cs="Arial"/>
          <w:sz w:val="24"/>
          <w:szCs w:val="24"/>
          <w:lang w:val="en-US"/>
        </w:rPr>
        <w:t>s (NIPA)</w:t>
      </w:r>
      <w:r w:rsidR="00DB0EE9">
        <w:rPr>
          <w:rFonts w:ascii="Arial" w:hAnsi="Arial" w:cs="Arial"/>
          <w:sz w:val="24"/>
          <w:szCs w:val="24"/>
          <w:lang w:val="en-US"/>
        </w:rPr>
        <w:t xml:space="preserve">. </w:t>
      </w:r>
      <w:r w:rsidR="00DB0EE9" w:rsidRPr="00DB0EE9">
        <w:rPr>
          <w:rFonts w:ascii="Arial" w:hAnsi="Arial" w:cs="Arial"/>
          <w:sz w:val="24"/>
          <w:szCs w:val="24"/>
        </w:rPr>
        <w:t xml:space="preserve">As pesquisas diferem em metodologia, respondentes e objetivos, gerando </w:t>
      </w:r>
      <w:r w:rsidR="00DB0EE9">
        <w:rPr>
          <w:rFonts w:ascii="Arial" w:hAnsi="Arial" w:cs="Arial"/>
          <w:sz w:val="24"/>
          <w:szCs w:val="24"/>
        </w:rPr>
        <w:t>os diferentes impactos no CPI e no PCE.</w:t>
      </w:r>
    </w:p>
    <w:p w14:paraId="2B71DD87" w14:textId="5838F96B" w:rsidR="005E0457" w:rsidRDefault="006535D8" w:rsidP="006535D8">
      <w:pPr>
        <w:spacing w:line="360" w:lineRule="auto"/>
        <w:jc w:val="both"/>
        <w:rPr>
          <w:rFonts w:ascii="Arial" w:hAnsi="Arial" w:cs="Arial"/>
          <w:sz w:val="24"/>
          <w:szCs w:val="24"/>
        </w:rPr>
      </w:pPr>
      <w:r>
        <w:rPr>
          <w:rFonts w:ascii="Arial" w:hAnsi="Arial" w:cs="Arial"/>
          <w:sz w:val="24"/>
          <w:szCs w:val="24"/>
        </w:rPr>
        <w:t>Pelo fato do PCE ser construído como um índice ideal de Fisher, o viés de substituição é consideravelmente reduzido. Portanto, a criação de uma pesquisa de consumo mais tempestiva e, por conseguinte, a construção de um índice semelhante ao PCE deveria solucionar em boa parte o problema que foi abordado neste texto.</w:t>
      </w:r>
      <w:r w:rsidR="001867CE">
        <w:rPr>
          <w:rFonts w:ascii="Arial" w:hAnsi="Arial" w:cs="Arial"/>
          <w:sz w:val="24"/>
          <w:szCs w:val="24"/>
        </w:rPr>
        <w:t xml:space="preserve"> Em contrapartida, dado o tempo necessário para coletar toda a informação de quantidades e computar o índice, o PCE é divulgado com um atraso consideravelmente superior ao CPI, fazendo surgir um tradeoff de tempestividade e acurácia.</w:t>
      </w:r>
    </w:p>
    <w:p w14:paraId="05F79BD9" w14:textId="77777777" w:rsidR="001966D6" w:rsidRDefault="006535D8" w:rsidP="001966D6">
      <w:pPr>
        <w:spacing w:line="360" w:lineRule="auto"/>
        <w:jc w:val="both"/>
        <w:rPr>
          <w:rFonts w:ascii="Arial" w:hAnsi="Arial" w:cs="Arial"/>
          <w:sz w:val="24"/>
          <w:szCs w:val="24"/>
          <w:lang w:val="en-US"/>
        </w:rPr>
      </w:pPr>
      <w:r>
        <w:rPr>
          <w:rFonts w:ascii="Arial" w:hAnsi="Arial" w:cs="Arial"/>
          <w:sz w:val="24"/>
          <w:szCs w:val="24"/>
        </w:rPr>
        <w:lastRenderedPageBreak/>
        <w:t>No Capítulo 1 foram citados alguns problemas gerados pelo problema do viés, inclusive em relação à política monetária.</w:t>
      </w:r>
      <w:r w:rsidR="001966D6">
        <w:rPr>
          <w:rFonts w:ascii="Arial" w:hAnsi="Arial" w:cs="Arial"/>
          <w:sz w:val="24"/>
          <w:szCs w:val="24"/>
        </w:rPr>
        <w:t xml:space="preserve"> Neste ponto vale ressaltar a preferência do Federal Reserve (FED) em utilizar o PCE em suas análises. </w:t>
      </w:r>
      <w:proofErr w:type="spellStart"/>
      <w:r w:rsidR="001966D6" w:rsidRPr="001966D6">
        <w:rPr>
          <w:rFonts w:ascii="Arial" w:hAnsi="Arial" w:cs="Arial"/>
          <w:sz w:val="24"/>
          <w:szCs w:val="24"/>
          <w:lang w:val="en-US"/>
        </w:rPr>
        <w:t>Ainda</w:t>
      </w:r>
      <w:proofErr w:type="spellEnd"/>
      <w:r w:rsidR="001966D6" w:rsidRPr="001966D6">
        <w:rPr>
          <w:rFonts w:ascii="Arial" w:hAnsi="Arial" w:cs="Arial"/>
          <w:sz w:val="24"/>
          <w:szCs w:val="24"/>
          <w:lang w:val="en-US"/>
        </w:rPr>
        <w:t xml:space="preserve"> </w:t>
      </w:r>
      <w:proofErr w:type="spellStart"/>
      <w:r w:rsidR="001966D6" w:rsidRPr="001966D6">
        <w:rPr>
          <w:rFonts w:ascii="Arial" w:hAnsi="Arial" w:cs="Arial"/>
          <w:sz w:val="24"/>
          <w:szCs w:val="24"/>
          <w:lang w:val="en-US"/>
        </w:rPr>
        <w:t>segundo</w:t>
      </w:r>
      <w:proofErr w:type="spellEnd"/>
      <w:r w:rsidR="001966D6" w:rsidRPr="001966D6">
        <w:rPr>
          <w:rFonts w:ascii="Arial" w:hAnsi="Arial" w:cs="Arial"/>
          <w:sz w:val="24"/>
          <w:szCs w:val="24"/>
          <w:lang w:val="en-US"/>
        </w:rPr>
        <w:t xml:space="preserve"> </w:t>
      </w:r>
      <w:proofErr w:type="spellStart"/>
      <w:r w:rsidR="001966D6" w:rsidRPr="001966D6">
        <w:rPr>
          <w:rFonts w:ascii="Arial" w:hAnsi="Arial" w:cs="Arial"/>
          <w:sz w:val="24"/>
          <w:szCs w:val="24"/>
          <w:lang w:val="en-US"/>
        </w:rPr>
        <w:t>Jonhson</w:t>
      </w:r>
      <w:proofErr w:type="spellEnd"/>
      <w:r w:rsidR="001966D6" w:rsidRPr="001966D6">
        <w:rPr>
          <w:rFonts w:ascii="Arial" w:hAnsi="Arial" w:cs="Arial"/>
          <w:sz w:val="24"/>
          <w:szCs w:val="24"/>
          <w:lang w:val="en-US"/>
        </w:rPr>
        <w:t xml:space="preserve"> (2017): </w:t>
      </w:r>
    </w:p>
    <w:p w14:paraId="156DB6F4" w14:textId="749B1808" w:rsidR="006535D8" w:rsidRDefault="001966D6" w:rsidP="001966D6">
      <w:pPr>
        <w:spacing w:line="360" w:lineRule="auto"/>
        <w:jc w:val="both"/>
        <w:rPr>
          <w:rFonts w:ascii="Arial" w:hAnsi="Arial" w:cs="Arial"/>
          <w:sz w:val="24"/>
          <w:szCs w:val="24"/>
          <w:lang w:val="en-US"/>
        </w:rPr>
      </w:pPr>
      <w:r>
        <w:rPr>
          <w:rFonts w:ascii="Arial" w:hAnsi="Arial" w:cs="Arial"/>
          <w:sz w:val="24"/>
          <w:szCs w:val="24"/>
          <w:lang w:val="en-US"/>
        </w:rPr>
        <w:t>“</w:t>
      </w:r>
      <w:r w:rsidRPr="001966D6">
        <w:rPr>
          <w:rFonts w:ascii="Arial" w:hAnsi="Arial" w:cs="Arial"/>
          <w:sz w:val="24"/>
          <w:szCs w:val="24"/>
          <w:lang w:val="en-US"/>
        </w:rPr>
        <w:t>When the Fed switched to using the PCE, they</w:t>
      </w:r>
      <w:r>
        <w:rPr>
          <w:rFonts w:ascii="Arial" w:hAnsi="Arial" w:cs="Arial"/>
          <w:sz w:val="24"/>
          <w:szCs w:val="24"/>
          <w:lang w:val="en-US"/>
        </w:rPr>
        <w:t xml:space="preserve"> </w:t>
      </w:r>
      <w:r w:rsidRPr="001966D6">
        <w:rPr>
          <w:rFonts w:ascii="Arial" w:hAnsi="Arial" w:cs="Arial"/>
          <w:sz w:val="24"/>
          <w:szCs w:val="24"/>
          <w:lang w:val="en-US"/>
        </w:rPr>
        <w:t>gave three justifications, which highlight its advantages: the PCE index, because it reduces</w:t>
      </w:r>
      <w:r>
        <w:rPr>
          <w:rFonts w:ascii="Arial" w:hAnsi="Arial" w:cs="Arial"/>
          <w:sz w:val="24"/>
          <w:szCs w:val="24"/>
          <w:lang w:val="en-US"/>
        </w:rPr>
        <w:t xml:space="preserve"> </w:t>
      </w:r>
      <w:r w:rsidRPr="001966D6">
        <w:rPr>
          <w:rFonts w:ascii="Arial" w:hAnsi="Arial" w:cs="Arial"/>
          <w:sz w:val="24"/>
          <w:szCs w:val="24"/>
          <w:lang w:val="en-US"/>
        </w:rPr>
        <w:t>substitution bias, more accurately captured consumer behavior; the PCE data—to the best</w:t>
      </w:r>
      <w:r>
        <w:rPr>
          <w:rFonts w:ascii="Arial" w:hAnsi="Arial" w:cs="Arial"/>
          <w:sz w:val="24"/>
          <w:szCs w:val="24"/>
          <w:lang w:val="en-US"/>
        </w:rPr>
        <w:t xml:space="preserve"> </w:t>
      </w:r>
      <w:r w:rsidRPr="001966D6">
        <w:rPr>
          <w:rFonts w:ascii="Arial" w:hAnsi="Arial" w:cs="Arial"/>
          <w:sz w:val="24"/>
          <w:szCs w:val="24"/>
          <w:lang w:val="en-US"/>
        </w:rPr>
        <w:t>of BEA’s ability—are revised in their entirety to reflect methodological changes when they</w:t>
      </w:r>
      <w:r>
        <w:rPr>
          <w:rFonts w:ascii="Arial" w:hAnsi="Arial" w:cs="Arial"/>
          <w:sz w:val="24"/>
          <w:szCs w:val="24"/>
          <w:lang w:val="en-US"/>
        </w:rPr>
        <w:t xml:space="preserve"> </w:t>
      </w:r>
      <w:r w:rsidRPr="001966D6">
        <w:rPr>
          <w:rFonts w:ascii="Arial" w:hAnsi="Arial" w:cs="Arial"/>
          <w:sz w:val="24"/>
          <w:szCs w:val="24"/>
          <w:lang w:val="en-US"/>
        </w:rPr>
        <w:t>happen; and the scope of the PCE was broader and thus captured more of the economy.</w:t>
      </w:r>
      <w:r>
        <w:rPr>
          <w:rFonts w:ascii="Arial" w:hAnsi="Arial" w:cs="Arial"/>
          <w:sz w:val="24"/>
          <w:szCs w:val="24"/>
          <w:lang w:val="en-US"/>
        </w:rPr>
        <w:t>”</w:t>
      </w:r>
      <w:r w:rsidR="004B4FC5">
        <w:rPr>
          <w:rStyle w:val="FootnoteReference"/>
          <w:rFonts w:ascii="Arial" w:hAnsi="Arial" w:cs="Arial"/>
          <w:sz w:val="24"/>
          <w:szCs w:val="24"/>
          <w:lang w:val="en-US"/>
        </w:rPr>
        <w:footnoteReference w:id="3"/>
      </w:r>
    </w:p>
    <w:p w14:paraId="4616D6DB" w14:textId="77777777" w:rsidR="00A11A1D" w:rsidRDefault="00A11A1D" w:rsidP="001966D6">
      <w:pPr>
        <w:spacing w:line="360" w:lineRule="auto"/>
        <w:jc w:val="both"/>
        <w:rPr>
          <w:rFonts w:ascii="Arial" w:hAnsi="Arial" w:cs="Arial"/>
          <w:sz w:val="24"/>
          <w:szCs w:val="24"/>
        </w:rPr>
      </w:pPr>
      <w:r>
        <w:rPr>
          <w:rFonts w:ascii="Arial" w:hAnsi="Arial" w:cs="Arial"/>
          <w:sz w:val="24"/>
          <w:szCs w:val="24"/>
        </w:rPr>
        <w:t>Por razões semelhantes as dos Estados Unidos, é possível imaginar que tal índice de Fisher seria útil para a análise do Banco Central acerca dos preços e da atividade econômica. Como o BCB está preocupado em analisar o estado real da economia e como está a dinâmica dos preços em horizontes mais longos, ele provavelmente tenderia para o lado de acurácia do tradeoff. Já o mercado financeiro, por exemplo, que está mais preocupado com a maior quantidade de informação mas restrito ao menor tempo, provavelmente tenderia para o lado da tempestividade do tradeoff, como é observado no caso americano.</w:t>
      </w:r>
    </w:p>
    <w:p w14:paraId="4AEBF3C0" w14:textId="7D418ABC" w:rsidR="001966D6" w:rsidRPr="001966D6" w:rsidRDefault="00A11A1D" w:rsidP="001966D6">
      <w:pPr>
        <w:spacing w:line="360" w:lineRule="auto"/>
        <w:jc w:val="both"/>
        <w:rPr>
          <w:rFonts w:ascii="Arial" w:hAnsi="Arial" w:cs="Arial"/>
          <w:sz w:val="24"/>
          <w:szCs w:val="24"/>
        </w:rPr>
      </w:pPr>
      <w:r>
        <w:rPr>
          <w:rFonts w:ascii="Arial" w:hAnsi="Arial" w:cs="Arial"/>
          <w:sz w:val="24"/>
          <w:szCs w:val="24"/>
        </w:rPr>
        <w:t>Outro ponto a se destacar é a existência de revisões. Como abordou Johnson, a existência de revisões dos dados pode ser interessando ao FED (ou BCB, no caso), pois melhora a análise real dos dados. Por outro lado, uma série longa de preços que não sofre revisão é bastante útil para análises contínuas sobre o comportamento dos preços no curto prazo, que é mais de interesse dos economistas de mercado.</w:t>
      </w:r>
    </w:p>
    <w:p w14:paraId="6D9825D5" w14:textId="017257AF" w:rsidR="005E0457" w:rsidRPr="001966D6" w:rsidRDefault="005E0457" w:rsidP="004F3BDA">
      <w:pPr>
        <w:spacing w:line="360" w:lineRule="auto"/>
        <w:rPr>
          <w:rFonts w:ascii="Arial" w:hAnsi="Arial" w:cs="Arial"/>
          <w:sz w:val="24"/>
          <w:szCs w:val="24"/>
        </w:rPr>
      </w:pPr>
    </w:p>
    <w:p w14:paraId="1A9A7E76" w14:textId="1E26C323" w:rsidR="00F54F9D" w:rsidRPr="007F757E" w:rsidRDefault="007F757E" w:rsidP="004F3BDA">
      <w:pPr>
        <w:spacing w:line="360" w:lineRule="auto"/>
        <w:rPr>
          <w:rFonts w:ascii="Arial" w:hAnsi="Arial" w:cs="Arial"/>
          <w:b/>
          <w:bCs/>
          <w:sz w:val="24"/>
          <w:szCs w:val="24"/>
        </w:rPr>
      </w:pPr>
      <w:r>
        <w:rPr>
          <w:rFonts w:ascii="Arial" w:hAnsi="Arial" w:cs="Arial"/>
          <w:b/>
          <w:bCs/>
          <w:sz w:val="24"/>
          <w:szCs w:val="24"/>
        </w:rPr>
        <w:t xml:space="preserve">3.2 </w:t>
      </w:r>
      <w:r w:rsidR="002A56E5">
        <w:rPr>
          <w:rFonts w:ascii="Arial" w:hAnsi="Arial" w:cs="Arial"/>
          <w:b/>
          <w:bCs/>
          <w:sz w:val="24"/>
          <w:szCs w:val="24"/>
        </w:rPr>
        <w:t>Considerações finais</w:t>
      </w:r>
      <w:r w:rsidR="00B21BFB">
        <w:rPr>
          <w:rFonts w:ascii="Arial" w:hAnsi="Arial" w:cs="Arial"/>
          <w:b/>
          <w:bCs/>
          <w:sz w:val="24"/>
          <w:szCs w:val="24"/>
        </w:rPr>
        <w:t xml:space="preserve"> e agradecimentos</w:t>
      </w:r>
    </w:p>
    <w:p w14:paraId="14276B56" w14:textId="1EF28D2E" w:rsidR="00F54F9D" w:rsidRDefault="004F3BDA" w:rsidP="004F3BDA">
      <w:pPr>
        <w:spacing w:line="360" w:lineRule="auto"/>
        <w:jc w:val="both"/>
        <w:rPr>
          <w:rFonts w:ascii="Arial" w:hAnsi="Arial" w:cs="Arial"/>
          <w:sz w:val="24"/>
          <w:szCs w:val="24"/>
        </w:rPr>
      </w:pPr>
      <w:r>
        <w:rPr>
          <w:rFonts w:ascii="Arial" w:hAnsi="Arial" w:cs="Arial"/>
          <w:sz w:val="24"/>
          <w:szCs w:val="24"/>
        </w:rPr>
        <w:t xml:space="preserve">Dado o que foi apresentado, chega-se à conclusão que um índice no estilo PCE para o Brasil traria diversos avanços relevantes para a análise de preços e atividade. No entanto, ele não seria excludente em relação aos índices comuns </w:t>
      </w:r>
      <w:r>
        <w:rPr>
          <w:rFonts w:ascii="Arial" w:hAnsi="Arial" w:cs="Arial"/>
          <w:sz w:val="24"/>
          <w:szCs w:val="24"/>
        </w:rPr>
        <w:lastRenderedPageBreak/>
        <w:t>de inflação no estilo Laspeyres ou Laspeyres Modificado. O tradeoff entre as duas medidas é claro e, dependendo do usuário, um índice pode ser preferível ao outro.</w:t>
      </w:r>
    </w:p>
    <w:p w14:paraId="5A1ECFC3" w14:textId="37BC3AAE" w:rsidR="004F3BDA" w:rsidRDefault="004F3BDA" w:rsidP="004F3BDA">
      <w:pPr>
        <w:spacing w:line="360" w:lineRule="auto"/>
        <w:jc w:val="both"/>
        <w:rPr>
          <w:rFonts w:ascii="Arial" w:hAnsi="Arial" w:cs="Arial"/>
          <w:sz w:val="24"/>
          <w:szCs w:val="24"/>
        </w:rPr>
      </w:pPr>
      <w:r>
        <w:rPr>
          <w:rFonts w:ascii="Arial" w:hAnsi="Arial" w:cs="Arial"/>
          <w:sz w:val="24"/>
          <w:szCs w:val="24"/>
        </w:rPr>
        <w:t>No caso específico dos vieses na pandemia, um índice ideal de Fisher, como foi procurado construir, certamente ajuda a mitigar os efeitos do efeito substituição. Independentemente do resultado ser pela existência ou não de viés, se há efeito líquido neutro ou não, a medida auxilia a analisar os dados mais fielmente.</w:t>
      </w:r>
    </w:p>
    <w:p w14:paraId="4B23EA86" w14:textId="5AE73CB4" w:rsidR="004F3BDA" w:rsidRDefault="004F3BDA" w:rsidP="004F3BDA">
      <w:pPr>
        <w:spacing w:line="360" w:lineRule="auto"/>
        <w:jc w:val="both"/>
        <w:rPr>
          <w:rFonts w:ascii="Arial" w:hAnsi="Arial" w:cs="Arial"/>
          <w:sz w:val="24"/>
          <w:szCs w:val="24"/>
        </w:rPr>
      </w:pPr>
      <w:r>
        <w:rPr>
          <w:rFonts w:ascii="Arial" w:hAnsi="Arial" w:cs="Arial"/>
          <w:sz w:val="24"/>
          <w:szCs w:val="24"/>
        </w:rPr>
        <w:t>Pode-se, também, encontrar um índice intermediário aos dois. Uma construção que não necessariamente tenha uma atualização de cestas de consumo através de pesquisa mais frequentemente, mas um índice que siga uma das metodologias recomendadas aqui, com atualizações através de proxys quantum que possibilitem uma análise mais completa sem perder muito a questão da tempestividade. Nesse caso, a metodologia poderia ser mais aberta, compreendendo um número maior de itens a fim de capturar o máximo dos movimentos de demanda que acontecem na economia.</w:t>
      </w:r>
    </w:p>
    <w:p w14:paraId="7410A3CC" w14:textId="16D40A7E" w:rsidR="004F3BDA" w:rsidRDefault="004F3BDA" w:rsidP="004F3BDA">
      <w:pPr>
        <w:spacing w:line="360" w:lineRule="auto"/>
        <w:jc w:val="both"/>
        <w:rPr>
          <w:rFonts w:ascii="Arial" w:hAnsi="Arial" w:cs="Arial"/>
          <w:sz w:val="24"/>
          <w:szCs w:val="24"/>
        </w:rPr>
      </w:pPr>
      <w:r>
        <w:rPr>
          <w:rFonts w:ascii="Arial" w:hAnsi="Arial" w:cs="Arial"/>
          <w:sz w:val="24"/>
          <w:szCs w:val="24"/>
        </w:rPr>
        <w:t xml:space="preserve">O viés encontrado no IPCA não foi da mesma magnitude aos encontrados na Comissão de Boskin, porém </w:t>
      </w:r>
      <w:r w:rsidR="009F4D4A">
        <w:rPr>
          <w:rFonts w:ascii="Arial" w:hAnsi="Arial" w:cs="Arial"/>
          <w:sz w:val="24"/>
          <w:szCs w:val="24"/>
        </w:rPr>
        <w:t>não deixam de ser relevantes. Voltando ao exemplo do teto de gastos, se este fosse recalculado para 2022 utilizando a inflação ajustada acumulada em 12 meses até junho, o teto sofreria um ajuste de 8,61%, ao contrário de 8,35% na medida oficial. Isso traz uma diferença de 0,27 pontos percentuais, ou o equivalente a R$ 4 bilhões de Reais.</w:t>
      </w:r>
    </w:p>
    <w:p w14:paraId="58A286F8" w14:textId="5018D04F" w:rsidR="004F3BDA" w:rsidRDefault="009F4D4A" w:rsidP="004F3BDA">
      <w:pPr>
        <w:spacing w:line="360" w:lineRule="auto"/>
        <w:jc w:val="both"/>
        <w:rPr>
          <w:rFonts w:ascii="Arial" w:hAnsi="Arial" w:cs="Arial"/>
          <w:sz w:val="24"/>
          <w:szCs w:val="24"/>
        </w:rPr>
      </w:pPr>
      <w:r>
        <w:rPr>
          <w:rFonts w:ascii="Arial" w:hAnsi="Arial" w:cs="Arial"/>
          <w:sz w:val="24"/>
          <w:szCs w:val="24"/>
        </w:rPr>
        <w:t>Por fim, é importante agradecer novamente a Fundação Getúlio Vargas pela disponibilização dos dados fechados especialmente para a realização desta Monografia.</w:t>
      </w:r>
    </w:p>
    <w:p w14:paraId="62FC422F" w14:textId="1BA4AE01" w:rsidR="00B21BFB" w:rsidRPr="001966D6" w:rsidRDefault="00B21BFB" w:rsidP="004F3BDA">
      <w:pPr>
        <w:spacing w:line="360" w:lineRule="auto"/>
        <w:jc w:val="both"/>
        <w:rPr>
          <w:rFonts w:ascii="Arial" w:hAnsi="Arial" w:cs="Arial"/>
          <w:sz w:val="24"/>
          <w:szCs w:val="24"/>
        </w:rPr>
      </w:pPr>
      <w:r>
        <w:rPr>
          <w:rFonts w:ascii="Arial" w:hAnsi="Arial" w:cs="Arial"/>
          <w:sz w:val="24"/>
          <w:szCs w:val="24"/>
        </w:rPr>
        <w:t>Também gostaria de agradecer meu orientador Prof. Dr. Heron Carlos Esvael do Carmo pelo apoio e auxílio no desenvolvimento do tema</w:t>
      </w:r>
      <w:r w:rsidR="003D197B">
        <w:rPr>
          <w:rFonts w:ascii="Arial" w:hAnsi="Arial" w:cs="Arial"/>
          <w:sz w:val="24"/>
          <w:szCs w:val="24"/>
        </w:rPr>
        <w:t>,</w:t>
      </w:r>
      <w:r>
        <w:rPr>
          <w:rFonts w:ascii="Arial" w:hAnsi="Arial" w:cs="Arial"/>
          <w:sz w:val="24"/>
          <w:szCs w:val="24"/>
        </w:rPr>
        <w:t xml:space="preserve"> meu colega de trabalho Fábio Ramos também pelo auxílio no desenvolvimento do tema e ensinamentos acerca de inflação</w:t>
      </w:r>
      <w:r w:rsidR="007E0FDA">
        <w:rPr>
          <w:rFonts w:ascii="Arial" w:hAnsi="Arial" w:cs="Arial"/>
          <w:sz w:val="24"/>
          <w:szCs w:val="24"/>
        </w:rPr>
        <w:t>, de muito valor no avanço deste trabalho</w:t>
      </w:r>
      <w:r w:rsidR="003D197B">
        <w:rPr>
          <w:rFonts w:ascii="Arial" w:hAnsi="Arial" w:cs="Arial"/>
          <w:sz w:val="24"/>
          <w:szCs w:val="24"/>
        </w:rPr>
        <w:t>, e a própria FEA-USP, pelos ensinamentos e experiências acadêmicas nesses 4 anos de curso em Ciências Econômicas.</w:t>
      </w:r>
    </w:p>
    <w:p w14:paraId="37A120E0" w14:textId="2844C503" w:rsidR="00A47134" w:rsidRDefault="00A47134" w:rsidP="005A58B8">
      <w:pPr>
        <w:rPr>
          <w:rFonts w:ascii="Arial" w:hAnsi="Arial" w:cs="Arial"/>
          <w:sz w:val="24"/>
          <w:szCs w:val="24"/>
        </w:rPr>
      </w:pPr>
    </w:p>
    <w:sectPr w:rsidR="00A471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91653" w14:textId="77777777" w:rsidR="002B55AF" w:rsidRDefault="002B55AF" w:rsidP="00C05C90">
      <w:pPr>
        <w:spacing w:after="0" w:line="240" w:lineRule="auto"/>
      </w:pPr>
      <w:r>
        <w:separator/>
      </w:r>
    </w:p>
  </w:endnote>
  <w:endnote w:type="continuationSeparator" w:id="0">
    <w:p w14:paraId="3502261C" w14:textId="77777777" w:rsidR="002B55AF" w:rsidRDefault="002B55AF" w:rsidP="00C05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1AB5E" w14:textId="77777777" w:rsidR="002B55AF" w:rsidRDefault="002B55AF" w:rsidP="00C05C90">
      <w:pPr>
        <w:spacing w:after="0" w:line="240" w:lineRule="auto"/>
      </w:pPr>
      <w:r>
        <w:separator/>
      </w:r>
    </w:p>
  </w:footnote>
  <w:footnote w:type="continuationSeparator" w:id="0">
    <w:p w14:paraId="05FD63CE" w14:textId="77777777" w:rsidR="002B55AF" w:rsidRDefault="002B55AF" w:rsidP="00C05C90">
      <w:pPr>
        <w:spacing w:after="0" w:line="240" w:lineRule="auto"/>
      </w:pPr>
      <w:r>
        <w:continuationSeparator/>
      </w:r>
    </w:p>
  </w:footnote>
  <w:footnote w:id="1">
    <w:p w14:paraId="1BFF5A4B" w14:textId="77777777" w:rsidR="00355CC0" w:rsidRDefault="00355CC0" w:rsidP="00355CC0">
      <w:pPr>
        <w:pStyle w:val="FootnoteText"/>
      </w:pPr>
      <w:r>
        <w:rPr>
          <w:rStyle w:val="FootnoteReference"/>
        </w:rPr>
        <w:footnoteRef/>
      </w:r>
      <w:r>
        <w:t xml:space="preserve"> Consumo aparente = produção + importação - exportação</w:t>
      </w:r>
    </w:p>
  </w:footnote>
  <w:footnote w:id="2">
    <w:p w14:paraId="434B7542" w14:textId="1B1E0F09" w:rsidR="0065573A" w:rsidRDefault="0065573A">
      <w:pPr>
        <w:pStyle w:val="FootnoteText"/>
      </w:pPr>
      <w:r>
        <w:rPr>
          <w:rStyle w:val="FootnoteReference"/>
        </w:rPr>
        <w:footnoteRef/>
      </w:r>
      <w:r>
        <w:t xml:space="preserve"> </w:t>
      </w:r>
      <w:r>
        <w:t xml:space="preserve">Consumo </w:t>
      </w:r>
      <w:r>
        <w:t>com recursos do próprio consumidor, ao contrário de consumo com recursos de outra origem como seguradoras, por exemplo.</w:t>
      </w:r>
    </w:p>
  </w:footnote>
  <w:footnote w:id="3">
    <w:p w14:paraId="7CF5EBA1" w14:textId="3A78BC9B" w:rsidR="004B4FC5" w:rsidRDefault="004B4FC5">
      <w:pPr>
        <w:pStyle w:val="FootnoteText"/>
      </w:pPr>
      <w:r>
        <w:rPr>
          <w:rStyle w:val="FootnoteReference"/>
        </w:rPr>
        <w:footnoteRef/>
      </w:r>
      <w:r>
        <w:t xml:space="preserve"> </w:t>
      </w:r>
      <w:r w:rsidRPr="004B4FC5">
        <w:t xml:space="preserve">Outras </w:t>
      </w:r>
      <w:r w:rsidRPr="004B4FC5">
        <w:t>soluções foram encontradas para o caso americano. O índice chamado Chained-CPI usa a fórmula de Tornqvist (discutida no Capítulo 1), que reduz o viés de substituição mas também atrasa a divulgação.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99"/>
    <w:rsid w:val="00034D52"/>
    <w:rsid w:val="00083699"/>
    <w:rsid w:val="001867CE"/>
    <w:rsid w:val="001966D6"/>
    <w:rsid w:val="001C1259"/>
    <w:rsid w:val="001F623C"/>
    <w:rsid w:val="002A56E5"/>
    <w:rsid w:val="002B4AD7"/>
    <w:rsid w:val="002B55AF"/>
    <w:rsid w:val="002D3C6E"/>
    <w:rsid w:val="002E3E1F"/>
    <w:rsid w:val="00355CC0"/>
    <w:rsid w:val="00384616"/>
    <w:rsid w:val="003D197B"/>
    <w:rsid w:val="00406185"/>
    <w:rsid w:val="004B4FC5"/>
    <w:rsid w:val="004C56FE"/>
    <w:rsid w:val="004F3BDA"/>
    <w:rsid w:val="005A58B8"/>
    <w:rsid w:val="005E0457"/>
    <w:rsid w:val="005E43F7"/>
    <w:rsid w:val="006535D8"/>
    <w:rsid w:val="0065573A"/>
    <w:rsid w:val="007D54D4"/>
    <w:rsid w:val="007E0FDA"/>
    <w:rsid w:val="007F757E"/>
    <w:rsid w:val="008D6512"/>
    <w:rsid w:val="00951ECF"/>
    <w:rsid w:val="009F4D4A"/>
    <w:rsid w:val="00A05546"/>
    <w:rsid w:val="00A11A1D"/>
    <w:rsid w:val="00A40EE7"/>
    <w:rsid w:val="00A47134"/>
    <w:rsid w:val="00AA31C6"/>
    <w:rsid w:val="00B21BFB"/>
    <w:rsid w:val="00BA26F8"/>
    <w:rsid w:val="00BD0F59"/>
    <w:rsid w:val="00C05C90"/>
    <w:rsid w:val="00D468A5"/>
    <w:rsid w:val="00DB0EE9"/>
    <w:rsid w:val="00DC0B54"/>
    <w:rsid w:val="00E5792B"/>
    <w:rsid w:val="00E6212C"/>
    <w:rsid w:val="00ED59ED"/>
    <w:rsid w:val="00EF110F"/>
    <w:rsid w:val="00F54F9D"/>
    <w:rsid w:val="00F757CD"/>
    <w:rsid w:val="00F76770"/>
    <w:rsid w:val="00F85EF0"/>
    <w:rsid w:val="00FF5F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B029"/>
  <w15:chartTrackingRefBased/>
  <w15:docId w15:val="{6AEC59A1-D3C8-4213-980A-D9A9E33E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8B8"/>
    <w:rPr>
      <w:color w:val="0563C1" w:themeColor="hyperlink"/>
      <w:u w:val="single"/>
    </w:rPr>
  </w:style>
  <w:style w:type="character" w:styleId="FollowedHyperlink">
    <w:name w:val="FollowedHyperlink"/>
    <w:basedOn w:val="DefaultParagraphFont"/>
    <w:uiPriority w:val="99"/>
    <w:semiHidden/>
    <w:unhideWhenUsed/>
    <w:rsid w:val="005A58B8"/>
    <w:rPr>
      <w:color w:val="954F72" w:themeColor="followedHyperlink"/>
      <w:u w:val="single"/>
    </w:rPr>
  </w:style>
  <w:style w:type="paragraph" w:styleId="FootnoteText">
    <w:name w:val="footnote text"/>
    <w:basedOn w:val="Normal"/>
    <w:link w:val="FootnoteTextChar"/>
    <w:uiPriority w:val="99"/>
    <w:semiHidden/>
    <w:unhideWhenUsed/>
    <w:rsid w:val="00C05C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5C90"/>
    <w:rPr>
      <w:sz w:val="20"/>
      <w:szCs w:val="20"/>
    </w:rPr>
  </w:style>
  <w:style w:type="character" w:styleId="FootnoteReference">
    <w:name w:val="footnote reference"/>
    <w:basedOn w:val="DefaultParagraphFont"/>
    <w:uiPriority w:val="99"/>
    <w:semiHidden/>
    <w:unhideWhenUsed/>
    <w:rsid w:val="00C05C90"/>
    <w:rPr>
      <w:vertAlign w:val="superscript"/>
    </w:rPr>
  </w:style>
  <w:style w:type="paragraph" w:styleId="Caption">
    <w:name w:val="caption"/>
    <w:basedOn w:val="Normal"/>
    <w:next w:val="Normal"/>
    <w:uiPriority w:val="35"/>
    <w:unhideWhenUsed/>
    <w:qFormat/>
    <w:rsid w:val="00C05C90"/>
    <w:pPr>
      <w:spacing w:after="200" w:line="240" w:lineRule="auto"/>
    </w:pPr>
    <w:rPr>
      <w:i/>
      <w:iCs/>
      <w:color w:val="44546A" w:themeColor="text2"/>
      <w:sz w:val="18"/>
      <w:szCs w:val="18"/>
    </w:rPr>
  </w:style>
  <w:style w:type="table" w:styleId="TableGrid">
    <w:name w:val="Table Grid"/>
    <w:basedOn w:val="TableNormal"/>
    <w:uiPriority w:val="39"/>
    <w:rsid w:val="00C05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0B54"/>
    <w:rPr>
      <w:color w:val="808080"/>
    </w:rPr>
  </w:style>
  <w:style w:type="character" w:styleId="UnresolvedMention">
    <w:name w:val="Unresolved Mention"/>
    <w:basedOn w:val="DefaultParagraphFont"/>
    <w:uiPriority w:val="99"/>
    <w:semiHidden/>
    <w:unhideWhenUsed/>
    <w:rsid w:val="00A47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4F555-F729-4097-B0A1-E2076C248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14</Pages>
  <Words>2685</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37</cp:revision>
  <dcterms:created xsi:type="dcterms:W3CDTF">2021-11-07T03:37:00Z</dcterms:created>
  <dcterms:modified xsi:type="dcterms:W3CDTF">2021-11-08T02:16:00Z</dcterms:modified>
</cp:coreProperties>
</file>