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0086" w14:textId="77777777" w:rsidR="000A0166" w:rsidRPr="00A867FA" w:rsidRDefault="000A0166" w:rsidP="00A86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67FA">
        <w:rPr>
          <w:rFonts w:ascii="Times New Roman" w:hAnsi="Times New Roman" w:cs="Times New Roman"/>
          <w:b/>
          <w:bCs/>
          <w:sz w:val="24"/>
          <w:szCs w:val="24"/>
        </w:rPr>
        <w:t>Appendix A. Measurement Instrument</w:t>
      </w:r>
    </w:p>
    <w:p w14:paraId="1085BE6B" w14:textId="77777777" w:rsidR="000A0166" w:rsidRPr="000E2BDA" w:rsidRDefault="000A0166" w:rsidP="00A867FA">
      <w:pPr>
        <w:jc w:val="both"/>
        <w:rPr>
          <w:rFonts w:ascii="Times New Roman" w:hAnsi="Times New Roman" w:cs="Times New Roman"/>
          <w:sz w:val="24"/>
          <w:szCs w:val="24"/>
        </w:rPr>
      </w:pPr>
      <w:r w:rsidRPr="000E2BDA">
        <w:rPr>
          <w:rFonts w:ascii="Times New Roman" w:hAnsi="Times New Roman" w:cs="Times New Roman"/>
          <w:sz w:val="24"/>
          <w:szCs w:val="24"/>
        </w:rPr>
        <w:t>Response format: All items were measured on a five-point Likert scale ranging from 1 = Strongly Disagree to 5 = Strongly Agree. The measurement items were adapted from established conceptualisations and prior empirical literature and were subsequently contextualised to the Varanasi entrepreneurial and local-development setting.</w:t>
      </w:r>
    </w:p>
    <w:p w14:paraId="1729E0F4" w14:textId="77777777" w:rsidR="00BE50D9" w:rsidRPr="00A867FA" w:rsidRDefault="00BE50D9" w:rsidP="00A867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7FA">
        <w:rPr>
          <w:rFonts w:ascii="Times New Roman" w:hAnsi="Times New Roman" w:cs="Times New Roman"/>
          <w:b/>
          <w:bCs/>
          <w:sz w:val="24"/>
          <w:szCs w:val="24"/>
        </w:rPr>
        <w:t>Appendix A. Measurement Instrument and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723"/>
        <w:gridCol w:w="3481"/>
        <w:gridCol w:w="2875"/>
      </w:tblGrid>
      <w:tr w:rsidR="00BE50D9" w:rsidRPr="00A867FA" w14:paraId="3A74211C" w14:textId="77777777" w:rsidTr="00BE50D9">
        <w:tc>
          <w:tcPr>
            <w:tcW w:w="0" w:type="auto"/>
            <w:hideMark/>
          </w:tcPr>
          <w:p w14:paraId="3CA7B4C0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</w:p>
        </w:tc>
        <w:tc>
          <w:tcPr>
            <w:tcW w:w="0" w:type="auto"/>
            <w:hideMark/>
          </w:tcPr>
          <w:p w14:paraId="08CE07DD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63106227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Measurement Item</w:t>
            </w:r>
          </w:p>
        </w:tc>
        <w:tc>
          <w:tcPr>
            <w:tcW w:w="0" w:type="auto"/>
            <w:hideMark/>
          </w:tcPr>
          <w:p w14:paraId="06926D34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Source/Basis</w:t>
            </w:r>
          </w:p>
        </w:tc>
      </w:tr>
      <w:tr w:rsidR="00BE50D9" w:rsidRPr="00A867FA" w14:paraId="3FD098DE" w14:textId="77777777" w:rsidTr="00BE50D9">
        <w:tc>
          <w:tcPr>
            <w:tcW w:w="0" w:type="auto"/>
            <w:hideMark/>
          </w:tcPr>
          <w:p w14:paraId="1426F203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Infrastructure Development</w:t>
            </w:r>
          </w:p>
        </w:tc>
        <w:tc>
          <w:tcPr>
            <w:tcW w:w="0" w:type="auto"/>
            <w:hideMark/>
          </w:tcPr>
          <w:p w14:paraId="351F1177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ID1</w:t>
            </w:r>
          </w:p>
        </w:tc>
        <w:tc>
          <w:tcPr>
            <w:tcW w:w="0" w:type="auto"/>
            <w:hideMark/>
          </w:tcPr>
          <w:p w14:paraId="03EDDACD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The existing transportation infrastructure adequately supports local business activities.</w:t>
            </w:r>
          </w:p>
        </w:tc>
        <w:tc>
          <w:tcPr>
            <w:tcW w:w="0" w:type="auto"/>
            <w:hideMark/>
          </w:tcPr>
          <w:p w14:paraId="56EF9269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Stam and van de Ven (2021); Dana, Gurau and Lasch (2014)</w:t>
            </w:r>
          </w:p>
        </w:tc>
      </w:tr>
      <w:tr w:rsidR="00BE50D9" w:rsidRPr="00A867FA" w14:paraId="02524D32" w14:textId="77777777" w:rsidTr="00BE50D9">
        <w:tc>
          <w:tcPr>
            <w:tcW w:w="0" w:type="auto"/>
            <w:hideMark/>
          </w:tcPr>
          <w:p w14:paraId="40854481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A1EA1F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ID2</w:t>
            </w:r>
          </w:p>
        </w:tc>
        <w:tc>
          <w:tcPr>
            <w:tcW w:w="0" w:type="auto"/>
            <w:hideMark/>
          </w:tcPr>
          <w:p w14:paraId="059F7843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Improved roads and connectivity have increased the accessibility of local businesses.</w:t>
            </w:r>
          </w:p>
        </w:tc>
        <w:tc>
          <w:tcPr>
            <w:tcW w:w="0" w:type="auto"/>
            <w:hideMark/>
          </w:tcPr>
          <w:p w14:paraId="51D56360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Stam and van de Ven (2021); Dana, Gurau and Lasch (2014)</w:t>
            </w:r>
          </w:p>
        </w:tc>
      </w:tr>
      <w:tr w:rsidR="00BE50D9" w:rsidRPr="00A867FA" w14:paraId="6516F1EA" w14:textId="77777777" w:rsidTr="00BE50D9">
        <w:tc>
          <w:tcPr>
            <w:tcW w:w="0" w:type="auto"/>
            <w:hideMark/>
          </w:tcPr>
          <w:p w14:paraId="2A68192F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69AE562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ID3</w:t>
            </w:r>
          </w:p>
        </w:tc>
        <w:tc>
          <w:tcPr>
            <w:tcW w:w="0" w:type="auto"/>
            <w:hideMark/>
          </w:tcPr>
          <w:p w14:paraId="2F5ED21F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Reliable basic infrastructure and utilities support the operation of local businesses.</w:t>
            </w:r>
          </w:p>
        </w:tc>
        <w:tc>
          <w:tcPr>
            <w:tcW w:w="0" w:type="auto"/>
            <w:hideMark/>
          </w:tcPr>
          <w:p w14:paraId="63AFA9EE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Stam and van de Ven (2021)</w:t>
            </w:r>
          </w:p>
        </w:tc>
      </w:tr>
      <w:tr w:rsidR="00BE50D9" w:rsidRPr="00A867FA" w14:paraId="6C2C8B87" w14:textId="77777777" w:rsidTr="00BE50D9">
        <w:tc>
          <w:tcPr>
            <w:tcW w:w="0" w:type="auto"/>
            <w:hideMark/>
          </w:tcPr>
          <w:p w14:paraId="3C4B91C6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A2424C2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ID4</w:t>
            </w:r>
          </w:p>
        </w:tc>
        <w:tc>
          <w:tcPr>
            <w:tcW w:w="0" w:type="auto"/>
            <w:hideMark/>
          </w:tcPr>
          <w:p w14:paraId="17A2F96D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Digital and communication infrastructure facilitates entrepreneurial activities in the area.</w:t>
            </w:r>
          </w:p>
        </w:tc>
        <w:tc>
          <w:tcPr>
            <w:tcW w:w="0" w:type="auto"/>
            <w:hideMark/>
          </w:tcPr>
          <w:p w14:paraId="624780FE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Stam and van de Ven (2021)</w:t>
            </w:r>
          </w:p>
        </w:tc>
      </w:tr>
      <w:tr w:rsidR="00BE50D9" w:rsidRPr="00A867FA" w14:paraId="3F460E20" w14:textId="77777777" w:rsidTr="00BE50D9">
        <w:tc>
          <w:tcPr>
            <w:tcW w:w="0" w:type="auto"/>
            <w:hideMark/>
          </w:tcPr>
          <w:p w14:paraId="03F1B288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5AC1E0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ID5</w:t>
            </w:r>
          </w:p>
        </w:tc>
        <w:tc>
          <w:tcPr>
            <w:tcW w:w="0" w:type="auto"/>
            <w:hideMark/>
          </w:tcPr>
          <w:p w14:paraId="36CCB09A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Recent infrastructure development has created a more favourable environment for business development.</w:t>
            </w:r>
          </w:p>
        </w:tc>
        <w:tc>
          <w:tcPr>
            <w:tcW w:w="0" w:type="auto"/>
            <w:hideMark/>
          </w:tcPr>
          <w:p w14:paraId="659FD1F2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Stam and van de Ven (2021); Dana, Gurau and Lasch (2014)</w:t>
            </w:r>
          </w:p>
        </w:tc>
      </w:tr>
      <w:tr w:rsidR="00BE50D9" w:rsidRPr="00A867FA" w14:paraId="47CE3C40" w14:textId="77777777" w:rsidTr="00BE50D9">
        <w:tc>
          <w:tcPr>
            <w:tcW w:w="0" w:type="auto"/>
            <w:hideMark/>
          </w:tcPr>
          <w:p w14:paraId="7D98B9F6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Entrepreneurial Ecosystem</w:t>
            </w:r>
          </w:p>
        </w:tc>
        <w:tc>
          <w:tcPr>
            <w:tcW w:w="0" w:type="auto"/>
            <w:hideMark/>
          </w:tcPr>
          <w:p w14:paraId="6723187D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EE1</w:t>
            </w:r>
          </w:p>
        </w:tc>
        <w:tc>
          <w:tcPr>
            <w:tcW w:w="0" w:type="auto"/>
            <w:hideMark/>
          </w:tcPr>
          <w:p w14:paraId="486F52A5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Local entrepreneurs have adequate access to institutions and organisations that support business development.</w:t>
            </w:r>
          </w:p>
        </w:tc>
        <w:tc>
          <w:tcPr>
            <w:tcW w:w="0" w:type="auto"/>
            <w:hideMark/>
          </w:tcPr>
          <w:p w14:paraId="71C2589C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Adapted from Stam and van de Ven (2021); Spigel (2017)</w:t>
            </w:r>
          </w:p>
        </w:tc>
      </w:tr>
      <w:tr w:rsidR="00BE50D9" w:rsidRPr="00A867FA" w14:paraId="26F1BD7D" w14:textId="77777777" w:rsidTr="00BE50D9">
        <w:tc>
          <w:tcPr>
            <w:tcW w:w="0" w:type="auto"/>
            <w:hideMark/>
          </w:tcPr>
          <w:p w14:paraId="4DEA4C86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0869263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EE2</w:t>
            </w:r>
          </w:p>
        </w:tc>
        <w:tc>
          <w:tcPr>
            <w:tcW w:w="0" w:type="auto"/>
            <w:hideMark/>
          </w:tcPr>
          <w:p w14:paraId="35AAB469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Entrepreneurs in the area have access to financial and business-support resources.</w:t>
            </w:r>
          </w:p>
        </w:tc>
        <w:tc>
          <w:tcPr>
            <w:tcW w:w="0" w:type="auto"/>
            <w:hideMark/>
          </w:tcPr>
          <w:p w14:paraId="70D7EED1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 xml:space="preserve">Adapted from Stam and van de Ven (2021); Nair, </w:t>
            </w:r>
            <w:proofErr w:type="spellStart"/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Gaim</w:t>
            </w:r>
            <w:proofErr w:type="spellEnd"/>
            <w:r w:rsidRPr="00A867FA">
              <w:rPr>
                <w:rFonts w:ascii="Times New Roman" w:hAnsi="Times New Roman" w:cs="Times New Roman"/>
                <w:sz w:val="24"/>
                <w:szCs w:val="24"/>
              </w:rPr>
              <w:t xml:space="preserve"> and Dimov (2022)</w:t>
            </w:r>
          </w:p>
        </w:tc>
      </w:tr>
      <w:tr w:rsidR="00BE50D9" w:rsidRPr="00A867FA" w14:paraId="3F803236" w14:textId="77777777" w:rsidTr="00BE50D9">
        <w:tc>
          <w:tcPr>
            <w:tcW w:w="0" w:type="auto"/>
            <w:hideMark/>
          </w:tcPr>
          <w:p w14:paraId="22FF3E1A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4FE2F2E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EE3</w:t>
            </w:r>
          </w:p>
        </w:tc>
        <w:tc>
          <w:tcPr>
            <w:tcW w:w="0" w:type="auto"/>
            <w:hideMark/>
          </w:tcPr>
          <w:p w14:paraId="1664D958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Local entrepreneurial networks facilitate cooperation and the exchange of business information.</w:t>
            </w:r>
          </w:p>
        </w:tc>
        <w:tc>
          <w:tcPr>
            <w:tcW w:w="0" w:type="auto"/>
            <w:hideMark/>
          </w:tcPr>
          <w:p w14:paraId="35F2D272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Adapted from Stam and van de Ven (2021); Spigel (2017)</w:t>
            </w:r>
          </w:p>
        </w:tc>
      </w:tr>
      <w:tr w:rsidR="00BE50D9" w:rsidRPr="00A867FA" w14:paraId="26BE20FA" w14:textId="77777777" w:rsidTr="00BE50D9">
        <w:tc>
          <w:tcPr>
            <w:tcW w:w="0" w:type="auto"/>
            <w:hideMark/>
          </w:tcPr>
          <w:p w14:paraId="34131071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A6A9C2F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EE4</w:t>
            </w:r>
          </w:p>
        </w:tc>
        <w:tc>
          <w:tcPr>
            <w:tcW w:w="0" w:type="auto"/>
            <w:hideMark/>
          </w:tcPr>
          <w:p w14:paraId="46F6AECF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 xml:space="preserve">The local environment provides adequate support services for </w:t>
            </w:r>
            <w:r w:rsidRPr="00A867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entrepreneurs and growing businesses.</w:t>
            </w:r>
          </w:p>
        </w:tc>
        <w:tc>
          <w:tcPr>
            <w:tcW w:w="0" w:type="auto"/>
            <w:hideMark/>
          </w:tcPr>
          <w:p w14:paraId="009D1F15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Adapted from Stam and van de Ven (2021); Nair, </w:t>
            </w:r>
            <w:proofErr w:type="spellStart"/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Gaim</w:t>
            </w:r>
            <w:proofErr w:type="spellEnd"/>
            <w:r w:rsidRPr="00A867FA">
              <w:rPr>
                <w:rFonts w:ascii="Times New Roman" w:hAnsi="Times New Roman" w:cs="Times New Roman"/>
                <w:sz w:val="24"/>
                <w:szCs w:val="24"/>
              </w:rPr>
              <w:t xml:space="preserve"> and Dimov (2022)</w:t>
            </w:r>
          </w:p>
        </w:tc>
      </w:tr>
      <w:tr w:rsidR="00BE50D9" w:rsidRPr="00A867FA" w14:paraId="326FAD1A" w14:textId="77777777" w:rsidTr="00BE50D9">
        <w:tc>
          <w:tcPr>
            <w:tcW w:w="0" w:type="auto"/>
            <w:hideMark/>
          </w:tcPr>
          <w:p w14:paraId="6703E113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ADE7B78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EE5</w:t>
            </w:r>
          </w:p>
        </w:tc>
        <w:tc>
          <w:tcPr>
            <w:tcW w:w="0" w:type="auto"/>
            <w:hideMark/>
          </w:tcPr>
          <w:p w14:paraId="6433796B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The local entrepreneurial ecosystem provides favourable conditions for starting and expanding businesses.</w:t>
            </w:r>
          </w:p>
        </w:tc>
        <w:tc>
          <w:tcPr>
            <w:tcW w:w="0" w:type="auto"/>
            <w:hideMark/>
          </w:tcPr>
          <w:p w14:paraId="25C5DB02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Adapted from Stam and van de Ven (2021); Spigel (2017)</w:t>
            </w:r>
          </w:p>
        </w:tc>
      </w:tr>
      <w:tr w:rsidR="00BE50D9" w:rsidRPr="00A867FA" w14:paraId="5E413BF6" w14:textId="77777777" w:rsidTr="00BE50D9">
        <w:tc>
          <w:tcPr>
            <w:tcW w:w="0" w:type="auto"/>
            <w:hideMark/>
          </w:tcPr>
          <w:p w14:paraId="01507BF7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Business Growth</w:t>
            </w:r>
          </w:p>
        </w:tc>
        <w:tc>
          <w:tcPr>
            <w:tcW w:w="0" w:type="auto"/>
            <w:hideMark/>
          </w:tcPr>
          <w:p w14:paraId="07B06B15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BG1</w:t>
            </w:r>
          </w:p>
        </w:tc>
        <w:tc>
          <w:tcPr>
            <w:tcW w:w="0" w:type="auto"/>
            <w:hideMark/>
          </w:tcPr>
          <w:p w14:paraId="1608A886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My business has experienced growth in sales/revenue in recent years.</w:t>
            </w:r>
          </w:p>
        </w:tc>
        <w:tc>
          <w:tcPr>
            <w:tcW w:w="0" w:type="auto"/>
            <w:hideMark/>
          </w:tcPr>
          <w:p w14:paraId="6535DBE1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Adapted from Wiklund, Patzelt and Shepherd (2009)</w:t>
            </w:r>
          </w:p>
        </w:tc>
      </w:tr>
      <w:tr w:rsidR="00BE50D9" w:rsidRPr="00A867FA" w14:paraId="0D7CC003" w14:textId="77777777" w:rsidTr="00BE50D9">
        <w:tc>
          <w:tcPr>
            <w:tcW w:w="0" w:type="auto"/>
            <w:hideMark/>
          </w:tcPr>
          <w:p w14:paraId="07A64036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FFA040E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BG2</w:t>
            </w:r>
          </w:p>
        </w:tc>
        <w:tc>
          <w:tcPr>
            <w:tcW w:w="0" w:type="auto"/>
            <w:hideMark/>
          </w:tcPr>
          <w:p w14:paraId="057A358D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My business has expanded its customer base in recent years.</w:t>
            </w:r>
          </w:p>
        </w:tc>
        <w:tc>
          <w:tcPr>
            <w:tcW w:w="0" w:type="auto"/>
            <w:hideMark/>
          </w:tcPr>
          <w:p w14:paraId="3C6518FF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Adapted from Wiklund, Patzelt and Shepherd (2009)</w:t>
            </w:r>
          </w:p>
        </w:tc>
      </w:tr>
      <w:tr w:rsidR="00BE50D9" w:rsidRPr="00A867FA" w14:paraId="44E39D86" w14:textId="77777777" w:rsidTr="00BE50D9">
        <w:tc>
          <w:tcPr>
            <w:tcW w:w="0" w:type="auto"/>
            <w:hideMark/>
          </w:tcPr>
          <w:p w14:paraId="05DEF09C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C14904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BG3</w:t>
            </w:r>
          </w:p>
        </w:tc>
        <w:tc>
          <w:tcPr>
            <w:tcW w:w="0" w:type="auto"/>
            <w:hideMark/>
          </w:tcPr>
          <w:p w14:paraId="161B0F13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My business has increased its market reach in recent years.</w:t>
            </w:r>
          </w:p>
        </w:tc>
        <w:tc>
          <w:tcPr>
            <w:tcW w:w="0" w:type="auto"/>
            <w:hideMark/>
          </w:tcPr>
          <w:p w14:paraId="271DFF9B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Adapted from Wiklund, Patzelt and Shepherd (2009)</w:t>
            </w:r>
          </w:p>
        </w:tc>
      </w:tr>
      <w:tr w:rsidR="00BE50D9" w:rsidRPr="00A867FA" w14:paraId="36297313" w14:textId="77777777" w:rsidTr="00BE50D9">
        <w:tc>
          <w:tcPr>
            <w:tcW w:w="0" w:type="auto"/>
            <w:hideMark/>
          </w:tcPr>
          <w:p w14:paraId="6B1EEAB4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1EF11B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BG4</w:t>
            </w:r>
          </w:p>
        </w:tc>
        <w:tc>
          <w:tcPr>
            <w:tcW w:w="0" w:type="auto"/>
            <w:hideMark/>
          </w:tcPr>
          <w:p w14:paraId="6A145A12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My business has expanded the scale of its operations.</w:t>
            </w:r>
          </w:p>
        </w:tc>
        <w:tc>
          <w:tcPr>
            <w:tcW w:w="0" w:type="auto"/>
            <w:hideMark/>
          </w:tcPr>
          <w:p w14:paraId="29D04666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Adapted from Wiklund, Patzelt and Shepherd (2009)</w:t>
            </w:r>
          </w:p>
        </w:tc>
      </w:tr>
      <w:tr w:rsidR="00BE50D9" w:rsidRPr="00A867FA" w14:paraId="082FAA24" w14:textId="77777777" w:rsidTr="00BE50D9">
        <w:tc>
          <w:tcPr>
            <w:tcW w:w="0" w:type="auto"/>
            <w:hideMark/>
          </w:tcPr>
          <w:p w14:paraId="6F306655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D2C131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BG5</w:t>
            </w:r>
          </w:p>
        </w:tc>
        <w:tc>
          <w:tcPr>
            <w:tcW w:w="0" w:type="auto"/>
            <w:hideMark/>
          </w:tcPr>
          <w:p w14:paraId="664A4772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My business has performed better than comparable businesses in the local market.</w:t>
            </w:r>
          </w:p>
        </w:tc>
        <w:tc>
          <w:tcPr>
            <w:tcW w:w="0" w:type="auto"/>
            <w:hideMark/>
          </w:tcPr>
          <w:p w14:paraId="4AA3C7AA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Wiklund, Patzelt and Shepherd (2009)</w:t>
            </w:r>
          </w:p>
        </w:tc>
      </w:tr>
      <w:tr w:rsidR="00BE50D9" w:rsidRPr="00A867FA" w14:paraId="1C6C643E" w14:textId="77777777" w:rsidTr="00BE50D9">
        <w:tc>
          <w:tcPr>
            <w:tcW w:w="0" w:type="auto"/>
            <w:hideMark/>
          </w:tcPr>
          <w:p w14:paraId="279ED157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Employment Generation</w:t>
            </w:r>
          </w:p>
        </w:tc>
        <w:tc>
          <w:tcPr>
            <w:tcW w:w="0" w:type="auto"/>
            <w:hideMark/>
          </w:tcPr>
          <w:p w14:paraId="12D1BB2B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EG1</w:t>
            </w:r>
          </w:p>
        </w:tc>
        <w:tc>
          <w:tcPr>
            <w:tcW w:w="0" w:type="auto"/>
            <w:hideMark/>
          </w:tcPr>
          <w:p w14:paraId="13061BD1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The growth of businesses in the area has created additional employment opportunities for local residents.</w:t>
            </w:r>
          </w:p>
        </w:tc>
        <w:tc>
          <w:tcPr>
            <w:tcW w:w="0" w:type="auto"/>
            <w:hideMark/>
          </w:tcPr>
          <w:p w14:paraId="6C65E76E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Dana, Gurau and Lasch (2014); Stam and van de Ven (2021)</w:t>
            </w:r>
          </w:p>
        </w:tc>
      </w:tr>
      <w:tr w:rsidR="00BE50D9" w:rsidRPr="00A867FA" w14:paraId="0A721D8A" w14:textId="77777777" w:rsidTr="00BE50D9">
        <w:tc>
          <w:tcPr>
            <w:tcW w:w="0" w:type="auto"/>
            <w:hideMark/>
          </w:tcPr>
          <w:p w14:paraId="054E6CFA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CB76D1E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EG2</w:t>
            </w:r>
          </w:p>
        </w:tc>
        <w:tc>
          <w:tcPr>
            <w:tcW w:w="0" w:type="auto"/>
            <w:hideMark/>
          </w:tcPr>
          <w:p w14:paraId="13E1D784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The expansion of local businesses has increased the demand for workers.</w:t>
            </w:r>
          </w:p>
        </w:tc>
        <w:tc>
          <w:tcPr>
            <w:tcW w:w="0" w:type="auto"/>
            <w:hideMark/>
          </w:tcPr>
          <w:p w14:paraId="5A159E98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Dana, Gurau and Lasch (2014); Stam and van de Ven (2021)</w:t>
            </w:r>
          </w:p>
        </w:tc>
      </w:tr>
      <w:tr w:rsidR="00BE50D9" w:rsidRPr="00A867FA" w14:paraId="392400D3" w14:textId="77777777" w:rsidTr="00BE50D9">
        <w:tc>
          <w:tcPr>
            <w:tcW w:w="0" w:type="auto"/>
            <w:hideMark/>
          </w:tcPr>
          <w:p w14:paraId="56E3F552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24741DB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EG3</w:t>
            </w:r>
          </w:p>
        </w:tc>
        <w:tc>
          <w:tcPr>
            <w:tcW w:w="0" w:type="auto"/>
            <w:hideMark/>
          </w:tcPr>
          <w:p w14:paraId="02B613BA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Business development has created new income-generating opportunities for local people.</w:t>
            </w:r>
          </w:p>
        </w:tc>
        <w:tc>
          <w:tcPr>
            <w:tcW w:w="0" w:type="auto"/>
            <w:hideMark/>
          </w:tcPr>
          <w:p w14:paraId="1E1F7DA6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Dana, Gurau and Lasch (2014); Stam and van de Ven (2021)</w:t>
            </w:r>
          </w:p>
        </w:tc>
      </w:tr>
      <w:tr w:rsidR="00BE50D9" w:rsidRPr="00A867FA" w14:paraId="290D818D" w14:textId="77777777" w:rsidTr="00BE50D9">
        <w:tc>
          <w:tcPr>
            <w:tcW w:w="0" w:type="auto"/>
            <w:hideMark/>
          </w:tcPr>
          <w:p w14:paraId="35406157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E31369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EG4</w:t>
            </w:r>
          </w:p>
        </w:tc>
        <w:tc>
          <w:tcPr>
            <w:tcW w:w="0" w:type="auto"/>
            <w:hideMark/>
          </w:tcPr>
          <w:p w14:paraId="7F6C5D96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The expansion of local businesses has increased employment opportunities for youth.</w:t>
            </w:r>
          </w:p>
        </w:tc>
        <w:tc>
          <w:tcPr>
            <w:tcW w:w="0" w:type="auto"/>
            <w:hideMark/>
          </w:tcPr>
          <w:p w14:paraId="7B4F3768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Dana, Gurau and Lasch (2014)</w:t>
            </w:r>
          </w:p>
        </w:tc>
      </w:tr>
      <w:tr w:rsidR="00BE50D9" w:rsidRPr="00A867FA" w14:paraId="21061ED1" w14:textId="77777777" w:rsidTr="00BE50D9">
        <w:tc>
          <w:tcPr>
            <w:tcW w:w="0" w:type="auto"/>
            <w:hideMark/>
          </w:tcPr>
          <w:p w14:paraId="062FBFF0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0E31920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EG5</w:t>
            </w:r>
          </w:p>
        </w:tc>
        <w:tc>
          <w:tcPr>
            <w:tcW w:w="0" w:type="auto"/>
            <w:hideMark/>
          </w:tcPr>
          <w:p w14:paraId="5347D0A4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 xml:space="preserve">Employment generated by local businesses provides meaningful </w:t>
            </w:r>
            <w:r w:rsidRPr="00A867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economic opportunities for local residents.</w:t>
            </w:r>
          </w:p>
        </w:tc>
        <w:tc>
          <w:tcPr>
            <w:tcW w:w="0" w:type="auto"/>
            <w:hideMark/>
          </w:tcPr>
          <w:p w14:paraId="051C12B3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Contextually adapted from Dana, Gurau and Lasch (2014)</w:t>
            </w:r>
          </w:p>
        </w:tc>
      </w:tr>
      <w:tr w:rsidR="00BE50D9" w:rsidRPr="00A867FA" w14:paraId="64845BDB" w14:textId="77777777" w:rsidTr="00BE50D9">
        <w:tc>
          <w:tcPr>
            <w:tcW w:w="0" w:type="auto"/>
            <w:hideMark/>
          </w:tcPr>
          <w:p w14:paraId="02D8FDD7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Community Development</w:t>
            </w:r>
          </w:p>
        </w:tc>
        <w:tc>
          <w:tcPr>
            <w:tcW w:w="0" w:type="auto"/>
            <w:hideMark/>
          </w:tcPr>
          <w:p w14:paraId="598EC046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CD1</w:t>
            </w:r>
          </w:p>
        </w:tc>
        <w:tc>
          <w:tcPr>
            <w:tcW w:w="0" w:type="auto"/>
            <w:hideMark/>
          </w:tcPr>
          <w:p w14:paraId="54732CD9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Economic development in the area has improved the living conditions of local residents.</w:t>
            </w:r>
          </w:p>
        </w:tc>
        <w:tc>
          <w:tcPr>
            <w:tcW w:w="0" w:type="auto"/>
            <w:hideMark/>
          </w:tcPr>
          <w:p w14:paraId="618C757E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Gyan (2021); Dana, Gurau and Lasch (2014)</w:t>
            </w:r>
          </w:p>
        </w:tc>
      </w:tr>
      <w:tr w:rsidR="00BE50D9" w:rsidRPr="00A867FA" w14:paraId="06945A58" w14:textId="77777777" w:rsidTr="00BE50D9">
        <w:tc>
          <w:tcPr>
            <w:tcW w:w="0" w:type="auto"/>
            <w:hideMark/>
          </w:tcPr>
          <w:p w14:paraId="44C4CEC7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D3D898D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CD2</w:t>
            </w:r>
          </w:p>
        </w:tc>
        <w:tc>
          <w:tcPr>
            <w:tcW w:w="0" w:type="auto"/>
            <w:hideMark/>
          </w:tcPr>
          <w:p w14:paraId="4CD2B738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Development has improved economic opportunities for members of the local community.</w:t>
            </w:r>
          </w:p>
        </w:tc>
        <w:tc>
          <w:tcPr>
            <w:tcW w:w="0" w:type="auto"/>
            <w:hideMark/>
          </w:tcPr>
          <w:p w14:paraId="4ACBC6BF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Gyan (2021); Dana, Gurau and Lasch (2014)</w:t>
            </w:r>
          </w:p>
        </w:tc>
      </w:tr>
      <w:tr w:rsidR="00BE50D9" w:rsidRPr="00A867FA" w14:paraId="2F4529DE" w14:textId="77777777" w:rsidTr="00BE50D9">
        <w:tc>
          <w:tcPr>
            <w:tcW w:w="0" w:type="auto"/>
            <w:hideMark/>
          </w:tcPr>
          <w:p w14:paraId="045A83FD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864639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CD3</w:t>
            </w:r>
          </w:p>
        </w:tc>
        <w:tc>
          <w:tcPr>
            <w:tcW w:w="0" w:type="auto"/>
            <w:hideMark/>
          </w:tcPr>
          <w:p w14:paraId="7D40ACDB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Local residents have benefited from improvements in community facilities and services.</w:t>
            </w:r>
          </w:p>
        </w:tc>
        <w:tc>
          <w:tcPr>
            <w:tcW w:w="0" w:type="auto"/>
            <w:hideMark/>
          </w:tcPr>
          <w:p w14:paraId="35343795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Gyan (2021)</w:t>
            </w:r>
          </w:p>
        </w:tc>
      </w:tr>
      <w:tr w:rsidR="00BE50D9" w:rsidRPr="00A867FA" w14:paraId="1FD4257A" w14:textId="77777777" w:rsidTr="00BE50D9">
        <w:tc>
          <w:tcPr>
            <w:tcW w:w="0" w:type="auto"/>
            <w:hideMark/>
          </w:tcPr>
          <w:p w14:paraId="0B640238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6B5C649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CD4</w:t>
            </w:r>
          </w:p>
        </w:tc>
        <w:tc>
          <w:tcPr>
            <w:tcW w:w="0" w:type="auto"/>
            <w:hideMark/>
          </w:tcPr>
          <w:p w14:paraId="56848AE0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Development has strengthened opportunities for local community participation.</w:t>
            </w:r>
          </w:p>
        </w:tc>
        <w:tc>
          <w:tcPr>
            <w:tcW w:w="0" w:type="auto"/>
            <w:hideMark/>
          </w:tcPr>
          <w:p w14:paraId="35D0A198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Adapted from Gyan (2021)</w:t>
            </w:r>
          </w:p>
        </w:tc>
      </w:tr>
      <w:tr w:rsidR="00BE50D9" w:rsidRPr="00A867FA" w14:paraId="578CACC7" w14:textId="77777777" w:rsidTr="00BE50D9">
        <w:tc>
          <w:tcPr>
            <w:tcW w:w="0" w:type="auto"/>
            <w:hideMark/>
          </w:tcPr>
          <w:p w14:paraId="28AE8A52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AFD2CD4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CD5</w:t>
            </w:r>
          </w:p>
        </w:tc>
        <w:tc>
          <w:tcPr>
            <w:tcW w:w="0" w:type="auto"/>
            <w:hideMark/>
          </w:tcPr>
          <w:p w14:paraId="6DAD8DF7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Overall development has contributed positively to the social and economic well-being of the community.</w:t>
            </w:r>
          </w:p>
        </w:tc>
        <w:tc>
          <w:tcPr>
            <w:tcW w:w="0" w:type="auto"/>
            <w:hideMark/>
          </w:tcPr>
          <w:p w14:paraId="362C2B7A" w14:textId="77777777" w:rsidR="00BE50D9" w:rsidRPr="00A867FA" w:rsidRDefault="00BE50D9" w:rsidP="00A867F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67FA">
              <w:rPr>
                <w:rFonts w:ascii="Times New Roman" w:hAnsi="Times New Roman" w:cs="Times New Roman"/>
                <w:sz w:val="24"/>
                <w:szCs w:val="24"/>
              </w:rPr>
              <w:t>Contextually adapted from Gyan (2021); Dana, Gurau and Lasch (2014)</w:t>
            </w:r>
          </w:p>
        </w:tc>
      </w:tr>
    </w:tbl>
    <w:p w14:paraId="4D659AD5" w14:textId="77777777" w:rsidR="00BE50D9" w:rsidRPr="00A867FA" w:rsidRDefault="00BE50D9" w:rsidP="00A86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06686C" w14:textId="77777777" w:rsidR="00BE50D9" w:rsidRPr="00A867FA" w:rsidRDefault="00BE50D9" w:rsidP="00A86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CD36BE" w14:textId="0E4F9D91" w:rsidR="00BE50D9" w:rsidRPr="00A867FA" w:rsidRDefault="00BE50D9" w:rsidP="00A867FA">
      <w:pPr>
        <w:jc w:val="both"/>
        <w:rPr>
          <w:rFonts w:ascii="Times New Roman" w:hAnsi="Times New Roman" w:cs="Times New Roman"/>
          <w:sz w:val="24"/>
          <w:szCs w:val="24"/>
        </w:rPr>
      </w:pPr>
      <w:r w:rsidRPr="00A867FA">
        <w:rPr>
          <w:rFonts w:ascii="Times New Roman" w:hAnsi="Times New Roman" w:cs="Times New Roman"/>
          <w:sz w:val="24"/>
          <w:szCs w:val="24"/>
        </w:rPr>
        <w:t xml:space="preserve">Note. All items were measured using a five-point Likert scale ranging from 1 = strongly disagree to 5 = strongly agree. The items were adapted and contextualised for the Varanasi MSME and entrepreneurial environment. </w:t>
      </w:r>
    </w:p>
    <w:p w14:paraId="571F2907" w14:textId="77777777" w:rsidR="00AA5A86" w:rsidRPr="00A867FA" w:rsidRDefault="00AA5A86" w:rsidP="00A867F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A5A86" w:rsidRPr="00A86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579B6"/>
    <w:multiLevelType w:val="multilevel"/>
    <w:tmpl w:val="0CA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36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66"/>
    <w:rsid w:val="000A0166"/>
    <w:rsid w:val="000E2BDA"/>
    <w:rsid w:val="00260096"/>
    <w:rsid w:val="00654AAF"/>
    <w:rsid w:val="00A01C8A"/>
    <w:rsid w:val="00A534A0"/>
    <w:rsid w:val="00A867FA"/>
    <w:rsid w:val="00AA5A86"/>
    <w:rsid w:val="00BC5126"/>
    <w:rsid w:val="00BE50D9"/>
    <w:rsid w:val="00EE595B"/>
    <w:rsid w:val="00F5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6A29F"/>
  <w15:chartTrackingRefBased/>
  <w15:docId w15:val="{73DBB591-EA15-491B-AD99-7FEB52B8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1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1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1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A0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600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BAGH SHARMA</dc:creator>
  <cp:keywords/>
  <dc:description/>
  <cp:lastModifiedBy>DIL BAGH SHARMA</cp:lastModifiedBy>
  <cp:revision>5</cp:revision>
  <dcterms:created xsi:type="dcterms:W3CDTF">2026-10-03T16:25:00Z</dcterms:created>
  <dcterms:modified xsi:type="dcterms:W3CDTF">2026-10-06T16:54:00Z</dcterms:modified>
</cp:coreProperties>
</file>