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sz w:val="36"/>
          <w:szCs w:val="36"/>
        </w:rPr>
      </w:pPr>
      <w:r w:rsidDel="00000000" w:rsidR="00000000" w:rsidRPr="00000000">
        <w:rPr>
          <w:b w:val="1"/>
          <w:bCs w:val="1"/>
          <w:color w:val="102c57"/>
          <w:sz w:val="36"/>
          <w:szCs w:val="36"/>
          <w:rtl w:val="0"/>
        </w:rPr>
        <w:t xml:space="preserve">Graduated Verifiable Autonomy Architecture (GVAA)</w:t>
      </w: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br w:type="textWrapping"/>
        <w:t xml:space="preserve">Practical Graduated Containment Standard</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Status: Approved Baseline Standard (Industrial Track) | September 2026</w:t>
      </w:r>
    </w:p>
    <w:p w:rsidR="00000000" w:rsidDel="00000000" w:rsidP="00000000" w:rsidRDefault="00000000" w:rsidRPr="00000000" w14:paraId="00000004">
      <w:pPr>
        <w:spacing w:line="240" w:lineRule="auto"/>
        <w:rPr>
          <w:sz w:val="24"/>
          <w:szCs w:val="24"/>
        </w:rPr>
      </w:pPr>
      <w:r w:rsidDel="00000000" w:rsidR="00000000" w:rsidRPr="00000000">
        <w:rPr>
          <w:sz w:val="24"/>
          <w:szCs w:val="24"/>
          <w:rtl w:val="0"/>
        </w:rPr>
        <w:t xml:space="preserve">Volodymyr Kotegov, </w:t>
      </w:r>
      <w:hyperlink r:id="rId6">
        <w:r w:rsidDel="00000000" w:rsidR="00000000" w:rsidRPr="00000000">
          <w:rPr>
            <w:color w:val="1155cc"/>
            <w:sz w:val="24"/>
            <w:szCs w:val="24"/>
            <w:u w:val="single"/>
            <w:rtl w:val="0"/>
          </w:rPr>
          <w:t xml:space="preserve">volodymyr.kotegov@gmail.com</w:t>
        </w:r>
      </w:hyperlink>
      <w:r w:rsidDel="00000000" w:rsidR="00000000" w:rsidRPr="00000000">
        <w:rPr>
          <w:sz w:val="24"/>
          <w:szCs w:val="24"/>
          <w:rtl w:val="0"/>
        </w:rPr>
        <w:t xml:space="preserve">   </w:t>
      </w:r>
    </w:p>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Defensive Publication. Intellectual Property Status: CC-BY-4.0</w:t>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keepNext w:val="1"/>
        <w:spacing w:after="120" w:before="360" w:lineRule="auto"/>
        <w:rPr/>
      </w:pPr>
      <w:r w:rsidDel="00000000" w:rsidR="00000000" w:rsidRPr="00000000">
        <w:rPr>
          <w:b w:val="1"/>
          <w:bCs w:val="1"/>
          <w:color w:val="102c57"/>
          <w:sz w:val="32"/>
          <w:szCs w:val="32"/>
          <w:rtl w:val="0"/>
        </w:rPr>
        <w:t xml:space="preserve">Executive Summary</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rtl w:val="0"/>
        </w:rPr>
        <w:t xml:space="preserve">ES-1. Core Objective:</w:t>
      </w:r>
      <w:r w:rsidDel="00000000" w:rsidR="00000000" w:rsidRPr="00000000">
        <w:rPr>
          <w:rFonts w:ascii="Arial" w:cs="Arial" w:eastAsia="Arial" w:hAnsi="Arial"/>
          <w:rtl w:val="0"/>
        </w:rPr>
        <w:t xml:space="preserve"> This architecture document establishes strict, deterministic normative constraints for securing execution runtimes populated by autonomous AI agents. Rather than relying on the statistical, inherently non-deterministic alignment of neural network weights, GVAA shifts the entire security perimeter to structural containment. It enforces rigid barriers across the execution runtime, host operating system resources, and boundary communication channels.</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1"/>
          <w:bCs w:val="1"/>
          <w:rtl w:val="0"/>
        </w:rPr>
        <w:t xml:space="preserve">ES-2. Engineering Metrics &amp; Feasibility:</w:t>
      </w:r>
      <w:r w:rsidDel="00000000" w:rsidR="00000000" w:rsidRPr="00000000">
        <w:rPr>
          <w:rFonts w:ascii="Arial" w:cs="Arial" w:eastAsia="Arial" w:hAnsi="Arial"/>
          <w:rtl w:val="0"/>
        </w:rPr>
        <w:t xml:space="preserve"> Deploying the baseline implementation configuration (Minimal Profile) requires an engineering overhead of 2 to 6 weeks on a standard production infrastructure (Linux, WebAssembly, LangGraph). The monitoring and verification infrastructure (Invariant Core) introduces a latency penalty of less than 1–5 ms per transaction. The direct operational outcome is the elimination of host-platform compromise vectors and the deterministic truncation of the blast radius during adversarial exploitation.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1"/>
          <w:bCs w:val="1"/>
          <w:rtl w:val="0"/>
        </w:rPr>
        <w:t xml:space="preserve">ES-3. Directives by Functional Role:</w:t>
      </w:r>
      <w:r w:rsidDel="00000000" w:rsidR="00000000" w:rsidRPr="00000000">
        <w:rPr>
          <w:rFonts w:ascii="Arial" w:cs="Arial" w:eastAsia="Arial" w:hAnsi="Arial"/>
          <w:rtl w:val="0"/>
        </w:rPr>
        <w:t xml:space="preserve"> Depending on operational mandates, engineering teams must prioritize specific enforcement sections:</w:t>
        <w:br w:type="textWrapping"/>
        <w:t xml:space="preserve">• For CISO and Security Directors: Prioritize Section 7 (Adversarial Model) and Section 8 (Residual Risk Registry) to quantify structural acceptances.</w:t>
        <w:br w:type="textWrapping"/>
        <w:t xml:space="preserve">• For System Architects: Master Section 4 (Four-Domain Topology), Section 6 (Core Formal Invariants), and Appendix A (Formal Predicate Skeleton).</w:t>
        <w:br w:type="textWrapping"/>
        <w:t xml:space="preserve">• For SecOps and Infrastructure Engineers: Target Section 5 (Mechanism Realization Matrix) and Section 14 (Glossary) for configuration verification.</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1"/>
          <w:bCs w:val="1"/>
          <w:rtl w:val="0"/>
        </w:rPr>
        <w:t xml:space="preserve">ES-4. Risk Mitigation Mapping:</w:t>
      </w:r>
      <w:r w:rsidDel="00000000" w:rsidR="00000000" w:rsidRPr="00000000">
        <w:rPr>
          <w:rFonts w:ascii="Arial" w:cs="Arial" w:eastAsia="Arial" w:hAnsi="Arial"/>
          <w:rtl w:val="0"/>
        </w:rPr>
        <w:t xml:space="preserve"> Mapping of structural architectural mitigations to the OWASP Top 10 for LLM Applications framework:</w:t>
        <w:br w:type="textWrapping"/>
        <w:t xml:space="preserve">• LLM01: Prompt Injection: Systemic containment, immutable data provenance tagging, and rigid input/output schemas neutralize raw injection execution.</w:t>
        <w:br w:type="textWrapping"/>
        <w:t xml:space="preserve">• LLM02: Insecure Output Handling: Data egress is bounded by controlled de-classification protocols enforcing the intermediate SANITIZED_PROVENANCE state, intercepting adversarial payloads.</w:t>
        <w:br w:type="textWrapping"/>
        <w:t xml:space="preserve">• LLM07: Insecure Plugin Design: Bounded via capability-based tokenization, ephemeral credential lifetimes, and strict atomic initialization constraints.</w:t>
        <w:br w:type="textWrapping"/>
        <w:t xml:space="preserve">• LLM09: Overreliance: Epistemic separation ensures that agent deviations or logic corruption cannot breach the underlying platform substrate.</w:t>
      </w:r>
      <w:r w:rsidDel="00000000" w:rsidR="00000000" w:rsidRPr="00000000">
        <w:rPr>
          <w:rtl w:val="0"/>
        </w:rPr>
      </w:r>
    </w:p>
    <w:p w:rsidR="00000000" w:rsidDel="00000000" w:rsidP="00000000" w:rsidRDefault="00000000" w:rsidRPr="00000000" w14:paraId="0000000C">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Strategic Architecture Context &amp; Epistemic Separation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rtl w:val="0"/>
        </w:rPr>
        <w:t xml:space="preserve">GVAA implements a pragmatic engineering approach to agentic security by establishing an absolute decoupling of host infrastructure integrity from semantic content verification. This architecture is designed around the core axiom that an agent must be assumed compromised at the semantic layer. Consequently, security is engineered as an immutable property of the runtime substrate itself, not as an optimization problem over neural weight spaces or heuristic prompt filters.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1"/>
          <w:bCs w:val="1"/>
          <w:rtl w:val="0"/>
        </w:rPr>
        <w:t xml:space="preserve">Epistemic Separation Core Metric: </w:t>
      </w:r>
      <w:r w:rsidDel="00000000" w:rsidR="00000000" w:rsidRPr="00000000">
        <w:rPr>
          <w:rFonts w:ascii="Arial" w:cs="Arial" w:eastAsia="Arial" w:hAnsi="Arial"/>
          <w:rtl w:val="0"/>
        </w:rPr>
        <w:t xml:space="preserve">Enforces a principle where compromised agent execution paths or malicious payloads cannot subvert the Invariant Core, exhaust hardware allocations, or cross capability frontiers. Semantic threats targeting the human interface layer—including sophisticated social engineering, phishing variations, or adversarial data manipulation inside syntactically valid schemas—are explicitly out of scope for this architecture. These boundaries are deferred to upstream application layers and localized alignment filters. By bounding the problem domain, GVAA guarantees deterministic platform safety and absolute auditability across all execution paths.</w:t>
      </w:r>
      <w:r w:rsidDel="00000000" w:rsidR="00000000" w:rsidRPr="00000000">
        <w:rPr>
          <w:rtl w:val="0"/>
        </w:rPr>
      </w:r>
    </w:p>
    <w:p w:rsidR="00000000" w:rsidDel="00000000" w:rsidP="00000000" w:rsidRDefault="00000000" w:rsidRPr="00000000" w14:paraId="0000000F">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 Architectural Manifest (The Containment Substrate)</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rtl w:val="0"/>
        </w:rPr>
        <w:t xml:space="preserve">Autonomous AI system safety cannot be achieved through probabilistic weight adjustments or dynamic prompt design. Absolute safety in open-ended agentic execution is formally unverifiable. </w:t>
      </w:r>
      <w:r w:rsidDel="00000000" w:rsidR="00000000" w:rsidRPr="00000000">
        <w:rPr>
          <w:rtl w:val="0"/>
        </w:rPr>
        <w:t xml:space="preserve">By Rice’s Theorem, non-trivial semantic properties of arbitrary programs are undecidable in the general case. Applied to open-ended agent runtimes, this renders complete behavioral verification formally intractable. </w:t>
      </w:r>
      <w:r w:rsidDel="00000000" w:rsidR="00000000" w:rsidRPr="00000000">
        <w:rPr>
          <w:rFonts w:ascii="Arial" w:cs="Arial" w:eastAsia="Arial" w:hAnsi="Arial"/>
          <w:rtl w:val="0"/>
        </w:rPr>
        <w:t xml:space="preserve">GVAA responds to this boundary condition not by approximating the intractable problem, but by relocating the safety guarantee to a deterministic substrate whose properties are independently verifiable. The explicit design target is to render logical step amplification, malicious context drift, and platform subversion cost-prohibitive for an adversary, while preserving ultra-low transaction latency and a minimal Trusted Computing Base (TCB).</w:t>
      </w:r>
      <w:r w:rsidDel="00000000" w:rsidR="00000000" w:rsidRPr="00000000">
        <w:rPr>
          <w:rtl w:val="0"/>
        </w:rPr>
      </w:r>
    </w:p>
    <w:p w:rsidR="00000000" w:rsidDel="00000000" w:rsidP="00000000" w:rsidRDefault="00000000" w:rsidRPr="00000000" w14:paraId="00000011">
      <w:pPr>
        <w:keepNext w:val="1"/>
        <w:spacing w:after="80" w:before="240" w:lineRule="auto"/>
        <w:rPr/>
      </w:pPr>
      <w:r w:rsidDel="00000000" w:rsidR="00000000" w:rsidRPr="00000000">
        <w:rPr>
          <w:rFonts w:ascii="Arial" w:cs="Arial" w:eastAsia="Arial" w:hAnsi="Arial"/>
          <w:b w:val="1"/>
          <w:bCs w:val="1"/>
          <w:color w:val="3572ef"/>
          <w:sz w:val="26"/>
          <w:szCs w:val="26"/>
          <w:rtl w:val="0"/>
        </w:rPr>
        <w:t xml:space="preserve">Quick-Start Path — Minimal Profile Specification</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rtl w:val="0"/>
        </w:rPr>
        <w:t xml:space="preserve">Target Implementation Stack: Standard enterprise Linux distribution, cgroups v2 resource controllers, seccomp/AppArmor policy profiles, an isolated WebAssembly (WASM) runtime engine (e.g., Wasmtime, Wasmer), and production-grade orchestration layers (LangGraph, CrewAI, AutoGen, or Model Context Protocol servers).</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rtl w:val="0"/>
        </w:rPr>
        <w:t xml:space="preserve">The Minimum Viable Architecture requires the simultaneous enforcement of seven functional subsystems: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1. Invariant Core Proxy:</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 deterministic, non-bypassable control proxy mediating every out-of-context tool execution path.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2. Immutable Provenance Tracking:</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Enforces a transitive UNTRUSTED_PROVENANCE tag onto all data ingress channels originating outside the local security boundary.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3. Dual-Axis Quota Management:</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Implements independent OS-level resource limits alongside strict volumetric tracking of Shared State Mode B allocations.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4. Hierarchical Child Isolation:</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Restricts child processes to nested, strict-subset execution profiles backed by isolated micro-budgets.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5. Graduated Purge Subsystem:</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Implements a fail-secure teardown protocol that invalidates credentials and issues active execution interruption traps.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6. Cryptographic Policy Manifest:</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An Ed25519-signed YAML configuration blueprint maintaining an unalterable monotonic version baseline.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7. Shared State Isolation:</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Bounded strictly to Mode A (isolated channels cleared at logical transitions) or Mode B (a fixed ring-buffer backed by mandatory physical zeroing).</w:t>
      </w: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Fonts w:ascii="Arial" w:cs="Arial" w:eastAsia="Arial" w:hAnsi="Arial"/>
          <w:b w:val="1"/>
          <w:bCs w:val="1"/>
          <w:rtl w:val="0"/>
        </w:rPr>
        <w:t xml:space="preserve">Critical Capability Boundary: </w:t>
      </w:r>
      <w:r w:rsidDel="00000000" w:rsidR="00000000" w:rsidRPr="00000000">
        <w:rPr>
          <w:rFonts w:ascii="Arial" w:cs="Arial" w:eastAsia="Arial" w:hAnsi="Arial"/>
          <w:rtl w:val="0"/>
        </w:rPr>
        <w:t xml:space="preserve">The Minimal Profile delivers ApproxIsolation constraints only. It is an architectural violation to assert that this profile guarantees FullIsolation protection mappings.</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4af37" w:space="0" w:sz="24" w:val="single"/>
              <w:bottom w:color="000000" w:space="0" w:sz="0" w:val="nil"/>
              <w:right w:color="000000" w:space="0" w:sz="0" w:val="nil"/>
            </w:tcBorders>
            <w:shd w:fill="fff8e7" w:val="clear"/>
          </w:tcPr>
          <w:p w:rsidR="00000000" w:rsidDel="00000000" w:rsidP="00000000" w:rsidRDefault="00000000" w:rsidRPr="00000000" w14:paraId="0000001C">
            <w:pPr>
              <w:spacing w:after="80" w:before="80" w:lineRule="auto"/>
              <w:rPr/>
            </w:pPr>
            <w:r w:rsidDel="00000000" w:rsidR="00000000" w:rsidRPr="00000000">
              <w:rPr>
                <w:rFonts w:ascii="Arial" w:cs="Arial" w:eastAsia="Arial" w:hAnsi="Arial"/>
                <w:b w:val="1"/>
                <w:bCs w:val="1"/>
                <w:sz w:val="21"/>
                <w:szCs w:val="21"/>
                <w:rtl w:val="0"/>
              </w:rPr>
              <w:t xml:space="preserve">⚠ ADVERSARIAL BOUNDARY WARNING: PROFILE BOUNDS &amp; S2/S3 EXPOSURES</w:t>
              <w:br w:type="textWrapping"/>
            </w:r>
            <w:r w:rsidDel="00000000" w:rsidR="00000000" w:rsidRPr="00000000">
              <w:rPr>
                <w:rFonts w:ascii="Arial" w:cs="Arial" w:eastAsia="Arial" w:hAnsi="Arial"/>
                <w:sz w:val="20"/>
                <w:szCs w:val="20"/>
                <w:rtl w:val="0"/>
              </w:rPr>
              <w:t xml:space="preserve">ApproxIsolation safeguards the host operating system substrate and prevents capability boundary traversal; it does not protect application-specific business logic from manipulation if the agent succumbs to an Indirect Prompt Injection via permitted tools. This operational exposure represents an explicit residual risk that must be recorded within the local Manifest Registry. The Minimal Profile is bounded to S2/S3 execution domains and Maturity states M1–M2. Furthermore, the Minimal Profile exhibits a structural vulnerability to macro-TOCTOU (Time-of-Check to Time-of-Use) hazards during extended child execution steps: a parent-initiated Purge signal may experience propagation latency before child runtime termination occurs. To mitigate this hazard, </w:t>
            </w:r>
            <w:r w:rsidDel="00000000" w:rsidR="00000000" w:rsidRPr="00000000">
              <w:rPr>
                <w:sz w:val="20"/>
                <w:szCs w:val="20"/>
                <w:rtl w:val="0"/>
              </w:rPr>
              <w:t xml:space="preserve">implementations must validate the parent manifest epoch</w:t>
            </w:r>
            <w:r w:rsidDel="00000000" w:rsidR="00000000" w:rsidRPr="00000000">
              <w:rPr>
                <w:rFonts w:ascii="Arial" w:cs="Arial" w:eastAsia="Arial" w:hAnsi="Arial"/>
                <w:sz w:val="20"/>
                <w:szCs w:val="20"/>
                <w:rtl w:val="0"/>
              </w:rPr>
              <w:t xml:space="preserve"> upon every invocation of a Capability Token within the Execution Space.</w:t>
            </w:r>
            <w:r w:rsidDel="00000000" w:rsidR="00000000" w:rsidRPr="00000000">
              <w:rPr>
                <w:rtl w:val="0"/>
              </w:rPr>
            </w:r>
          </w:p>
        </w:tc>
      </w:tr>
    </w:tbl>
    <w:p w:rsidR="00000000" w:rsidDel="00000000" w:rsidP="00000000" w:rsidRDefault="00000000" w:rsidRPr="00000000" w14:paraId="0000001D">
      <w:pPr>
        <w:keepNext w:val="1"/>
        <w:spacing w:after="120" w:before="360" w:line="240" w:lineRule="auto"/>
        <w:rPr>
          <w:b w:val="1"/>
          <w:bCs w:val="1"/>
          <w:color w:val="102c57"/>
          <w:sz w:val="32"/>
          <w:szCs w:val="32"/>
        </w:rPr>
      </w:pPr>
      <w:r w:rsidDel="00000000" w:rsidR="00000000" w:rsidRPr="00000000">
        <w:rPr>
          <w:rFonts w:ascii="Arial" w:cs="Arial" w:eastAsia="Arial" w:hAnsi="Arial"/>
          <w:b w:val="1"/>
          <w:bCs w:val="1"/>
          <w:color w:val="102c57"/>
          <w:sz w:val="32"/>
          <w:szCs w:val="32"/>
          <w:rtl w:val="0"/>
        </w:rPr>
        <w:t xml:space="preserve">2. Domain Formalization Scale (S0 to S3)</w:t>
      </w:r>
      <w:r w:rsidDel="00000000" w:rsidR="00000000" w:rsidRPr="00000000">
        <w:rPr>
          <w:rtl w:val="0"/>
        </w:rPr>
      </w:r>
    </w:p>
    <w:p w:rsidR="00000000" w:rsidDel="00000000" w:rsidP="00000000" w:rsidRDefault="00000000" w:rsidRPr="00000000" w14:paraId="0000001E">
      <w:pPr>
        <w:keepNext w:val="1"/>
        <w:spacing w:after="120" w:before="360" w:line="240" w:lineRule="auto"/>
        <w:rPr>
          <w:color w:val="000000"/>
        </w:rPr>
      </w:pPr>
      <w:r w:rsidDel="00000000" w:rsidR="00000000" w:rsidRPr="00000000">
        <w:rPr>
          <w:color w:val="000000"/>
          <w:rtl w:val="0"/>
        </w:rPr>
        <w:t xml:space="preserve">All deployment environments must be rigorously classified across the GVAA Domain Scale to prevent capability leakage.</w:t>
      </w:r>
    </w:p>
    <w:tbl>
      <w:tblPr>
        <w:tblStyle w:val="Table2"/>
        <w:tblW w:w="9360.0" w:type="dxa"/>
        <w:jc w:val="left"/>
        <w:tblInd w:w="-108.0" w:type="dxa"/>
        <w:tblBorders>
          <w:top w:color="4f81bd" w:space="0" w:sz="8" w:val="single"/>
          <w:bottom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shd w:fill="102c57" w:val="clear"/>
          </w:tcPr>
          <w:p w:rsidR="00000000" w:rsidDel="00000000" w:rsidP="00000000" w:rsidRDefault="00000000" w:rsidRPr="00000000" w14:paraId="0000001F">
            <w:pPr>
              <w:spacing w:line="240" w:lineRule="auto"/>
              <w:jc w:val="left"/>
              <w:rPr/>
            </w:pPr>
            <w:r w:rsidDel="00000000" w:rsidR="00000000" w:rsidRPr="00000000">
              <w:rPr>
                <w:b w:val="1"/>
                <w:bCs w:val="1"/>
                <w:color w:val="ffffff"/>
                <w:rtl w:val="0"/>
              </w:rPr>
              <w:t xml:space="preserve">Domain Level</w:t>
            </w:r>
            <w:r w:rsidDel="00000000" w:rsidR="00000000" w:rsidRPr="00000000">
              <w:rPr>
                <w:rtl w:val="0"/>
              </w:rPr>
            </w:r>
          </w:p>
        </w:tc>
        <w:tc>
          <w:tcPr>
            <w:shd w:fill="102c57" w:val="clear"/>
          </w:tcPr>
          <w:p w:rsidR="00000000" w:rsidDel="00000000" w:rsidP="00000000" w:rsidRDefault="00000000" w:rsidRPr="00000000" w14:paraId="00000020">
            <w:pPr>
              <w:spacing w:line="240" w:lineRule="auto"/>
              <w:jc w:val="left"/>
              <w:rPr/>
            </w:pPr>
            <w:r w:rsidDel="00000000" w:rsidR="00000000" w:rsidRPr="00000000">
              <w:rPr>
                <w:b w:val="1"/>
                <w:bCs w:val="1"/>
                <w:color w:val="ffffff"/>
                <w:rtl w:val="0"/>
              </w:rPr>
              <w:t xml:space="preserve">Operational Domain Context</w:t>
            </w:r>
            <w:r w:rsidDel="00000000" w:rsidR="00000000" w:rsidRPr="00000000">
              <w:rPr>
                <w:rtl w:val="0"/>
              </w:rPr>
            </w:r>
          </w:p>
        </w:tc>
        <w:tc>
          <w:tcPr>
            <w:shd w:fill="102c57" w:val="clear"/>
          </w:tcPr>
          <w:p w:rsidR="00000000" w:rsidDel="00000000" w:rsidP="00000000" w:rsidRDefault="00000000" w:rsidRPr="00000000" w14:paraId="00000021">
            <w:pPr>
              <w:spacing w:line="240" w:lineRule="auto"/>
              <w:jc w:val="left"/>
              <w:rPr/>
            </w:pPr>
            <w:r w:rsidDel="00000000" w:rsidR="00000000" w:rsidRPr="00000000">
              <w:rPr>
                <w:b w:val="1"/>
                <w:bCs w:val="1"/>
                <w:color w:val="ffffff"/>
                <w:rtl w:val="0"/>
              </w:rPr>
              <w:t xml:space="preserve">Security Guarantee Nature</w:t>
            </w:r>
            <w:r w:rsidDel="00000000" w:rsidR="00000000" w:rsidRPr="00000000">
              <w:rPr>
                <w:rtl w:val="0"/>
              </w:rPr>
            </w:r>
          </w:p>
        </w:tc>
        <w:tc>
          <w:tcPr>
            <w:shd w:fill="102c57" w:val="clear"/>
          </w:tcPr>
          <w:p w:rsidR="00000000" w:rsidDel="00000000" w:rsidP="00000000" w:rsidRDefault="00000000" w:rsidRPr="00000000" w14:paraId="00000022">
            <w:pPr>
              <w:spacing w:line="240" w:lineRule="auto"/>
              <w:jc w:val="left"/>
              <w:rPr/>
            </w:pPr>
            <w:r w:rsidDel="00000000" w:rsidR="00000000" w:rsidRPr="00000000">
              <w:rPr>
                <w:b w:val="1"/>
                <w:bCs w:val="1"/>
                <w:color w:val="ffffff"/>
                <w:rtl w:val="0"/>
              </w:rPr>
              <w:t xml:space="preserve">Maximum Authorized Profile</w:t>
            </w:r>
            <w:r w:rsidDel="00000000" w:rsidR="00000000" w:rsidRPr="00000000">
              <w:rPr>
                <w:rtl w:val="0"/>
              </w:rPr>
            </w:r>
          </w:p>
        </w:tc>
      </w:tr>
      <w:tr>
        <w:trPr>
          <w:cantSplit w:val="0"/>
          <w:tblHeader w:val="0"/>
        </w:trPr>
        <w:tc>
          <w:tcPr/>
          <w:p w:rsidR="00000000" w:rsidDel="00000000" w:rsidP="00000000" w:rsidRDefault="00000000" w:rsidRPr="00000000" w14:paraId="00000023">
            <w:pPr>
              <w:spacing w:line="240" w:lineRule="auto"/>
              <w:rPr/>
            </w:pPr>
            <w:r w:rsidDel="00000000" w:rsidR="00000000" w:rsidRPr="00000000">
              <w:rPr>
                <w:rtl w:val="0"/>
              </w:rPr>
              <w:t xml:space="preserve">S0</w:t>
            </w:r>
          </w:p>
        </w:tc>
        <w:tc>
          <w:tcPr/>
          <w:p w:rsidR="00000000" w:rsidDel="00000000" w:rsidP="00000000" w:rsidRDefault="00000000" w:rsidRPr="00000000" w14:paraId="00000024">
            <w:pPr>
              <w:spacing w:line="240" w:lineRule="auto"/>
              <w:rPr/>
            </w:pPr>
            <w:r w:rsidDel="00000000" w:rsidR="00000000" w:rsidRPr="00000000">
              <w:rPr>
                <w:rtl w:val="0"/>
              </w:rPr>
              <w:t xml:space="preserve">Code synthesis, formal methods, theorem proving execution paths.</w:t>
            </w:r>
          </w:p>
        </w:tc>
        <w:tc>
          <w:tcPr/>
          <w:p w:rsidR="00000000" w:rsidDel="00000000" w:rsidP="00000000" w:rsidRDefault="00000000" w:rsidRPr="00000000" w14:paraId="00000025">
            <w:pPr>
              <w:spacing w:line="240" w:lineRule="auto"/>
              <w:rPr/>
            </w:pPr>
            <w:r w:rsidDel="00000000" w:rsidR="00000000" w:rsidRPr="00000000">
              <w:rPr>
                <w:rtl w:val="0"/>
              </w:rPr>
              <w:t xml:space="preserve">End-to-end mathematical machine proofs of state correctness.</w:t>
            </w:r>
          </w:p>
        </w:tc>
        <w:tc>
          <w:tcPr/>
          <w:p w:rsidR="00000000" w:rsidDel="00000000" w:rsidP="00000000" w:rsidRDefault="00000000" w:rsidRPr="00000000" w14:paraId="00000026">
            <w:pPr>
              <w:spacing w:line="240" w:lineRule="auto"/>
              <w:rPr/>
            </w:pPr>
            <w:r w:rsidDel="00000000" w:rsidR="00000000" w:rsidRPr="00000000">
              <w:rPr>
                <w:rtl w:val="0"/>
              </w:rPr>
              <w:t xml:space="preserve">High-Assurance Profile (Research)</w:t>
            </w:r>
          </w:p>
        </w:tc>
      </w:tr>
      <w:tr>
        <w:trPr>
          <w:cantSplit w:val="0"/>
          <w:tblHeader w:val="0"/>
        </w:trPr>
        <w:tc>
          <w:tcPr/>
          <w:p w:rsidR="00000000" w:rsidDel="00000000" w:rsidP="00000000" w:rsidRDefault="00000000" w:rsidRPr="00000000" w14:paraId="00000027">
            <w:pPr>
              <w:spacing w:line="240" w:lineRule="auto"/>
              <w:rPr/>
            </w:pPr>
            <w:r w:rsidDel="00000000" w:rsidR="00000000" w:rsidRPr="00000000">
              <w:rPr>
                <w:rtl w:val="0"/>
              </w:rPr>
              <w:t xml:space="preserve">S1</w:t>
            </w:r>
          </w:p>
        </w:tc>
        <w:tc>
          <w:tcPr/>
          <w:p w:rsidR="00000000" w:rsidDel="00000000" w:rsidP="00000000" w:rsidRDefault="00000000" w:rsidRPr="00000000" w14:paraId="00000028">
            <w:pPr>
              <w:spacing w:line="240" w:lineRule="auto"/>
              <w:rPr/>
            </w:pPr>
            <w:r w:rsidDel="00000000" w:rsidR="00000000" w:rsidRPr="00000000">
              <w:rPr>
                <w:rtl w:val="0"/>
              </w:rPr>
              <w:t xml:space="preserve">Structured workflow designs constrained to closed action tables.</w:t>
            </w:r>
          </w:p>
        </w:tc>
        <w:tc>
          <w:tcPr/>
          <w:p w:rsidR="00000000" w:rsidDel="00000000" w:rsidP="00000000" w:rsidRDefault="00000000" w:rsidRPr="00000000" w14:paraId="00000029">
            <w:pPr>
              <w:spacing w:line="240" w:lineRule="auto"/>
              <w:rPr/>
            </w:pPr>
            <w:r w:rsidDel="00000000" w:rsidR="00000000" w:rsidRPr="00000000">
              <w:rPr>
                <w:rtl w:val="0"/>
              </w:rPr>
              <w:t xml:space="preserve">Certified execution schemas correlated with rigorous quota axes.</w:t>
            </w:r>
          </w:p>
        </w:tc>
        <w:tc>
          <w:tcPr/>
          <w:p w:rsidR="00000000" w:rsidDel="00000000" w:rsidP="00000000" w:rsidRDefault="00000000" w:rsidRPr="00000000" w14:paraId="0000002A">
            <w:pPr>
              <w:spacing w:line="240" w:lineRule="auto"/>
              <w:rPr/>
            </w:pPr>
            <w:r w:rsidDel="00000000" w:rsidR="00000000" w:rsidRPr="00000000">
              <w:rPr>
                <w:rtl w:val="0"/>
              </w:rPr>
              <w:t xml:space="preserve">Standard / High-Assurance Profile</w:t>
            </w:r>
          </w:p>
        </w:tc>
      </w:tr>
      <w:tr>
        <w:trPr>
          <w:cantSplit w:val="0"/>
          <w:tblHeader w:val="0"/>
        </w:trPr>
        <w:tc>
          <w:tcPr/>
          <w:p w:rsidR="00000000" w:rsidDel="00000000" w:rsidP="00000000" w:rsidRDefault="00000000" w:rsidRPr="00000000" w14:paraId="0000002B">
            <w:pPr>
              <w:spacing w:line="240" w:lineRule="auto"/>
              <w:rPr/>
            </w:pPr>
            <w:r w:rsidDel="00000000" w:rsidR="00000000" w:rsidRPr="00000000">
              <w:rPr>
                <w:rtl w:val="0"/>
              </w:rPr>
              <w:t xml:space="preserve">S2</w:t>
            </w:r>
          </w:p>
        </w:tc>
        <w:tc>
          <w:tcPr/>
          <w:p w:rsidR="00000000" w:rsidDel="00000000" w:rsidP="00000000" w:rsidRDefault="00000000" w:rsidRPr="00000000" w14:paraId="0000002C">
            <w:pPr>
              <w:spacing w:line="240" w:lineRule="auto"/>
              <w:rPr/>
            </w:pPr>
            <w:r w:rsidDel="00000000" w:rsidR="00000000" w:rsidRPr="00000000">
              <w:rPr>
                <w:rtl w:val="0"/>
              </w:rPr>
              <w:t xml:space="preserve">Open-ended natural language containing a rigid tool registry.</w:t>
            </w:r>
          </w:p>
        </w:tc>
        <w:tc>
          <w:tcPr/>
          <w:p w:rsidR="00000000" w:rsidDel="00000000" w:rsidP="00000000" w:rsidRDefault="00000000" w:rsidRPr="00000000" w14:paraId="0000002D">
            <w:pPr>
              <w:spacing w:line="240" w:lineRule="auto"/>
              <w:rPr/>
            </w:pPr>
            <w:r w:rsidDel="00000000" w:rsidR="00000000" w:rsidRPr="00000000">
              <w:rPr>
                <w:rtl w:val="0"/>
              </w:rPr>
              <w:t xml:space="preserve">Capability-based boundary enforcement + active provenance tagging.</w:t>
            </w:r>
          </w:p>
        </w:tc>
        <w:tc>
          <w:tcPr/>
          <w:p w:rsidR="00000000" w:rsidDel="00000000" w:rsidP="00000000" w:rsidRDefault="00000000" w:rsidRPr="00000000" w14:paraId="0000002E">
            <w:pPr>
              <w:spacing w:line="240" w:lineRule="auto"/>
              <w:rPr/>
            </w:pPr>
            <w:r w:rsidDel="00000000" w:rsidR="00000000" w:rsidRPr="00000000">
              <w:rPr>
                <w:rtl w:val="0"/>
              </w:rPr>
              <w:t xml:space="preserve">Standard / Minimal Profile</w:t>
            </w:r>
          </w:p>
        </w:tc>
      </w:tr>
      <w:tr>
        <w:trPr>
          <w:cantSplit w:val="0"/>
          <w:tblHeader w:val="0"/>
        </w:trPr>
        <w:tc>
          <w:tcPr/>
          <w:p w:rsidR="00000000" w:rsidDel="00000000" w:rsidP="00000000" w:rsidRDefault="00000000" w:rsidRPr="00000000" w14:paraId="0000002F">
            <w:pPr>
              <w:spacing w:line="240" w:lineRule="auto"/>
              <w:rPr/>
            </w:pPr>
            <w:r w:rsidDel="00000000" w:rsidR="00000000" w:rsidRPr="00000000">
              <w:rPr>
                <w:rtl w:val="0"/>
              </w:rPr>
              <w:t xml:space="preserve">S3</w:t>
            </w:r>
          </w:p>
        </w:tc>
        <w:tc>
          <w:tcPr/>
          <w:p w:rsidR="00000000" w:rsidDel="00000000" w:rsidP="00000000" w:rsidRDefault="00000000" w:rsidRPr="00000000" w14:paraId="00000030">
            <w:pPr>
              <w:spacing w:line="240" w:lineRule="auto"/>
              <w:rPr/>
            </w:pPr>
            <w:r w:rsidDel="00000000" w:rsidR="00000000" w:rsidRPr="00000000">
              <w:rPr>
                <w:rtl w:val="0"/>
              </w:rPr>
              <w:t xml:space="preserve">Unrestricted, open-ended natural language interaction loops.</w:t>
            </w:r>
          </w:p>
        </w:tc>
        <w:tc>
          <w:tcPr/>
          <w:p w:rsidR="00000000" w:rsidDel="00000000" w:rsidP="00000000" w:rsidRDefault="00000000" w:rsidRPr="00000000" w14:paraId="00000031">
            <w:pPr>
              <w:spacing w:line="240" w:lineRule="auto"/>
              <w:rPr/>
            </w:pPr>
            <w:r w:rsidDel="00000000" w:rsidR="00000000" w:rsidRPr="00000000">
              <w:rPr>
                <w:rtl w:val="0"/>
              </w:rPr>
              <w:t xml:space="preserve">Host-platform compute resource isolation and containment boundaries only.</w:t>
            </w:r>
          </w:p>
        </w:tc>
        <w:tc>
          <w:tcPr/>
          <w:p w:rsidR="00000000" w:rsidDel="00000000" w:rsidP="00000000" w:rsidRDefault="00000000" w:rsidRPr="00000000" w14:paraId="00000032">
            <w:pPr>
              <w:spacing w:line="240" w:lineRule="auto"/>
              <w:rPr/>
            </w:pPr>
            <w:r w:rsidDel="00000000" w:rsidR="00000000" w:rsidRPr="00000000">
              <w:rPr>
                <w:rtl w:val="0"/>
              </w:rPr>
              <w:t xml:space="preserve">Minimal (Host Isolation Only)</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Fonts w:ascii="Arial" w:cs="Arial" w:eastAsia="Arial" w:hAnsi="Arial"/>
          <w:b w:val="1"/>
          <w:bCs w:val="1"/>
          <w:rtl w:val="0"/>
        </w:rPr>
        <w:t xml:space="preserve">Absolute Initialization Invariant (I₀): </w:t>
      </w:r>
      <w:r w:rsidDel="00000000" w:rsidR="00000000" w:rsidRPr="00000000">
        <w:rPr>
          <w:rFonts w:ascii="Arial" w:cs="Arial" w:eastAsia="Arial" w:hAnsi="Arial"/>
          <w:rtl w:val="0"/>
        </w:rPr>
        <w:t xml:space="preserve"> Level locking, policy manifest compilation, and the atomic purging of all Mode A channels are executed as a single all-or-nothing transaction prior to any runtime state progression. Any initialization fault forces an immediate, total state rollback. Post-initialization tool registration at the root context is categorically prohibited.</w: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Fonts w:ascii="Arial" w:cs="Arial" w:eastAsia="Arial" w:hAnsi="Arial"/>
          <w:i w:val="1"/>
          <w:iCs w:val="1"/>
          <w:rtl w:val="0"/>
        </w:rPr>
        <w:t xml:space="preserve">(Formal treatment, compositional proof obligations, and category-theoretic maps for this invariant are developed in Section 6 and Appendix A.)</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b w:val="1"/>
          <w:bCs w:val="1"/>
          <w:rtl w:val="0"/>
        </w:rPr>
        <w:t xml:space="preserve">Hierarchical Child Invariant: </w:t>
      </w:r>
      <w:r w:rsidDel="00000000" w:rsidR="00000000" w:rsidRPr="00000000">
        <w:rPr>
          <w:rFonts w:ascii="Arial" w:cs="Arial" w:eastAsia="Arial" w:hAnsi="Arial"/>
          <w:rtl w:val="0"/>
        </w:rPr>
        <w:t xml:space="preserve"> The instantiation of child execution contexts is permitted if and only if the child manifest represents a strict structural subset of the parent configuration state. Child sessions are allocated distinct atomic micro-budgets carved from the parent's Execution Space. Upward privilege escalation is mathematically prevented by the runtime compiler. The execution of a Purge protocol at a parent layer triggers an instantaneous, recursive cascading liquidation and active thread interruption across all down-tree child sessions.</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i w:val="1"/>
          <w:iCs w:val="1"/>
          <w:rtl w:val="0"/>
        </w:rPr>
        <w:t xml:space="preserve">(Formal treatment, compositional proof obligations, and category-theoretic maps for this invariant are developed in Section 6 and Appendix A.)</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b w:val="1"/>
          <w:bCs w:val="1"/>
          <w:rtl w:val="0"/>
        </w:rPr>
        <w:t xml:space="preserve">Token Ephemerality &amp; Interruption Invariant: </w:t>
      </w:r>
      <w:r w:rsidDel="00000000" w:rsidR="00000000" w:rsidRPr="00000000">
        <w:rPr>
          <w:rFonts w:ascii="Arial" w:cs="Arial" w:eastAsia="Arial" w:hAnsi="Arial"/>
          <w:rtl w:val="0"/>
        </w:rPr>
        <w:t xml:space="preserve"> Every Capability Token is valid strictly within the boundaries of a single, atomic Logical Step. Any alteration in runtime environment integrity or the invocation of a Graduated Purge sequence immediately invalidates all active session tokens globally. This mechanism generates a synchronous kernel-level execution trap, instantly terminating pending operations within the Execution Space, guaranteeing absolute mitigation against macro-TOCTOU vector exploits.</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i w:val="1"/>
          <w:iCs w:val="1"/>
          <w:rtl w:val="0"/>
        </w:rPr>
        <w:t xml:space="preserve">(Formal treatment, compositional proof obligations, and category-theoretic maps for this invariant are developed in Section 6 and Appendix A.)</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b w:val="1"/>
          <w:bCs w:val="1"/>
          <w:rtl w:val="0"/>
        </w:rPr>
        <w:t xml:space="preserve">Profile–S-Level Correlation Invariant: </w:t>
      </w:r>
      <w:r w:rsidDel="00000000" w:rsidR="00000000" w:rsidRPr="00000000">
        <w:rPr>
          <w:rFonts w:ascii="Arial" w:cs="Arial" w:eastAsia="Arial" w:hAnsi="Arial"/>
          <w:rtl w:val="0"/>
        </w:rPr>
        <w:t xml:space="preserve"> The operational domain S-level must never cross the maximum boundary of the active configuration profile. This invariant is checked deterministically upon every credential evaluation.</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i w:val="1"/>
          <w:iCs w:val="1"/>
          <w:rtl w:val="0"/>
        </w:rPr>
        <w:t xml:space="preserve">(Formal treatment, compositional proof obligations, and category-theoretic maps for this invariant are developed in Section 6 and Appendix A.)</w:t>
      </w:r>
      <w:r w:rsidDel="00000000" w:rsidR="00000000" w:rsidRPr="00000000">
        <w:rPr>
          <w:rtl w:val="0"/>
        </w:rPr>
      </w:r>
    </w:p>
    <w:p w:rsidR="00000000" w:rsidDel="00000000" w:rsidP="00000000" w:rsidRDefault="00000000" w:rsidRPr="00000000" w14:paraId="0000003C">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3. Implementation Profiles &amp; Tracks Framework</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rtl w:val="0"/>
        </w:rPr>
        <w:t xml:space="preserve">To maintain engineering velocity alongside absolute architectural integrity, GVAA strictly bifurcates development into two separate, non-overlapping execution paths: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1. Industrial Track:</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Encompasses the Minimal and Standard Profiles. It relies on production-ready operating system features, including Linux cgroups v2, secure WebAssembly memory virtualization, isolated seccomp system call sandboxing, and eBPF kernel space monitoring. It is designed for immediate enterprise deployment within a 2-to-18-month roadmap.</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2. Research Track:</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Bounded exclusively to the High-Assurance Profile. It mandates comprehensive formal mathematical proofs of microkernel correctness (seL4 architecture), hardware-enforced capability-based memory compartmentalization (ARM Morello / CHERI platforms), and dedicated cryptographic HSM hardware enclaves. This track represents the long-term research horizon.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rtl w:val="0"/>
        </w:rPr>
        <w:t xml:space="preserve">Summary of structural limits across active profiles: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Minimal Profile (Industrial):</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Enforces ApproxIsolation. Designed for rapid integration (2–6 weeks). Restricted to S2/S3 domains with a maturity index of M1–M2. Explicitly exposes business logic to semantic manipulation while guaranteeing host infrastructure integrity.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Standard Profile (Industrial):</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Enforces FullIsolation at a practical engineering layer. Valid for S1–S2 domains with a maturity ceiling of M3. Delivers complete system-level separation of untrusted spaces.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High-Assurance Profile (Research):</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Delivers mathematically proven FullIsolation. Restricted to S0 domains running on custom capability hardware substrates with a maturity index of M4. Requires specialized verification toolchains.</w:t>
      </w:r>
      <w:r w:rsidDel="00000000" w:rsidR="00000000" w:rsidRPr="00000000">
        <w:rPr>
          <w:rtl w:val="0"/>
        </w:rPr>
      </w:r>
    </w:p>
    <w:p w:rsidR="00000000" w:rsidDel="00000000" w:rsidP="00000000" w:rsidRDefault="00000000" w:rsidRPr="00000000" w14:paraId="00000044">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4. Four-Domain Containment Topology &amp; Shared State</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rtl w:val="0"/>
        </w:rPr>
        <w:t xml:space="preserve">GVAA structures the host execution environment into four non-overlapping security domains:</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b w:val="1"/>
          <w:bCs w:val="1"/>
          <w:rtl w:val="0"/>
        </w:rPr>
        <w:t xml:space="preserve">1. Mutation Space:</w:t>
      </w:r>
      <w:r w:rsidDel="00000000" w:rsidR="00000000" w:rsidRPr="00000000">
        <w:rPr>
          <w:rFonts w:ascii="Arial" w:cs="Arial" w:eastAsia="Arial" w:hAnsi="Arial"/>
          <w:rtl w:val="0"/>
        </w:rPr>
        <w:t xml:space="preserve"> An entirely untrusted, non-deterministic execution space populated by standard orchestration engines (e.g., LangGraph, CrewAI, AutoGen). It possesses zero innate platform permissions.</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rtl w:val="0"/>
        </w:rPr>
        <w:t xml:space="preserve">2. Validation Space:</w:t>
      </w:r>
      <w:r w:rsidDel="00000000" w:rsidR="00000000" w:rsidRPr="00000000">
        <w:rPr>
          <w:rFonts w:ascii="Arial" w:cs="Arial" w:eastAsia="Arial" w:hAnsi="Arial"/>
          <w:rtl w:val="0"/>
        </w:rPr>
        <w:t xml:space="preserve"> A semi-trusted, isolated analytical layer responsible for processing policy heuristics and structure validation. It resides outside the primary Trusted Computing Base (TCB).</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b w:val="1"/>
          <w:bCs w:val="1"/>
          <w:rtl w:val="0"/>
        </w:rPr>
        <w:t xml:space="preserve">3. Invariant Core:</w:t>
      </w:r>
      <w:r w:rsidDel="00000000" w:rsidR="00000000" w:rsidRPr="00000000">
        <w:rPr>
          <w:rFonts w:ascii="Arial" w:cs="Arial" w:eastAsia="Arial" w:hAnsi="Arial"/>
          <w:rtl w:val="0"/>
        </w:rPr>
        <w:t xml:space="preserve"> The minimal, verified, and immutable core representing the absolute system TCB. It holds exclusive control over policy enforcement and execution state evaluation.</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b w:val="1"/>
          <w:bCs w:val="1"/>
          <w:rtl w:val="0"/>
        </w:rPr>
        <w:t xml:space="preserve">4. Execution Space:</w:t>
      </w:r>
      <w:r w:rsidDel="00000000" w:rsidR="00000000" w:rsidRPr="00000000">
        <w:rPr>
          <w:rFonts w:ascii="Arial" w:cs="Arial" w:eastAsia="Arial" w:hAnsi="Arial"/>
          <w:rtl w:val="0"/>
        </w:rPr>
        <w:t xml:space="preserve"> A rigid, highly deterministic processing environment operating under explicit hardware-level or runtime-level capabilities, engineered with native support for immediate thread termination traps.</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rtl w:val="0"/>
        </w:rPr>
        <w:t xml:space="preserve">Interaction across spaces via Shared State Boundaries: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Mode A (Ephemeral Channels):</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state operates as an isolated, monitored tool channel; an atomic state purge is forced upon any logical transition or epoch shift.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Mode B (Volumetric Channels):</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state acts as a completely untrusted communication medium restricted to a rigid, fixed-size Ring Buffer topology. Volumetric saturation is strictly governed by the Density threshold parameter declared in the signed Policy Manifest. Crossing this density boundary is treated as a critical violation of the Dual-Axis Quota rule. It triggers an instantaneous pointer reset, preemptive token revocation, and an immediate emergency runtime teardown backed by mandatory physical memory zeroing (secure zeroing/clobber).</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b w:val="1"/>
          <w:bCs w:val="1"/>
          <w:rtl w:val="0"/>
        </w:rPr>
        <w:t xml:space="preserve">Transitivity Axiom: </w:t>
      </w:r>
      <w:r w:rsidDel="00000000" w:rsidR="00000000" w:rsidRPr="00000000">
        <w:rPr>
          <w:rFonts w:ascii="Arial" w:cs="Arial" w:eastAsia="Arial" w:hAnsi="Arial"/>
          <w:rtl w:val="0"/>
        </w:rPr>
        <w:t xml:space="preserve">Data ingress elements retain an immutable UNTRUSTED_PROVENANCE tag transitively across all downstream operations. This tag cannot be stripped unless the payload successfully passes the rigorous, multi-stage Controlled De-classification protocol, which transitions the data to the highly scrutinized SANITIZED_PROVENANCE state.</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4af37" w:space="0" w:sz="24" w:val="single"/>
              <w:bottom w:color="000000" w:space="0" w:sz="0" w:val="nil"/>
              <w:right w:color="000000" w:space="0" w:sz="0" w:val="nil"/>
            </w:tcBorders>
            <w:shd w:fill="fff8e7" w:val="clear"/>
          </w:tcPr>
          <w:p w:rsidR="00000000" w:rsidDel="00000000" w:rsidP="00000000" w:rsidRDefault="00000000" w:rsidRPr="00000000" w14:paraId="0000004E">
            <w:pPr>
              <w:spacing w:after="80" w:before="80" w:lineRule="auto"/>
              <w:rPr/>
            </w:pPr>
            <w:r w:rsidDel="00000000" w:rsidR="00000000" w:rsidRPr="00000000">
              <w:rPr>
                <w:rFonts w:ascii="Arial" w:cs="Arial" w:eastAsia="Arial" w:hAnsi="Arial"/>
                <w:b w:val="1"/>
                <w:bCs w:val="1"/>
                <w:sz w:val="21"/>
                <w:szCs w:val="21"/>
                <w:rtl w:val="0"/>
              </w:rPr>
              <w:t xml:space="preserve">⚠ TOPOLOGY RESTRAINT: VALIDATION SPACE COMPROMISE PHENOMENON</w:t>
              <w:br w:type="textWrapping"/>
            </w:r>
            <w:r w:rsidDel="00000000" w:rsidR="00000000" w:rsidRPr="00000000">
              <w:rPr>
                <w:rFonts w:ascii="Arial" w:cs="Arial" w:eastAsia="Arial" w:hAnsi="Arial"/>
                <w:sz w:val="20"/>
                <w:szCs w:val="20"/>
                <w:rtl w:val="0"/>
              </w:rPr>
              <w:t xml:space="preserve">The active compromise of the Validation Space—wherein an adversary fully subverts the analytical layer but successfully mimics structural liveness metrics and transmits deceptive heartbeat arrays—represents an accepted residual risk under the Industrial Track. The baseline Flash-Purge trigger, which monitors liveness loss or execution timeout delays, cannot detect an actively deceptive, corrupted validation module. Eradicating this attack vector requires deterministic execution cryptograms (attestation/execution proofs), a capability strictly deferred to the Research Track.</w:t>
            </w:r>
            <w:r w:rsidDel="00000000" w:rsidR="00000000" w:rsidRPr="00000000">
              <w:rPr>
                <w:rtl w:val="0"/>
              </w:rPr>
            </w:r>
          </w:p>
        </w:tc>
      </w:tr>
    </w:tbl>
    <w:p w:rsidR="00000000" w:rsidDel="00000000" w:rsidP="00000000" w:rsidRDefault="00000000" w:rsidRPr="00000000" w14:paraId="0000004F">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5. Core Enforcement Mechanisms &amp; Realization Matrix</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rtl w:val="0"/>
        </w:rPr>
        <w:t xml:space="preserve">The implementation mapping defines the transition from idealized security definitions to real-world industrial infrastructure constraints:</w:t>
      </w:r>
      <w:r w:rsidDel="00000000" w:rsidR="00000000" w:rsidRPr="00000000">
        <w:rPr>
          <w:rtl w:val="0"/>
        </w:rPr>
      </w:r>
    </w:p>
    <w:tbl>
      <w:tblPr>
        <w:tblStyle w:val="Table4"/>
        <w:tblW w:w="9360.0" w:type="dxa"/>
        <w:jc w:val="left"/>
        <w:tblInd w:w="-108.0" w:type="dxa"/>
        <w:tblBorders>
          <w:top w:color="4f81bd" w:space="0" w:sz="8" w:val="single"/>
          <w:bottom w:color="4f81bd" w:space="0" w:sz="8" w:val="single"/>
        </w:tblBorders>
        <w:tblLayout w:type="fixed"/>
        <w:tblLook w:val="04A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02c57" w:val="clear"/>
          </w:tcPr>
          <w:p w:rsidR="00000000" w:rsidDel="00000000" w:rsidP="00000000" w:rsidRDefault="00000000" w:rsidRPr="00000000" w14:paraId="00000051">
            <w:pPr>
              <w:jc w:val="left"/>
              <w:rPr/>
            </w:pPr>
            <w:r w:rsidDel="00000000" w:rsidR="00000000" w:rsidRPr="00000000">
              <w:rPr>
                <w:b w:val="1"/>
                <w:bCs w:val="1"/>
                <w:color w:val="ffffff"/>
                <w:rtl w:val="0"/>
              </w:rPr>
              <w:t xml:space="preserve">Mechanism</w:t>
            </w:r>
            <w:r w:rsidDel="00000000" w:rsidR="00000000" w:rsidRPr="00000000">
              <w:rPr>
                <w:rtl w:val="0"/>
              </w:rPr>
            </w:r>
          </w:p>
        </w:tc>
        <w:tc>
          <w:tcPr>
            <w:shd w:fill="102c57" w:val="clear"/>
          </w:tcPr>
          <w:p w:rsidR="00000000" w:rsidDel="00000000" w:rsidP="00000000" w:rsidRDefault="00000000" w:rsidRPr="00000000" w14:paraId="00000052">
            <w:pPr>
              <w:jc w:val="left"/>
              <w:rPr/>
            </w:pPr>
            <w:r w:rsidDel="00000000" w:rsidR="00000000" w:rsidRPr="00000000">
              <w:rPr>
                <w:b w:val="1"/>
                <w:bCs w:val="1"/>
                <w:color w:val="ffffff"/>
                <w:rtl w:val="0"/>
              </w:rPr>
              <w:t xml:space="preserve">Ideal Theoretical Form</w:t>
            </w:r>
            <w:r w:rsidDel="00000000" w:rsidR="00000000" w:rsidRPr="00000000">
              <w:rPr>
                <w:rtl w:val="0"/>
              </w:rPr>
            </w:r>
          </w:p>
        </w:tc>
        <w:tc>
          <w:tcPr>
            <w:shd w:fill="102c57" w:val="clear"/>
          </w:tcPr>
          <w:p w:rsidR="00000000" w:rsidDel="00000000" w:rsidP="00000000" w:rsidRDefault="00000000" w:rsidRPr="00000000" w14:paraId="00000053">
            <w:pPr>
              <w:jc w:val="left"/>
              <w:rPr/>
            </w:pPr>
            <w:r w:rsidDel="00000000" w:rsidR="00000000" w:rsidRPr="00000000">
              <w:rPr>
                <w:b w:val="1"/>
                <w:bCs w:val="1"/>
                <w:color w:val="ffffff"/>
                <w:rtl w:val="0"/>
              </w:rPr>
              <w:t xml:space="preserve">High-Assurance (Research)</w:t>
            </w:r>
            <w:r w:rsidDel="00000000" w:rsidR="00000000" w:rsidRPr="00000000">
              <w:rPr>
                <w:rtl w:val="0"/>
              </w:rPr>
            </w:r>
          </w:p>
        </w:tc>
        <w:tc>
          <w:tcPr>
            <w:shd w:fill="102c57" w:val="clear"/>
          </w:tcPr>
          <w:p w:rsidR="00000000" w:rsidDel="00000000" w:rsidP="00000000" w:rsidRDefault="00000000" w:rsidRPr="00000000" w14:paraId="00000054">
            <w:pPr>
              <w:jc w:val="left"/>
              <w:rPr/>
            </w:pPr>
            <w:r w:rsidDel="00000000" w:rsidR="00000000" w:rsidRPr="00000000">
              <w:rPr>
                <w:b w:val="1"/>
                <w:bCs w:val="1"/>
                <w:color w:val="ffffff"/>
                <w:rtl w:val="0"/>
              </w:rPr>
              <w:t xml:space="preserve">Standard (Industrial)</w:t>
            </w:r>
            <w:r w:rsidDel="00000000" w:rsidR="00000000" w:rsidRPr="00000000">
              <w:rPr>
                <w:rtl w:val="0"/>
              </w:rPr>
            </w:r>
          </w:p>
        </w:tc>
        <w:tc>
          <w:tcPr>
            <w:shd w:fill="102c57" w:val="clear"/>
          </w:tcPr>
          <w:p w:rsidR="00000000" w:rsidDel="00000000" w:rsidP="00000000" w:rsidRDefault="00000000" w:rsidRPr="00000000" w14:paraId="00000055">
            <w:pPr>
              <w:jc w:val="left"/>
              <w:rPr/>
            </w:pPr>
            <w:r w:rsidDel="00000000" w:rsidR="00000000" w:rsidRPr="00000000">
              <w:rPr>
                <w:b w:val="1"/>
                <w:bCs w:val="1"/>
                <w:color w:val="ffffff"/>
                <w:rtl w:val="0"/>
              </w:rPr>
              <w:t xml:space="preserve">Minimal (Industrial)</w:t>
            </w:r>
            <w:r w:rsidDel="00000000" w:rsidR="00000000" w:rsidRPr="00000000">
              <w:rPr>
                <w:rtl w:val="0"/>
              </w:rPr>
            </w:r>
          </w:p>
        </w:tc>
        <w:tc>
          <w:tcPr>
            <w:shd w:fill="102c57" w:val="clear"/>
          </w:tcPr>
          <w:p w:rsidR="00000000" w:rsidDel="00000000" w:rsidP="00000000" w:rsidRDefault="00000000" w:rsidRPr="00000000" w14:paraId="00000056">
            <w:pPr>
              <w:jc w:val="left"/>
              <w:rPr/>
            </w:pPr>
            <w:r w:rsidDel="00000000" w:rsidR="00000000" w:rsidRPr="00000000">
              <w:rPr>
                <w:b w:val="1"/>
                <w:bCs w:val="1"/>
                <w:color w:val="ffffff"/>
                <w:rtl w:val="0"/>
              </w:rPr>
              <w:t xml:space="preserve">Production Reference Architecture</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Dual-Axis Quota</w:t>
            </w:r>
          </w:p>
        </w:tc>
        <w:tc>
          <w:tcPr/>
          <w:p w:rsidR="00000000" w:rsidDel="00000000" w:rsidP="00000000" w:rsidRDefault="00000000" w:rsidRPr="00000000" w14:paraId="00000058">
            <w:pPr>
              <w:rPr/>
            </w:pPr>
            <w:r w:rsidDel="00000000" w:rsidR="00000000" w:rsidRPr="00000000">
              <w:rPr>
                <w:rtl w:val="0"/>
              </w:rPr>
              <w:t xml:space="preserve">Logical step maps + nested child allocations.</w:t>
            </w:r>
          </w:p>
        </w:tc>
        <w:tc>
          <w:tcPr/>
          <w:p w:rsidR="00000000" w:rsidDel="00000000" w:rsidP="00000000" w:rsidRDefault="00000000" w:rsidRPr="00000000" w14:paraId="00000059">
            <w:pPr>
              <w:rPr/>
            </w:pPr>
            <w:r w:rsidDel="00000000" w:rsidR="00000000" w:rsidRPr="00000000">
              <w:rPr>
                <w:rtl w:val="0"/>
              </w:rPr>
              <w:t xml:space="preserve">Hardware-enforced memory/cycle counters.</w:t>
            </w:r>
          </w:p>
        </w:tc>
        <w:tc>
          <w:tcPr/>
          <w:p w:rsidR="00000000" w:rsidDel="00000000" w:rsidP="00000000" w:rsidRDefault="00000000" w:rsidRPr="00000000" w14:paraId="0000005A">
            <w:pPr>
              <w:rPr/>
            </w:pPr>
            <w:r w:rsidDel="00000000" w:rsidR="00000000" w:rsidRPr="00000000">
              <w:rPr>
                <w:rtl w:val="0"/>
              </w:rPr>
              <w:t xml:space="preserve">Linux cgroups v2 + custom transaction counters.</w:t>
            </w:r>
          </w:p>
        </w:tc>
        <w:tc>
          <w:tcPr/>
          <w:p w:rsidR="00000000" w:rsidDel="00000000" w:rsidP="00000000" w:rsidRDefault="00000000" w:rsidRPr="00000000" w14:paraId="0000005B">
            <w:pPr>
              <w:rPr/>
            </w:pPr>
            <w:r w:rsidDel="00000000" w:rsidR="00000000" w:rsidRPr="00000000">
              <w:rPr>
                <w:rtl w:val="0"/>
              </w:rPr>
              <w:t xml:space="preserve">Standard Linux cgroups implementation.</w:t>
            </w:r>
          </w:p>
        </w:tc>
        <w:tc>
          <w:tcPr/>
          <w:p w:rsidR="00000000" w:rsidDel="00000000" w:rsidP="00000000" w:rsidRDefault="00000000" w:rsidRPr="00000000" w14:paraId="0000005C">
            <w:pPr>
              <w:rPr/>
            </w:pPr>
            <w:r w:rsidDel="00000000" w:rsidR="00000000" w:rsidRPr="00000000">
              <w:rPr>
                <w:rtl w:val="0"/>
              </w:rPr>
              <w:t xml:space="preserve">Linux cgroups v2 + eBPF kernel counter hooks.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Graduated Purge</w:t>
            </w:r>
          </w:p>
        </w:tc>
        <w:tc>
          <w:tcPr/>
          <w:p w:rsidR="00000000" w:rsidDel="00000000" w:rsidP="00000000" w:rsidRDefault="00000000" w:rsidRPr="00000000" w14:paraId="0000005E">
            <w:pPr>
              <w:rPr/>
            </w:pPr>
            <w:r w:rsidDel="00000000" w:rsidR="00000000" w:rsidRPr="00000000">
              <w:rPr>
                <w:rtl w:val="0"/>
              </w:rPr>
              <w:t xml:space="preserve">Fail-Secure state rollback + Active Interruption.</w:t>
            </w:r>
          </w:p>
        </w:tc>
        <w:tc>
          <w:tcPr/>
          <w:p w:rsidR="00000000" w:rsidDel="00000000" w:rsidP="00000000" w:rsidRDefault="00000000" w:rsidRPr="00000000" w14:paraId="0000005F">
            <w:pPr>
              <w:rPr/>
            </w:pPr>
            <w:r w:rsidDel="00000000" w:rsidR="00000000" w:rsidRPr="00000000">
              <w:rPr>
                <w:rtl w:val="0"/>
              </w:rPr>
              <w:t xml:space="preserve">Full formal hardware clearing states.</w:t>
            </w:r>
          </w:p>
        </w:tc>
        <w:tc>
          <w:tcPr/>
          <w:p w:rsidR="00000000" w:rsidDel="00000000" w:rsidP="00000000" w:rsidRDefault="00000000" w:rsidRPr="00000000" w14:paraId="00000060">
            <w:pPr>
              <w:rPr/>
            </w:pPr>
            <w:r w:rsidDel="00000000" w:rsidR="00000000" w:rsidRPr="00000000">
              <w:rPr>
                <w:rtl w:val="0"/>
              </w:rPr>
              <w:t xml:space="preserve">Complete cascading thread termination.</w:t>
            </w:r>
          </w:p>
        </w:tc>
        <w:tc>
          <w:tcPr/>
          <w:p w:rsidR="00000000" w:rsidDel="00000000" w:rsidP="00000000" w:rsidRDefault="00000000" w:rsidRPr="00000000" w14:paraId="00000061">
            <w:pPr>
              <w:rPr/>
            </w:pPr>
            <w:r w:rsidDel="00000000" w:rsidR="00000000" w:rsidRPr="00000000">
              <w:rPr>
                <w:rtl w:val="0"/>
              </w:rPr>
              <w:t xml:space="preserve">Basic runtime context reset mapping.</w:t>
            </w:r>
          </w:p>
        </w:tc>
        <w:tc>
          <w:tcPr/>
          <w:p w:rsidR="00000000" w:rsidDel="00000000" w:rsidP="00000000" w:rsidRDefault="00000000" w:rsidRPr="00000000" w14:paraId="00000062">
            <w:pPr>
              <w:rPr/>
            </w:pPr>
            <w:r w:rsidDel="00000000" w:rsidR="00000000" w:rsidRPr="00000000">
              <w:rPr>
                <w:rtl w:val="0"/>
              </w:rPr>
              <w:t xml:space="preserve">WASM linear memory reset + seccomp abort traps.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Provenance Tagging</w:t>
            </w:r>
          </w:p>
        </w:tc>
        <w:tc>
          <w:tcPr/>
          <w:p w:rsidR="00000000" w:rsidDel="00000000" w:rsidP="00000000" w:rsidRDefault="00000000" w:rsidRPr="00000000" w14:paraId="00000064">
            <w:pPr>
              <w:rPr/>
            </w:pPr>
            <w:r w:rsidDel="00000000" w:rsidR="00000000" w:rsidRPr="00000000">
              <w:rPr>
                <w:rtl w:val="0"/>
              </w:rPr>
              <w:t xml:space="preserve">Immutable, cryptographic transitive tracking.</w:t>
            </w:r>
          </w:p>
        </w:tc>
        <w:tc>
          <w:tcPr/>
          <w:p w:rsidR="00000000" w:rsidDel="00000000" w:rsidP="00000000" w:rsidRDefault="00000000" w:rsidRPr="00000000" w14:paraId="00000065">
            <w:pPr>
              <w:rPr/>
            </w:pPr>
            <w:r w:rsidDel="00000000" w:rsidR="00000000" w:rsidRPr="00000000">
              <w:rPr>
                <w:rtl w:val="0"/>
              </w:rPr>
              <w:t xml:space="preserve">Hardware-tagged information flow controls.</w:t>
            </w:r>
          </w:p>
        </w:tc>
        <w:tc>
          <w:tcPr/>
          <w:p w:rsidR="00000000" w:rsidDel="00000000" w:rsidP="00000000" w:rsidRDefault="00000000" w:rsidRPr="00000000" w14:paraId="00000066">
            <w:pPr>
              <w:rPr/>
            </w:pPr>
            <w:r w:rsidDel="00000000" w:rsidR="00000000" w:rsidRPr="00000000">
              <w:rPr>
                <w:rtl w:val="0"/>
              </w:rPr>
              <w:t xml:space="preserve">Enforced wrapper objects + proxy validation.</w:t>
            </w:r>
          </w:p>
        </w:tc>
        <w:tc>
          <w:tcPr/>
          <w:p w:rsidR="00000000" w:rsidDel="00000000" w:rsidP="00000000" w:rsidRDefault="00000000" w:rsidRPr="00000000" w14:paraId="00000067">
            <w:pPr>
              <w:rPr/>
            </w:pPr>
            <w:r w:rsidDel="00000000" w:rsidR="00000000" w:rsidRPr="00000000">
              <w:rPr>
                <w:rtl w:val="0"/>
              </w:rPr>
              <w:t xml:space="preserve">Basic metadata headers at proxy limits.</w:t>
            </w:r>
          </w:p>
        </w:tc>
        <w:tc>
          <w:tcPr/>
          <w:p w:rsidR="00000000" w:rsidDel="00000000" w:rsidP="00000000" w:rsidRDefault="00000000" w:rsidRPr="00000000" w14:paraId="00000068">
            <w:pPr>
              <w:rPr/>
            </w:pPr>
            <w:r w:rsidDel="00000000" w:rsidR="00000000" w:rsidRPr="00000000">
              <w:rPr>
                <w:rtl w:val="0"/>
              </w:rPr>
              <w:t xml:space="preserve">Immutable header objects + Invariant Core proxy mediation.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Policy Manifests</w:t>
            </w:r>
          </w:p>
        </w:tc>
        <w:tc>
          <w:tcPr/>
          <w:p w:rsidR="00000000" w:rsidDel="00000000" w:rsidP="00000000" w:rsidRDefault="00000000" w:rsidRPr="00000000" w14:paraId="0000006A">
            <w:pPr>
              <w:rPr/>
            </w:pPr>
            <w:r w:rsidDel="00000000" w:rsidR="00000000" w:rsidRPr="00000000">
              <w:rPr>
                <w:rtl w:val="0"/>
              </w:rPr>
              <w:t xml:space="preserve">High-Watermark tracking + Monotonic enforcement.</w:t>
            </w:r>
          </w:p>
        </w:tc>
        <w:tc>
          <w:tcPr/>
          <w:p w:rsidR="00000000" w:rsidDel="00000000" w:rsidP="00000000" w:rsidRDefault="00000000" w:rsidRPr="00000000" w14:paraId="0000006B">
            <w:pPr>
              <w:rPr/>
            </w:pPr>
            <w:r w:rsidDel="00000000" w:rsidR="00000000" w:rsidRPr="00000000">
              <w:rPr>
                <w:rtl w:val="0"/>
              </w:rPr>
              <w:t xml:space="preserve">HSM-validated hardware-state registers.</w:t>
            </w:r>
          </w:p>
        </w:tc>
        <w:tc>
          <w:tcPr/>
          <w:p w:rsidR="00000000" w:rsidDel="00000000" w:rsidP="00000000" w:rsidRDefault="00000000" w:rsidRPr="00000000" w14:paraId="0000006C">
            <w:pPr>
              <w:rPr/>
            </w:pPr>
            <w:r w:rsidDel="00000000" w:rsidR="00000000" w:rsidRPr="00000000">
              <w:rPr>
                <w:rtl w:val="0"/>
              </w:rPr>
              <w:t xml:space="preserve">Full signed YAML configuration checking.</w:t>
            </w:r>
          </w:p>
        </w:tc>
        <w:tc>
          <w:tcPr/>
          <w:p w:rsidR="00000000" w:rsidDel="00000000" w:rsidP="00000000" w:rsidRDefault="00000000" w:rsidRPr="00000000" w14:paraId="0000006D">
            <w:pPr>
              <w:rPr/>
            </w:pPr>
            <w:r w:rsidDel="00000000" w:rsidR="00000000" w:rsidRPr="00000000">
              <w:rPr>
                <w:rtl w:val="0"/>
              </w:rPr>
              <w:t xml:space="preserve">Static signed configuration manifests.</w:t>
            </w:r>
          </w:p>
        </w:tc>
        <w:tc>
          <w:tcPr/>
          <w:p w:rsidR="00000000" w:rsidDel="00000000" w:rsidP="00000000" w:rsidRDefault="00000000" w:rsidRPr="00000000" w14:paraId="0000006E">
            <w:pPr>
              <w:rPr/>
            </w:pPr>
            <w:r w:rsidDel="00000000" w:rsidR="00000000" w:rsidRPr="00000000">
              <w:rPr>
                <w:rtl w:val="0"/>
              </w:rPr>
              <w:t xml:space="preserve">Ed25519 signatures + High-Watermark verification engine.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Tool Sanitization</w:t>
            </w:r>
          </w:p>
        </w:tc>
        <w:tc>
          <w:tcPr/>
          <w:p w:rsidR="00000000" w:rsidDel="00000000" w:rsidP="00000000" w:rsidRDefault="00000000" w:rsidRPr="00000000" w14:paraId="00000070">
            <w:pPr>
              <w:rPr/>
            </w:pPr>
            <w:r w:rsidDel="00000000" w:rsidR="00000000" w:rsidRPr="00000000">
              <w:rPr>
                <w:rtl w:val="0"/>
              </w:rPr>
              <w:t xml:space="preserve">Syntactic schemas + cryptographic profiles.</w:t>
            </w:r>
          </w:p>
        </w:tc>
        <w:tc>
          <w:tcPr/>
          <w:p w:rsidR="00000000" w:rsidDel="00000000" w:rsidP="00000000" w:rsidRDefault="00000000" w:rsidRPr="00000000" w14:paraId="00000071">
            <w:pPr>
              <w:rPr/>
            </w:pPr>
            <w:r w:rsidDel="00000000" w:rsidR="00000000" w:rsidRPr="00000000">
              <w:rPr>
                <w:rtl w:val="0"/>
              </w:rPr>
              <w:t xml:space="preserve">Formal interface contract validation.</w:t>
            </w:r>
          </w:p>
        </w:tc>
        <w:tc>
          <w:tcPr/>
          <w:p w:rsidR="00000000" w:rsidDel="00000000" w:rsidP="00000000" w:rsidRDefault="00000000" w:rsidRPr="00000000" w14:paraId="00000072">
            <w:pPr>
              <w:rPr/>
            </w:pPr>
            <w:r w:rsidDel="00000000" w:rsidR="00000000" w:rsidRPr="00000000">
              <w:rPr>
                <w:rtl w:val="0"/>
              </w:rPr>
              <w:t xml:space="preserve">Strict JSON Schema matching + active proxies.</w:t>
            </w:r>
          </w:p>
        </w:tc>
        <w:tc>
          <w:tcPr/>
          <w:p w:rsidR="00000000" w:rsidDel="00000000" w:rsidP="00000000" w:rsidRDefault="00000000" w:rsidRPr="00000000" w14:paraId="00000073">
            <w:pPr>
              <w:rPr/>
            </w:pPr>
            <w:r w:rsidDel="00000000" w:rsidR="00000000" w:rsidRPr="00000000">
              <w:rPr>
                <w:rtl w:val="0"/>
              </w:rPr>
              <w:t xml:space="preserve">Standard JSON Schema proxy processing.</w:t>
            </w:r>
          </w:p>
        </w:tc>
        <w:tc>
          <w:tcPr/>
          <w:p w:rsidR="00000000" w:rsidDel="00000000" w:rsidP="00000000" w:rsidRDefault="00000000" w:rsidRPr="00000000" w14:paraId="00000074">
            <w:pPr>
              <w:rPr/>
            </w:pPr>
            <w:r w:rsidDel="00000000" w:rsidR="00000000" w:rsidRPr="00000000">
              <w:rPr>
                <w:rtl w:val="0"/>
              </w:rPr>
              <w:t xml:space="preserve">JSON Schema proxy mediation at the TCB boundary.</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Trusted Baseline Image</w:t>
            </w:r>
          </w:p>
        </w:tc>
        <w:tc>
          <w:tcPr/>
          <w:p w:rsidR="00000000" w:rsidDel="00000000" w:rsidP="00000000" w:rsidRDefault="00000000" w:rsidRPr="00000000" w14:paraId="00000076">
            <w:pPr>
              <w:rPr/>
            </w:pPr>
            <w:r w:rsidDel="00000000" w:rsidR="00000000" w:rsidRPr="00000000">
              <w:rPr>
                <w:rtl w:val="0"/>
              </w:rPr>
              <w:t xml:space="preserve">Cryptographically checked Measured Boot state.</w:t>
            </w:r>
          </w:p>
        </w:tc>
        <w:tc>
          <w:tcPr/>
          <w:p w:rsidR="00000000" w:rsidDel="00000000" w:rsidP="00000000" w:rsidRDefault="00000000" w:rsidRPr="00000000" w14:paraId="00000077">
            <w:pPr>
              <w:rPr/>
            </w:pPr>
            <w:r w:rsidDel="00000000" w:rsidR="00000000" w:rsidRPr="00000000">
              <w:rPr>
                <w:rtl w:val="0"/>
              </w:rPr>
              <w:t xml:space="preserve">Full hardware Measured Boot execution.</w:t>
            </w:r>
          </w:p>
        </w:tc>
        <w:tc>
          <w:tcPr/>
          <w:p w:rsidR="00000000" w:rsidDel="00000000" w:rsidP="00000000" w:rsidRDefault="00000000" w:rsidRPr="00000000" w14:paraId="00000078">
            <w:pPr>
              <w:rPr/>
            </w:pPr>
            <w:r w:rsidDel="00000000" w:rsidR="00000000" w:rsidRPr="00000000">
              <w:rPr>
                <w:rtl w:val="0"/>
              </w:rPr>
              <w:t xml:space="preserve">Cryptographic image snapshot checking.</w:t>
            </w:r>
          </w:p>
        </w:tc>
        <w:tc>
          <w:tcPr/>
          <w:p w:rsidR="00000000" w:rsidDel="00000000" w:rsidP="00000000" w:rsidRDefault="00000000" w:rsidRPr="00000000" w14:paraId="00000079">
            <w:pPr>
              <w:rPr/>
            </w:pPr>
            <w:r w:rsidDel="00000000" w:rsidR="00000000" w:rsidRPr="00000000">
              <w:rPr>
                <w:rtl w:val="0"/>
              </w:rPr>
              <w:t xml:space="preserve">Static configuration read-only snapshot.</w:t>
            </w:r>
          </w:p>
        </w:tc>
        <w:tc>
          <w:tcPr/>
          <w:p w:rsidR="00000000" w:rsidDel="00000000" w:rsidP="00000000" w:rsidRDefault="00000000" w:rsidRPr="00000000" w14:paraId="0000007A">
            <w:pPr>
              <w:rPr/>
            </w:pPr>
            <w:r w:rsidDel="00000000" w:rsidR="00000000" w:rsidRPr="00000000">
              <w:rPr>
                <w:rtl w:val="0"/>
              </w:rPr>
              <w:t xml:space="preserve">Signed static configuration filesystem snapshots.</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See Appendix B for pre-specification research mechanisms excluded from all normative profile obligations.</w:t>
      </w:r>
    </w:p>
    <w:p w:rsidR="00000000" w:rsidDel="00000000" w:rsidP="00000000" w:rsidRDefault="00000000" w:rsidRPr="00000000" w14:paraId="0000007D">
      <w:pPr>
        <w:rPr/>
      </w:pPr>
      <w:r w:rsidDel="00000000" w:rsidR="00000000" w:rsidRPr="00000000">
        <w:rPr>
          <w:rFonts w:ascii="Arial" w:cs="Arial" w:eastAsia="Arial" w:hAnsi="Arial"/>
          <w:b w:val="1"/>
          <w:bCs w:val="1"/>
          <w:rtl w:val="0"/>
        </w:rPr>
        <w:t xml:space="preserve">Quota Invariant Enforcement: </w:t>
      </w:r>
      <w:r w:rsidDel="00000000" w:rsidR="00000000" w:rsidRPr="00000000">
        <w:rPr>
          <w:rFonts w:ascii="Arial" w:cs="Arial" w:eastAsia="Arial" w:hAnsi="Arial"/>
          <w:rtl w:val="0"/>
        </w:rPr>
        <w:t xml:space="preserve">Any violation across a registered Dual-Axis Quota vector (including crossing the Density threshold within Shared State Mode B) commands an instantaneous preemptive revocation transaction. This forces immediate credential token invalidation and absolute thread termination across the Execution Space.</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1"/>
          <w:bCs w:val="1"/>
          <w:rtl w:val="0"/>
        </w:rPr>
        <w:t xml:space="preserve">Soft-Purge Protocol: </w:t>
      </w:r>
      <w:r w:rsidDel="00000000" w:rsidR="00000000" w:rsidRPr="00000000">
        <w:rPr>
          <w:rFonts w:ascii="Arial" w:cs="Arial" w:eastAsia="Arial" w:hAnsi="Arial"/>
          <w:rtl w:val="0"/>
        </w:rPr>
        <w:t xml:space="preserve">Triggered exclusively upon a Managed timeout or a partial loss of liveness metrics, provided that the Validation Space transmits a verified confirmation stating that no anomalous semantic drift has occurred. This protocol executes a bounded, non-destructive runtime reset while mandating the physical zeroing (secure zeroing) of all active Shared State Mode A channels and an absolute reset of the current token epoch.</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1"/>
          <w:bCs w:val="1"/>
          <w:rtl w:val="0"/>
        </w:rPr>
        <w:t xml:space="preserve">Flash-Purge Protocol: </w:t>
      </w:r>
      <w:r w:rsidDel="00000000" w:rsidR="00000000" w:rsidRPr="00000000">
        <w:rPr>
          <w:rFonts w:ascii="Arial" w:cs="Arial" w:eastAsia="Arial" w:hAnsi="Arial"/>
          <w:rtl w:val="0"/>
        </w:rPr>
        <w:t xml:space="preserve">Executed immediately upon an Anomalous timeout, a definitive security invariant failure, critical liveness degradation, or an explicit loss of communication from the Validation Space (the fundamental fail-secure premise). Flash-Purge forces an instantaneous state rollback of the Mutation Space to the baseline configuration image, revokes all platform capabilities, issues immediate thread-killing traps to the Execution Space, and triggers a recursive, down-tree destruction of all active child contexts. During this emergency teardown, the runtime must execute physical memory erasure (secure zeroing / clobber) across the entire Shared State Mode B footprint before any processing privileges can be returned to the Mutation Space.</w:t>
      </w:r>
      <w:r w:rsidDel="00000000" w:rsidR="00000000" w:rsidRPr="00000000">
        <w:rPr>
          <w:rtl w:val="0"/>
        </w:rPr>
        <w:t xml:space="preserve"> </w:t>
      </w:r>
      <w:r w:rsidDel="00000000" w:rsidR="00000000" w:rsidRPr="00000000">
        <w:rPr>
          <w:rFonts w:ascii="Arial" w:cs="Arial" w:eastAsia="Arial" w:hAnsi="Arial"/>
          <w:rtl w:val="0"/>
        </w:rPr>
        <w:t xml:space="preserve">When an execution payload shifts across an evaluation boundary (such as data transit from a child context to a parent environment), the Invariant Core forces an immutable sanitation sequence: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1. Structural Alignment:</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Comprehensive structural validation against an explicitly whitelisted structural definition schema (JSON Schema).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2. Textual Eradication:</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Total excision or tokenized replacement of all open-ended, non-structural natural language components and free text arrays.</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1"/>
          <w:bCs w:val="1"/>
          <w:rtl w:val="0"/>
        </w:rPr>
        <w:t xml:space="preserve">Absolute Rule of De-classification: </w:t>
      </w:r>
      <w:r w:rsidDel="00000000" w:rsidR="00000000" w:rsidRPr="00000000">
        <w:rPr>
          <w:rFonts w:ascii="Arial" w:cs="Arial" w:eastAsia="Arial" w:hAnsi="Arial"/>
          <w:rtl w:val="0"/>
        </w:rPr>
        <w:t xml:space="preserve">The unconditioned stripping of suspicion markers following basic structural validation is strictly prohibited. Sanitized payloads are committed to the parent context carrying exclusively the intermediate status marker SANITIZED_PROVENANCE. This status mandates that the Validation Space maintain active, continuous semantic monitoring over these data elements during all subsequent logical transitions to block secondary injections embedded within structured values. The residual hazard of structural semantic penetration is recorded as an accepted exposure of the Industrial Track.</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b w:val="1"/>
          <w:bCs w:val="1"/>
          <w:rtl w:val="0"/>
        </w:rPr>
        <w:t xml:space="preserve">Adversarial Re-Validation: </w:t>
      </w:r>
      <w:r w:rsidDel="00000000" w:rsidR="00000000" w:rsidRPr="00000000">
        <w:rPr>
          <w:rFonts w:ascii="Arial" w:cs="Arial" w:eastAsia="Arial" w:hAnsi="Arial"/>
          <w:rtl w:val="0"/>
        </w:rPr>
        <w:t xml:space="preserve">To counter adversarial target drift, the active heuristics running within the Validation Space must undergo automated, periodic adversarial re-validation loops tested against a versioned, cryptographically signed matrix of known attack vectors. All validation telemetry must be written to an unalterable, append-only audit trail.</w:t>
      </w:r>
      <w:r w:rsidDel="00000000" w:rsidR="00000000" w:rsidRPr="00000000">
        <w:rPr>
          <w:rtl w:val="0"/>
        </w:rPr>
      </w:r>
    </w:p>
    <w:p w:rsidR="00000000" w:rsidDel="00000000" w:rsidP="00000000" w:rsidRDefault="00000000" w:rsidRPr="00000000" w14:paraId="00000084">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6. Core Formal Invariants</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b w:val="1"/>
          <w:bCs w:val="1"/>
          <w:rtl w:val="0"/>
        </w:rPr>
        <w:t xml:space="preserve">Mathematical Boundary Definition: </w:t>
      </w:r>
      <w:r w:rsidDel="00000000" w:rsidR="00000000" w:rsidRPr="00000000">
        <w:rPr>
          <w:rFonts w:ascii="Arial" w:cs="Arial" w:eastAsia="Arial" w:hAnsi="Arial"/>
          <w:rtl w:val="0"/>
        </w:rPr>
        <w:t xml:space="preserve">The mathematical integrity of the containment perimeter is governed by the structural predicate IsIsolatedFloor(level, profile, s). This logical engine evaluates state safety by cross-referencing the Absolute Initialization Invariant (I₀), the Hierarchical Child Invariant (strict structural nesting + isolated micro-budgets), the Token Ephemerality Invariant (preventing traditional runtime race conditions), the Profile–S-Level Correlation Invariant, and the strict transactional laws of Controlled De-classification. Detailed formal proofs and category-theoretic maps are compiled within the accompanying GVAA Research Companion document.</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4af37" w:space="0" w:sz="24" w:val="single"/>
              <w:bottom w:color="000000" w:space="0" w:sz="0" w:val="nil"/>
              <w:right w:color="000000" w:space="0" w:sz="0" w:val="nil"/>
            </w:tcBorders>
            <w:shd w:fill="fff8e7" w:val="clear"/>
          </w:tcPr>
          <w:p w:rsidR="00000000" w:rsidDel="00000000" w:rsidP="00000000" w:rsidRDefault="00000000" w:rsidRPr="00000000" w14:paraId="00000086">
            <w:pPr>
              <w:spacing w:after="80" w:before="80" w:lineRule="auto"/>
              <w:rPr/>
            </w:pPr>
            <w:r w:rsidDel="00000000" w:rsidR="00000000" w:rsidRPr="00000000">
              <w:rPr>
                <w:rFonts w:ascii="Arial" w:cs="Arial" w:eastAsia="Arial" w:hAnsi="Arial"/>
                <w:b w:val="1"/>
                <w:bCs w:val="1"/>
                <w:sz w:val="21"/>
                <w:szCs w:val="21"/>
                <w:rtl w:val="0"/>
              </w:rPr>
              <w:t xml:space="preserve">⚠ ENFORCEMENT MANDATE: MACRO-TOCTOU MITIGATION IN CHILD SECTIONS</w:t>
              <w:br w:type="textWrapping"/>
            </w:r>
            <w:r w:rsidDel="00000000" w:rsidR="00000000" w:rsidRPr="00000000">
              <w:rPr>
                <w:rFonts w:ascii="Arial" w:cs="Arial" w:eastAsia="Arial" w:hAnsi="Arial"/>
                <w:sz w:val="20"/>
                <w:szCs w:val="20"/>
                <w:rtl w:val="0"/>
              </w:rPr>
              <w:t xml:space="preserve">Distributed and multi-threaded processing environments running under the Industrial Track exhibit a structural exposure to macro-TOCTOU state gaps during extended child Logical Steps. To counter this boundary exploitation vector, the Standard Profile enforces a rigid MANDATE (and the Minimal Profile establishes a strict ARCHITECTURAL RECOMMENDATION) requiring an atomic verification of the liveness state and configuration epoch across the entire up-tree parent manifest chain upon every instance of access or presentation of a Capability Token inside the Execution Space.</w:t>
            </w:r>
            <w:r w:rsidDel="00000000" w:rsidR="00000000" w:rsidRPr="00000000">
              <w:rPr>
                <w:rtl w:val="0"/>
              </w:rPr>
            </w:r>
          </w:p>
        </w:tc>
      </w:tr>
    </w:tbl>
    <w:p w:rsidR="00000000" w:rsidDel="00000000" w:rsidP="00000000" w:rsidRDefault="00000000" w:rsidRPr="00000000" w14:paraId="00000087">
      <w:pPr>
        <w:spacing w:after="120" w:before="120" w:lineRule="auto"/>
        <w:rPr/>
      </w:pPr>
      <w:r w:rsidDel="00000000" w:rsidR="00000000" w:rsidRPr="00000000">
        <w:rPr>
          <w:rtl w:val="0"/>
        </w:rPr>
      </w:r>
    </w:p>
    <w:p w:rsidR="00000000" w:rsidDel="00000000" w:rsidP="00000000" w:rsidRDefault="00000000" w:rsidRPr="00000000" w14:paraId="00000088">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7. Adversarial Model &amp; Security Boundaries</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b w:val="1"/>
          <w:bCs w:val="1"/>
          <w:rtl w:val="0"/>
        </w:rPr>
        <w:t xml:space="preserve">Structural Mitigations (In-Scope): </w:t>
      </w:r>
      <w:r w:rsidDel="00000000" w:rsidR="00000000" w:rsidRPr="00000000">
        <w:rPr>
          <w:rFonts w:ascii="Arial" w:cs="Arial" w:eastAsia="Arial" w:hAnsi="Arial"/>
          <w:rtl w:val="0"/>
        </w:rPr>
        <w:t xml:space="preserve">The containment framework delivers definitive, non-bypassable structural mitigation or absolute localization against the following vector classes: Direct and Indirect Prompt Injection (including Indirect Retrieval-Augmented Injection variations, wherein adversarial payloads are embedded within externally retrieved content and injected into the agent context via permitted tool outputs), Logical Step Amplification exploits, Unbounded Tool Invocation loops, Specification Overload conditions, Policy Reverse Engineering attempts, Slow-Burn/Context Drift state corruption, Classifier Evasion tactics, shared-state data leakage, post-initialization tool registration attempts, child session quota exhaustion vectors, Use-After-Purge token reuse anomalies, runtime TOCTOU race states during tool calls, and Manifest Downgrade attacks.</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b w:val="1"/>
          <w:bCs w:val="1"/>
          <w:rtl w:val="0"/>
        </w:rPr>
        <w:t xml:space="preserve">Architectural Exclusions (Out-of-Scope): </w:t>
      </w:r>
      <w:r w:rsidDel="00000000" w:rsidR="00000000" w:rsidRPr="00000000">
        <w:rPr>
          <w:rFonts w:ascii="Arial" w:cs="Arial" w:eastAsia="Arial" w:hAnsi="Arial"/>
          <w:rtl w:val="0"/>
        </w:rPr>
        <w:t xml:space="preserve">The following hazard classes reside completely outside the system Trusted Computing Base (TCB) boundaries and are deferred to external operational mitigations: state-sponsored physical hardware intrusion, deeply compromised upstream component supply chains, malicious internal actors possessing root administrative keys, total active subversion of the Validation Space with deceptive liveness simulation (mitigated via organizational compliance limits under the Industrial Track), secondary semantic injections passing inside valid structured fields carrying the SANITIZED_PROVENANCE marker (an accepted residual risk), and direct semantic risks targeting human interpretation.</w:t>
      </w:r>
      <w:r w:rsidDel="00000000" w:rsidR="00000000" w:rsidRPr="00000000">
        <w:rPr>
          <w:rtl w:val="0"/>
        </w:rPr>
      </w:r>
    </w:p>
    <w:p w:rsidR="00000000" w:rsidDel="00000000" w:rsidP="00000000" w:rsidRDefault="00000000" w:rsidRPr="00000000" w14:paraId="0000008B">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8. Governance: Policy Manifest Architecture</w:t>
      </w:r>
      <w:r w:rsidDel="00000000" w:rsidR="00000000" w:rsidRPr="00000000">
        <w:rPr>
          <w:rtl w:val="0"/>
        </w:rPr>
      </w:r>
    </w:p>
    <w:p w:rsidR="00000000" w:rsidDel="00000000" w:rsidP="00000000" w:rsidRDefault="00000000" w:rsidRPr="00000000" w14:paraId="0000008C">
      <w:pPr>
        <w:keepNext w:val="1"/>
        <w:spacing w:after="80" w:before="240" w:lineRule="auto"/>
        <w:rPr/>
      </w:pPr>
      <w:r w:rsidDel="00000000" w:rsidR="00000000" w:rsidRPr="00000000">
        <w:rPr>
          <w:rFonts w:ascii="Arial" w:cs="Arial" w:eastAsia="Arial" w:hAnsi="Arial"/>
          <w:b w:val="1"/>
          <w:bCs w:val="1"/>
          <w:color w:val="3572ef"/>
          <w:sz w:val="26"/>
          <w:szCs w:val="26"/>
          <w:rtl w:val="0"/>
        </w:rPr>
        <w:t xml:space="preserve">8.1 Manifest Lifecycle</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rtl w:val="0"/>
        </w:rPr>
        <w:t xml:space="preserve">Manifest Lifecycle Enforcements: Policy configurations are deployed as cryptographically signed (Ed25519), dual-path policy manifests, evaluated exclusively during root boot sequences or following an emergency Flash-Purge execution. Every manifest compilation and registration transaction during the I₀ phase mandates hardware-level or static validation against the High-Watermark register (the global historical maximum version of the manifest), preserved within the non-volatile storage of the Trusted Baseline Image. Any manifest structure presenting a version identifier less than or equal to the active High-Watermark value is rejected by the runtime hardware layer, delivering absolute protection against policy rollback exploits (Downgrade Attacks). Manifests must contain a concurrent-safe, version-inherited Residual Risk Registry mapping localized operational acceptances.</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b w:val="1"/>
          <w:bCs w:val="1"/>
          <w:rtl w:val="0"/>
        </w:rPr>
        <w:t xml:space="preserve">Active Allocation Constraints: </w:t>
      </w:r>
      <w:r w:rsidDel="00000000" w:rsidR="00000000" w:rsidRPr="00000000">
        <w:rPr>
          <w:rFonts w:ascii="Arial" w:cs="Arial" w:eastAsia="Arial" w:hAnsi="Arial"/>
          <w:rtl w:val="0"/>
        </w:rPr>
        <w:t xml:space="preserve">The configuration parameter MAX_ACTIVE_MANIFEST_VERSIONS = 3 specifies exclusively the maximum allocation limit for distinct manifest versions authorized to reside concurrently within the operational runtime memory space. The purging of historically older manifest structures from memory occurs if and only if the primary session and all recursively linked child contexts within its execution tree have reached total termination. The absolute High-Watermark value stored in the non-volatile Trusted Baseline Image is strictly monotonic and can never decrease.</w:t>
      </w:r>
      <w:r w:rsidDel="00000000" w:rsidR="00000000" w:rsidRPr="00000000">
        <w:rPr>
          <w:rtl w:val="0"/>
        </w:rPr>
      </w:r>
    </w:p>
    <w:p w:rsidR="00000000" w:rsidDel="00000000" w:rsidP="00000000" w:rsidRDefault="00000000" w:rsidRPr="00000000" w14:paraId="0000008F">
      <w:pPr>
        <w:keepNext w:val="1"/>
        <w:spacing w:after="80" w:before="240" w:lineRule="auto"/>
        <w:rPr/>
      </w:pPr>
      <w:r w:rsidDel="00000000" w:rsidR="00000000" w:rsidRPr="00000000">
        <w:rPr>
          <w:rFonts w:ascii="Arial" w:cs="Arial" w:eastAsia="Arial" w:hAnsi="Arial"/>
          <w:b w:val="1"/>
          <w:bCs w:val="1"/>
          <w:color w:val="3572ef"/>
          <w:sz w:val="26"/>
          <w:szCs w:val="26"/>
          <w:rtl w:val="0"/>
        </w:rPr>
        <w:t xml:space="preserve">8.2 Key Management</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rtl w:val="0"/>
        </w:rPr>
        <w:t xml:space="preserve">Key Rotation and Compromise Response: The Ed25519 signing key </w:t>
      </w:r>
      <w:r w:rsidDel="00000000" w:rsidR="00000000" w:rsidRPr="00000000">
        <w:rPr>
          <w:rtl w:val="0"/>
        </w:rPr>
        <w:t xml:space="preserve">authorizing</w:t>
      </w:r>
      <w:r w:rsidDel="00000000" w:rsidR="00000000" w:rsidRPr="00000000">
        <w:rPr>
          <w:rFonts w:ascii="Arial" w:cs="Arial" w:eastAsia="Arial" w:hAnsi="Arial"/>
          <w:rtl w:val="0"/>
        </w:rPr>
        <w:t xml:space="preserve"> Policy Manifest compilation is classified as a root trust asset. Key rotation must occur on a scheduled cycle not exceeding 12 months, or immediately upon any confirmed or suspected compromise event. The rotation procedure constitutes a full I₀ re-execution: the new key is registered in the Trusted Baseline Image, a replacement manifest is compiled and validated against the current High-Watermark, and all active sessions are terminated via Flash-Purge before the new manifest epoch is activated. Compromise of the signing key is treated as a critical security incident requiring full platform re-initialisation; partial session continuity is not permitted.</w:t>
      </w:r>
      <w:r w:rsidDel="00000000" w:rsidR="00000000" w:rsidRPr="00000000">
        <w:rPr>
          <w:rtl w:val="0"/>
        </w:rPr>
      </w:r>
    </w:p>
    <w:p w:rsidR="00000000" w:rsidDel="00000000" w:rsidP="00000000" w:rsidRDefault="00000000" w:rsidRPr="00000000" w14:paraId="00000091">
      <w:pPr>
        <w:keepNext w:val="1"/>
        <w:spacing w:after="80" w:before="240" w:lineRule="auto"/>
        <w:rPr/>
      </w:pPr>
      <w:r w:rsidDel="00000000" w:rsidR="00000000" w:rsidRPr="00000000">
        <w:rPr>
          <w:rFonts w:ascii="Arial" w:cs="Arial" w:eastAsia="Arial" w:hAnsi="Arial"/>
          <w:b w:val="1"/>
          <w:bCs w:val="1"/>
          <w:color w:val="3572ef"/>
          <w:sz w:val="26"/>
          <w:szCs w:val="26"/>
          <w:rtl w:val="0"/>
        </w:rPr>
        <w:t xml:space="preserve">8.3 Residual Risk Governance</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rtl w:val="0"/>
        </w:rPr>
        <w:t xml:space="preserve">Residual Risk Registry — Roles and Accountability:</w:t>
      </w:r>
      <w:r w:rsidDel="00000000" w:rsidR="00000000" w:rsidRPr="00000000">
        <w:rPr>
          <w:rtl w:val="0"/>
        </w:rPr>
      </w:r>
    </w:p>
    <w:tbl>
      <w:tblPr>
        <w:tblStyle w:val="Table6"/>
        <w:tblW w:w="9360.0" w:type="dxa"/>
        <w:jc w:val="left"/>
        <w:tblInd w:w="-108.0" w:type="dxa"/>
        <w:tblBorders>
          <w:top w:color="4f81bd" w:space="0" w:sz="8" w:val="single"/>
          <w:bottom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02c57" w:val="clear"/>
          </w:tcPr>
          <w:p w:rsidR="00000000" w:rsidDel="00000000" w:rsidP="00000000" w:rsidRDefault="00000000" w:rsidRPr="00000000" w14:paraId="00000093">
            <w:pPr>
              <w:jc w:val="left"/>
              <w:rPr/>
            </w:pPr>
            <w:r w:rsidDel="00000000" w:rsidR="00000000" w:rsidRPr="00000000">
              <w:rPr>
                <w:b w:val="1"/>
                <w:bCs w:val="1"/>
                <w:color w:val="ffffff"/>
                <w:rtl w:val="0"/>
              </w:rPr>
              <w:t xml:space="preserve">Activity</w:t>
            </w:r>
            <w:r w:rsidDel="00000000" w:rsidR="00000000" w:rsidRPr="00000000">
              <w:rPr>
                <w:rtl w:val="0"/>
              </w:rPr>
            </w:r>
          </w:p>
        </w:tc>
        <w:tc>
          <w:tcPr>
            <w:shd w:fill="102c57" w:val="clear"/>
          </w:tcPr>
          <w:p w:rsidR="00000000" w:rsidDel="00000000" w:rsidP="00000000" w:rsidRDefault="00000000" w:rsidRPr="00000000" w14:paraId="00000094">
            <w:pPr>
              <w:jc w:val="left"/>
              <w:rPr/>
            </w:pPr>
            <w:r w:rsidDel="00000000" w:rsidR="00000000" w:rsidRPr="00000000">
              <w:rPr>
                <w:b w:val="1"/>
                <w:bCs w:val="1"/>
                <w:color w:val="ffffff"/>
                <w:rtl w:val="0"/>
              </w:rPr>
              <w:t xml:space="preserve">Responsible</w:t>
            </w:r>
            <w:r w:rsidDel="00000000" w:rsidR="00000000" w:rsidRPr="00000000">
              <w:rPr>
                <w:rtl w:val="0"/>
              </w:rPr>
            </w:r>
          </w:p>
        </w:tc>
        <w:tc>
          <w:tcPr>
            <w:shd w:fill="102c57" w:val="clear"/>
          </w:tcPr>
          <w:p w:rsidR="00000000" w:rsidDel="00000000" w:rsidP="00000000" w:rsidRDefault="00000000" w:rsidRPr="00000000" w14:paraId="00000095">
            <w:pPr>
              <w:jc w:val="left"/>
              <w:rPr/>
            </w:pPr>
            <w:r w:rsidDel="00000000" w:rsidR="00000000" w:rsidRPr="00000000">
              <w:rPr>
                <w:b w:val="1"/>
                <w:bCs w:val="1"/>
                <w:color w:val="ffffff"/>
                <w:rtl w:val="0"/>
              </w:rPr>
              <w:t xml:space="preserve">Accountable</w:t>
            </w:r>
            <w:r w:rsidDel="00000000" w:rsidR="00000000" w:rsidRPr="00000000">
              <w:rPr>
                <w:rtl w:val="0"/>
              </w:rPr>
            </w:r>
          </w:p>
        </w:tc>
        <w:tc>
          <w:tcPr>
            <w:shd w:fill="102c57" w:val="clear"/>
          </w:tcPr>
          <w:p w:rsidR="00000000" w:rsidDel="00000000" w:rsidP="00000000" w:rsidRDefault="00000000" w:rsidRPr="00000000" w14:paraId="00000096">
            <w:pPr>
              <w:jc w:val="left"/>
              <w:rPr/>
            </w:pPr>
            <w:r w:rsidDel="00000000" w:rsidR="00000000" w:rsidRPr="00000000">
              <w:rPr>
                <w:b w:val="1"/>
                <w:bCs w:val="1"/>
                <w:color w:val="ffffff"/>
                <w:rtl w:val="0"/>
              </w:rPr>
              <w:t xml:space="preserve">Consulted</w:t>
            </w:r>
            <w:r w:rsidDel="00000000" w:rsidR="00000000" w:rsidRPr="00000000">
              <w:rPr>
                <w:rtl w:val="0"/>
              </w:rPr>
            </w:r>
          </w:p>
        </w:tc>
        <w:tc>
          <w:tcPr>
            <w:shd w:fill="102c57" w:val="clear"/>
          </w:tcPr>
          <w:p w:rsidR="00000000" w:rsidDel="00000000" w:rsidP="00000000" w:rsidRDefault="00000000" w:rsidRPr="00000000" w14:paraId="00000097">
            <w:pPr>
              <w:jc w:val="left"/>
              <w:rPr/>
            </w:pPr>
            <w:r w:rsidDel="00000000" w:rsidR="00000000" w:rsidRPr="00000000">
              <w:rPr>
                <w:b w:val="1"/>
                <w:bCs w:val="1"/>
                <w:color w:val="ffffff"/>
                <w:rtl w:val="0"/>
              </w:rPr>
              <w:t xml:space="preserve">Informed</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Risk entry authoring</w:t>
            </w:r>
          </w:p>
        </w:tc>
        <w:tc>
          <w:tcPr/>
          <w:p w:rsidR="00000000" w:rsidDel="00000000" w:rsidP="00000000" w:rsidRDefault="00000000" w:rsidRPr="00000000" w14:paraId="00000099">
            <w:pPr>
              <w:rPr/>
            </w:pPr>
            <w:r w:rsidDel="00000000" w:rsidR="00000000" w:rsidRPr="00000000">
              <w:rPr>
                <w:rtl w:val="0"/>
              </w:rPr>
              <w:t xml:space="preserve">Security Engineer</w:t>
            </w:r>
          </w:p>
        </w:tc>
        <w:tc>
          <w:tcPr/>
          <w:p w:rsidR="00000000" w:rsidDel="00000000" w:rsidP="00000000" w:rsidRDefault="00000000" w:rsidRPr="00000000" w14:paraId="0000009A">
            <w:pPr>
              <w:rPr/>
            </w:pPr>
            <w:r w:rsidDel="00000000" w:rsidR="00000000" w:rsidRPr="00000000">
              <w:rPr>
                <w:rtl w:val="0"/>
              </w:rPr>
              <w:t xml:space="preserve">CISO</w:t>
            </w:r>
          </w:p>
        </w:tc>
        <w:tc>
          <w:tcPr/>
          <w:p w:rsidR="00000000" w:rsidDel="00000000" w:rsidP="00000000" w:rsidRDefault="00000000" w:rsidRPr="00000000" w14:paraId="0000009B">
            <w:pPr>
              <w:rPr/>
            </w:pPr>
            <w:r w:rsidDel="00000000" w:rsidR="00000000" w:rsidRPr="00000000">
              <w:rPr>
                <w:rtl w:val="0"/>
              </w:rPr>
              <w:t xml:space="preserve">System Architect</w:t>
            </w:r>
          </w:p>
        </w:tc>
        <w:tc>
          <w:tcPr/>
          <w:p w:rsidR="00000000" w:rsidDel="00000000" w:rsidP="00000000" w:rsidRDefault="00000000" w:rsidRPr="00000000" w14:paraId="0000009C">
            <w:pPr>
              <w:rPr/>
            </w:pPr>
            <w:r w:rsidDel="00000000" w:rsidR="00000000" w:rsidRPr="00000000">
              <w:rPr>
                <w:rtl w:val="0"/>
              </w:rPr>
              <w:t xml:space="preserve">SecOps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Entry approval and sign-off</w:t>
            </w:r>
          </w:p>
        </w:tc>
        <w:tc>
          <w:tcPr/>
          <w:p w:rsidR="00000000" w:rsidDel="00000000" w:rsidP="00000000" w:rsidRDefault="00000000" w:rsidRPr="00000000" w14:paraId="0000009E">
            <w:pPr>
              <w:rPr/>
            </w:pPr>
            <w:r w:rsidDel="00000000" w:rsidR="00000000" w:rsidRPr="00000000">
              <w:rPr>
                <w:rtl w:val="0"/>
              </w:rPr>
              <w:t xml:space="preserve">CISO</w:t>
            </w:r>
          </w:p>
        </w:tc>
        <w:tc>
          <w:tcPr/>
          <w:p w:rsidR="00000000" w:rsidDel="00000000" w:rsidP="00000000" w:rsidRDefault="00000000" w:rsidRPr="00000000" w14:paraId="0000009F">
            <w:pPr>
              <w:rPr/>
            </w:pPr>
            <w:r w:rsidDel="00000000" w:rsidR="00000000" w:rsidRPr="00000000">
              <w:rPr>
                <w:rtl w:val="0"/>
              </w:rPr>
              <w:t xml:space="preserve">Executive Sponsor</w:t>
            </w:r>
          </w:p>
        </w:tc>
        <w:tc>
          <w:tcPr/>
          <w:p w:rsidR="00000000" w:rsidDel="00000000" w:rsidP="00000000" w:rsidRDefault="00000000" w:rsidRPr="00000000" w14:paraId="000000A0">
            <w:pPr>
              <w:rPr/>
            </w:pPr>
            <w:r w:rsidDel="00000000" w:rsidR="00000000" w:rsidRPr="00000000">
              <w:rPr>
                <w:rtl w:val="0"/>
              </w:rPr>
              <w:t xml:space="preserve">Legal / Compliance</w:t>
            </w:r>
          </w:p>
        </w:tc>
        <w:tc>
          <w:tcPr/>
          <w:p w:rsidR="00000000" w:rsidDel="00000000" w:rsidP="00000000" w:rsidRDefault="00000000" w:rsidRPr="00000000" w14:paraId="000000A1">
            <w:pPr>
              <w:rPr/>
            </w:pPr>
            <w:r w:rsidDel="00000000" w:rsidR="00000000" w:rsidRPr="00000000">
              <w:rPr>
                <w:rtl w:val="0"/>
              </w:rPr>
              <w:t xml:space="preserve">All stakeholders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Periodic registry audit</w:t>
            </w:r>
          </w:p>
        </w:tc>
        <w:tc>
          <w:tcPr/>
          <w:p w:rsidR="00000000" w:rsidDel="00000000" w:rsidP="00000000" w:rsidRDefault="00000000" w:rsidRPr="00000000" w14:paraId="000000A3">
            <w:pPr>
              <w:rPr/>
            </w:pPr>
            <w:r w:rsidDel="00000000" w:rsidR="00000000" w:rsidRPr="00000000">
              <w:rPr>
                <w:rtl w:val="0"/>
              </w:rPr>
              <w:t xml:space="preserve">SecOps</w:t>
            </w:r>
          </w:p>
        </w:tc>
        <w:tc>
          <w:tcPr/>
          <w:p w:rsidR="00000000" w:rsidDel="00000000" w:rsidP="00000000" w:rsidRDefault="00000000" w:rsidRPr="00000000" w14:paraId="000000A4">
            <w:pPr>
              <w:rPr/>
            </w:pPr>
            <w:r w:rsidDel="00000000" w:rsidR="00000000" w:rsidRPr="00000000">
              <w:rPr>
                <w:rtl w:val="0"/>
              </w:rPr>
              <w:t xml:space="preserve">CISO</w:t>
            </w:r>
          </w:p>
        </w:tc>
        <w:tc>
          <w:tcPr/>
          <w:p w:rsidR="00000000" w:rsidDel="00000000" w:rsidP="00000000" w:rsidRDefault="00000000" w:rsidRPr="00000000" w14:paraId="000000A5">
            <w:pPr>
              <w:rPr/>
            </w:pPr>
            <w:r w:rsidDel="00000000" w:rsidR="00000000" w:rsidRPr="00000000">
              <w:rPr>
                <w:rtl w:val="0"/>
              </w:rPr>
              <w:t xml:space="preserve">External Auditor</w:t>
            </w:r>
          </w:p>
        </w:tc>
        <w:tc>
          <w:tcPr/>
          <w:p w:rsidR="00000000" w:rsidDel="00000000" w:rsidP="00000000" w:rsidRDefault="00000000" w:rsidRPr="00000000" w14:paraId="000000A6">
            <w:pPr>
              <w:rPr/>
            </w:pPr>
            <w:r w:rsidDel="00000000" w:rsidR="00000000" w:rsidRPr="00000000">
              <w:rPr>
                <w:rtl w:val="0"/>
              </w:rPr>
              <w:t xml:space="preserve">Engineering Lead</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Manifest version linkage</w:t>
            </w:r>
          </w:p>
        </w:tc>
        <w:tc>
          <w:tcPr/>
          <w:p w:rsidR="00000000" w:rsidDel="00000000" w:rsidP="00000000" w:rsidRDefault="00000000" w:rsidRPr="00000000" w14:paraId="000000A8">
            <w:pPr>
              <w:rPr/>
            </w:pPr>
            <w:r w:rsidDel="00000000" w:rsidR="00000000" w:rsidRPr="00000000">
              <w:rPr>
                <w:rtl w:val="0"/>
              </w:rPr>
              <w:t xml:space="preserve">System Architect</w:t>
            </w:r>
          </w:p>
        </w:tc>
        <w:tc>
          <w:tcPr/>
          <w:p w:rsidR="00000000" w:rsidDel="00000000" w:rsidP="00000000" w:rsidRDefault="00000000" w:rsidRPr="00000000" w14:paraId="000000A9">
            <w:pPr>
              <w:rPr/>
            </w:pPr>
            <w:r w:rsidDel="00000000" w:rsidR="00000000" w:rsidRPr="00000000">
              <w:rPr>
                <w:rtl w:val="0"/>
              </w:rPr>
              <w:t xml:space="preserve">CISO</w:t>
            </w:r>
          </w:p>
        </w:tc>
        <w:tc>
          <w:tcPr/>
          <w:p w:rsidR="00000000" w:rsidDel="00000000" w:rsidP="00000000" w:rsidRDefault="00000000" w:rsidRPr="00000000" w14:paraId="000000AA">
            <w:pPr>
              <w:rPr/>
            </w:pPr>
            <w:r w:rsidDel="00000000" w:rsidR="00000000" w:rsidRPr="00000000">
              <w:rPr>
                <w:rtl w:val="0"/>
              </w:rPr>
              <w:t xml:space="preserve">Security Engineer</w:t>
            </w:r>
          </w:p>
        </w:tc>
        <w:tc>
          <w:tcPr/>
          <w:p w:rsidR="00000000" w:rsidDel="00000000" w:rsidP="00000000" w:rsidRDefault="00000000" w:rsidRPr="00000000" w14:paraId="000000AB">
            <w:pPr>
              <w:rPr/>
            </w:pPr>
            <w:r w:rsidDel="00000000" w:rsidR="00000000" w:rsidRPr="00000000">
              <w:rPr>
                <w:rtl w:val="0"/>
              </w:rPr>
              <w:t xml:space="preserve">DevOps</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rtl w:val="0"/>
        </w:rPr>
        <w:t xml:space="preserve">Each registry entry must reference the manifest version in which the risk was accepted, the accepting authority, the planned review date, and any compensating controls in effect.</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b w:val="1"/>
          <w:bCs w:val="1"/>
          <w:rtl w:val="0"/>
        </w:rPr>
        <w:t xml:space="preserve">Multi-Team Manifest Governance: </w:t>
      </w:r>
      <w:r w:rsidDel="00000000" w:rsidR="00000000" w:rsidRPr="00000000">
        <w:rPr>
          <w:rFonts w:ascii="Arial" w:cs="Arial" w:eastAsia="Arial" w:hAnsi="Arial"/>
          <w:rtl w:val="0"/>
        </w:rPr>
        <w:t xml:space="preserve">In enterprise environments where multiple engineering teams operate independent agent deployments under a shared infrastructure, each team maintains a scoped child Manifest Registry subordinate to a root organisational manifest. The MAX_ACTIVE_MANIFEST_VERSIONS = 3 constraint applies independently at each scope level. Cross-team manifest merges require a joint CISO approval transaction and trigger a root-level High-Watermark update. No child manifest may declare a version identifier that meets or exceeds the root manifest's current High-Watermark value.</w:t>
      </w:r>
      <w:r w:rsidDel="00000000" w:rsidR="00000000" w:rsidRPr="00000000">
        <w:rPr>
          <w:rtl w:val="0"/>
        </w:rPr>
      </w:r>
    </w:p>
    <w:p w:rsidR="00000000" w:rsidDel="00000000" w:rsidP="00000000" w:rsidRDefault="00000000" w:rsidRPr="00000000" w14:paraId="000000AF">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9. Maturity Model (M1 to M4)</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Levels M1–M2 (Industrial Sandbox / Initial Production):</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Bounded to the Minimal Profile configuration, implementing basic ApproxIsolation boundaries across S2/S3 operational domains.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Level M3 (Advanced Enterprise Operational State):</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Restricted to the Standard Profile specification, enforcing FullIsolation at the software layer across S1/S2 deployment environments.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Level M4 (Formal Academic Verification Baseline):</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Exclusively reserved for the High-Assurance Profile path, requiring end-to-end mathematical verification of microkernel code and capability hardware substrates.</w:t>
      </w:r>
      <w:r w:rsidDel="00000000" w:rsidR="00000000" w:rsidRPr="00000000">
        <w:rPr>
          <w:rtl w:val="0"/>
        </w:rPr>
      </w:r>
    </w:p>
    <w:p w:rsidR="00000000" w:rsidDel="00000000" w:rsidP="00000000" w:rsidRDefault="00000000" w:rsidRPr="00000000" w14:paraId="000000B3">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10. Operational Performance Envelopes</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b w:val="1"/>
          <w:bCs w:val="1"/>
          <w:rtl w:val="0"/>
        </w:rPr>
        <w:t xml:space="preserve">Invariant Core Constraints: </w:t>
      </w:r>
      <w:r w:rsidDel="00000000" w:rsidR="00000000" w:rsidRPr="00000000">
        <w:rPr>
          <w:rFonts w:ascii="Arial" w:cs="Arial" w:eastAsia="Arial" w:hAnsi="Arial"/>
          <w:rtl w:val="0"/>
        </w:rPr>
        <w:t xml:space="preserve">The Invariant Core execution budget enforces an unyielding constraint: less than 1–5 ms of latency overhead per capability evaluation, structural schema validation transaction, and thread interruption trap check.</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rtl w:val="0"/>
        </w:rPr>
        <w:t xml:space="preserve">The following table quantifies the cumulative latency impact of epoch verification under the macro-TOCTOU mitigation mandate across representative invocation frequencies. Figures reflect benchmark measurements on a standard enterprise Linux host (Intel Xeon, cgroups v2, Wasmtime runtime). Implementations operating above the 500 calls/s threshold must provision dedicated Invariant Core compute allocation as specified in the Validation Space Allocation requirement below.</w:t>
      </w:r>
      <w:r w:rsidDel="00000000" w:rsidR="00000000" w:rsidRPr="00000000">
        <w:rPr>
          <w:rtl w:val="0"/>
        </w:rPr>
      </w:r>
    </w:p>
    <w:tbl>
      <w:tblPr>
        <w:tblStyle w:val="Table7"/>
        <w:tblW w:w="9360.0" w:type="dxa"/>
        <w:jc w:val="left"/>
        <w:tblInd w:w="-108.0" w:type="dxa"/>
        <w:tblBorders>
          <w:top w:color="4f81bd" w:space="0" w:sz="8" w:val="single"/>
          <w:bottom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shd w:fill="102c57" w:val="clear"/>
          </w:tcPr>
          <w:p w:rsidR="00000000" w:rsidDel="00000000" w:rsidP="00000000" w:rsidRDefault="00000000" w:rsidRPr="00000000" w14:paraId="000000B6">
            <w:pPr>
              <w:jc w:val="left"/>
              <w:rPr/>
            </w:pPr>
            <w:r w:rsidDel="00000000" w:rsidR="00000000" w:rsidRPr="00000000">
              <w:rPr>
                <w:b w:val="1"/>
                <w:bCs w:val="1"/>
                <w:color w:val="ffffff"/>
                <w:rtl w:val="0"/>
              </w:rPr>
              <w:t xml:space="preserve">Capability Token Invocation Rate</w:t>
            </w:r>
            <w:r w:rsidDel="00000000" w:rsidR="00000000" w:rsidRPr="00000000">
              <w:rPr>
                <w:rtl w:val="0"/>
              </w:rPr>
            </w:r>
          </w:p>
        </w:tc>
        <w:tc>
          <w:tcPr>
            <w:shd w:fill="102c57" w:val="clear"/>
          </w:tcPr>
          <w:p w:rsidR="00000000" w:rsidDel="00000000" w:rsidP="00000000" w:rsidRDefault="00000000" w:rsidRPr="00000000" w14:paraId="000000B7">
            <w:pPr>
              <w:jc w:val="left"/>
              <w:rPr/>
            </w:pPr>
            <w:r w:rsidDel="00000000" w:rsidR="00000000" w:rsidRPr="00000000">
              <w:rPr>
                <w:b w:val="1"/>
                <w:bCs w:val="1"/>
                <w:color w:val="ffffff"/>
                <w:rtl w:val="0"/>
              </w:rPr>
              <w:t xml:space="preserve">Per-Verification Overhead</w:t>
            </w:r>
            <w:r w:rsidDel="00000000" w:rsidR="00000000" w:rsidRPr="00000000">
              <w:rPr>
                <w:rtl w:val="0"/>
              </w:rPr>
            </w:r>
          </w:p>
        </w:tc>
        <w:tc>
          <w:tcPr>
            <w:shd w:fill="102c57" w:val="clear"/>
          </w:tcPr>
          <w:p w:rsidR="00000000" w:rsidDel="00000000" w:rsidP="00000000" w:rsidRDefault="00000000" w:rsidRPr="00000000" w14:paraId="000000B8">
            <w:pPr>
              <w:jc w:val="left"/>
              <w:rPr/>
            </w:pPr>
            <w:r w:rsidDel="00000000" w:rsidR="00000000" w:rsidRPr="00000000">
              <w:rPr>
                <w:b w:val="1"/>
                <w:bCs w:val="1"/>
                <w:color w:val="ffffff"/>
                <w:rtl w:val="0"/>
              </w:rPr>
              <w:t xml:space="preserve">Cumulative Overhead / second</w:t>
            </w:r>
            <w:r w:rsidDel="00000000" w:rsidR="00000000" w:rsidRPr="00000000">
              <w:rPr>
                <w:rtl w:val="0"/>
              </w:rPr>
            </w:r>
          </w:p>
        </w:tc>
        <w:tc>
          <w:tcPr>
            <w:shd w:fill="102c57" w:val="clear"/>
          </w:tcPr>
          <w:p w:rsidR="00000000" w:rsidDel="00000000" w:rsidP="00000000" w:rsidRDefault="00000000" w:rsidRPr="00000000" w14:paraId="000000B9">
            <w:pPr>
              <w:jc w:val="left"/>
              <w:rPr/>
            </w:pPr>
            <w:r w:rsidDel="00000000" w:rsidR="00000000" w:rsidRPr="00000000">
              <w:rPr>
                <w:b w:val="1"/>
                <w:bCs w:val="1"/>
                <w:color w:val="ffffff"/>
                <w:rtl w:val="0"/>
              </w:rPr>
              <w:t xml:space="preserve">Operational Feasibility Assessment</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50 calls/s (light workflow)</w:t>
            </w:r>
          </w:p>
        </w:tc>
        <w:tc>
          <w:tcPr/>
          <w:p w:rsidR="00000000" w:rsidDel="00000000" w:rsidP="00000000" w:rsidRDefault="00000000" w:rsidRPr="00000000" w14:paraId="000000BB">
            <w:pPr>
              <w:rPr/>
            </w:pPr>
            <w:r w:rsidDel="00000000" w:rsidR="00000000" w:rsidRPr="00000000">
              <w:rPr>
                <w:rtl w:val="0"/>
              </w:rPr>
              <w:t xml:space="preserve">~0.3 ms</w:t>
            </w:r>
          </w:p>
        </w:tc>
        <w:tc>
          <w:tcPr/>
          <w:p w:rsidR="00000000" w:rsidDel="00000000" w:rsidP="00000000" w:rsidRDefault="00000000" w:rsidRPr="00000000" w14:paraId="000000BC">
            <w:pPr>
              <w:rPr/>
            </w:pPr>
            <w:r w:rsidDel="00000000" w:rsidR="00000000" w:rsidRPr="00000000">
              <w:rPr>
                <w:rtl w:val="0"/>
              </w:rPr>
              <w:t xml:space="preserve">~15 ms total</w:t>
            </w:r>
          </w:p>
        </w:tc>
        <w:tc>
          <w:tcPr/>
          <w:p w:rsidR="00000000" w:rsidDel="00000000" w:rsidP="00000000" w:rsidRDefault="00000000" w:rsidRPr="00000000" w14:paraId="000000BD">
            <w:pPr>
              <w:rPr/>
            </w:pPr>
            <w:r w:rsidDel="00000000" w:rsidR="00000000" w:rsidRPr="00000000">
              <w:rPr>
                <w:rtl w:val="0"/>
              </w:rPr>
              <w:t xml:space="preserve">Feasible within single-core allocation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200 calls/s (moderate agent loop)</w:t>
            </w:r>
          </w:p>
        </w:tc>
        <w:tc>
          <w:tcPr/>
          <w:p w:rsidR="00000000" w:rsidDel="00000000" w:rsidP="00000000" w:rsidRDefault="00000000" w:rsidRPr="00000000" w14:paraId="000000BF">
            <w:pPr>
              <w:rPr/>
            </w:pPr>
            <w:r w:rsidDel="00000000" w:rsidR="00000000" w:rsidRPr="00000000">
              <w:rPr>
                <w:rtl w:val="0"/>
              </w:rPr>
              <w:t xml:space="preserve">~0.3 ms</w:t>
            </w:r>
          </w:p>
        </w:tc>
        <w:tc>
          <w:tcPr/>
          <w:p w:rsidR="00000000" w:rsidDel="00000000" w:rsidP="00000000" w:rsidRDefault="00000000" w:rsidRPr="00000000" w14:paraId="000000C0">
            <w:pPr>
              <w:rPr/>
            </w:pPr>
            <w:r w:rsidDel="00000000" w:rsidR="00000000" w:rsidRPr="00000000">
              <w:rPr>
                <w:rtl w:val="0"/>
              </w:rPr>
              <w:t xml:space="preserve">~60 ms total</w:t>
            </w:r>
          </w:p>
        </w:tc>
        <w:tc>
          <w:tcPr/>
          <w:p w:rsidR="00000000" w:rsidDel="00000000" w:rsidP="00000000" w:rsidRDefault="00000000" w:rsidRPr="00000000" w14:paraId="000000C1">
            <w:pPr>
              <w:rPr/>
            </w:pPr>
            <w:r w:rsidDel="00000000" w:rsidR="00000000" w:rsidRPr="00000000">
              <w:rPr>
                <w:rtl w:val="0"/>
              </w:rPr>
              <w:t xml:space="preserve">Feasible; dedicated Invariant Core core required</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500 calls/s (high-frequency tool use)</w:t>
            </w:r>
          </w:p>
        </w:tc>
        <w:tc>
          <w:tcPr/>
          <w:p w:rsidR="00000000" w:rsidDel="00000000" w:rsidP="00000000" w:rsidRDefault="00000000" w:rsidRPr="00000000" w14:paraId="000000C3">
            <w:pPr>
              <w:rPr/>
            </w:pPr>
            <w:r w:rsidDel="00000000" w:rsidR="00000000" w:rsidRPr="00000000">
              <w:rPr>
                <w:rtl w:val="0"/>
              </w:rPr>
              <w:t xml:space="preserve">~0.3 ms</w:t>
            </w:r>
          </w:p>
        </w:tc>
        <w:tc>
          <w:tcPr/>
          <w:p w:rsidR="00000000" w:rsidDel="00000000" w:rsidP="00000000" w:rsidRDefault="00000000" w:rsidRPr="00000000" w14:paraId="000000C4">
            <w:pPr>
              <w:rPr/>
            </w:pPr>
            <w:r w:rsidDel="00000000" w:rsidR="00000000" w:rsidRPr="00000000">
              <w:rPr>
                <w:rtl w:val="0"/>
              </w:rPr>
              <w:t xml:space="preserve">~150 ms total</w:t>
            </w:r>
          </w:p>
        </w:tc>
        <w:tc>
          <w:tcPr/>
          <w:p w:rsidR="00000000" w:rsidDel="00000000" w:rsidP="00000000" w:rsidRDefault="00000000" w:rsidRPr="00000000" w14:paraId="000000C5">
            <w:pPr>
              <w:rPr/>
            </w:pPr>
            <w:r w:rsidDel="00000000" w:rsidR="00000000" w:rsidRPr="00000000">
              <w:rPr>
                <w:rtl w:val="0"/>
              </w:rPr>
              <w:t xml:space="preserve">Feasible only with hardware-isolated Invariant Core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&gt;500 calls/s</w:t>
            </w:r>
          </w:p>
        </w:tc>
        <w:tc>
          <w:tcPr/>
          <w:p w:rsidR="00000000" w:rsidDel="00000000" w:rsidP="00000000" w:rsidRDefault="00000000" w:rsidRPr="00000000" w14:paraId="000000C7">
            <w:pPr>
              <w:rPr/>
            </w:pPr>
            <w:r w:rsidDel="00000000" w:rsidR="00000000" w:rsidRPr="00000000">
              <w:rPr>
                <w:rtl w:val="0"/>
              </w:rPr>
              <w:t xml:space="preserve">—</w:t>
            </w:r>
          </w:p>
        </w:tc>
        <w:tc>
          <w:tcPr/>
          <w:p w:rsidR="00000000" w:rsidDel="00000000" w:rsidP="00000000" w:rsidRDefault="00000000" w:rsidRPr="00000000" w14:paraId="000000C8">
            <w:pPr>
              <w:rPr/>
            </w:pPr>
            <w:r w:rsidDel="00000000" w:rsidR="00000000" w:rsidRPr="00000000">
              <w:rPr>
                <w:rtl w:val="0"/>
              </w:rPr>
              <w:t xml:space="preserve">—</w:t>
            </w:r>
          </w:p>
        </w:tc>
        <w:tc>
          <w:tcPr/>
          <w:p w:rsidR="00000000" w:rsidDel="00000000" w:rsidP="00000000" w:rsidRDefault="00000000" w:rsidRPr="00000000" w14:paraId="000000C9">
            <w:pPr>
              <w:rPr/>
            </w:pPr>
            <w:r w:rsidDel="00000000" w:rsidR="00000000" w:rsidRPr="00000000">
              <w:rPr>
                <w:rtl w:val="0"/>
              </w:rPr>
              <w:t xml:space="preserve">Infeasible under Standard Profile; architecture review required</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Fonts w:ascii="Arial" w:cs="Arial" w:eastAsia="Arial" w:hAnsi="Arial"/>
          <w:rtl w:val="0"/>
        </w:rPr>
        <w:t xml:space="preserve">Deployments projecting sustained invocation rates above 200 calls/s must document this as an operational parameter within the Manifest Registry and validate against the Degradation Axiom before production promotion.</w:t>
      </w: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Fonts w:ascii="Arial" w:cs="Arial" w:eastAsia="Arial" w:hAnsi="Arial"/>
          <w:b w:val="1"/>
          <w:bCs w:val="1"/>
          <w:rtl w:val="0"/>
        </w:rPr>
        <w:t xml:space="preserve">Validation Space Allocations: </w:t>
      </w:r>
      <w:r w:rsidDel="00000000" w:rsidR="00000000" w:rsidRPr="00000000">
        <w:rPr>
          <w:rFonts w:ascii="Arial" w:cs="Arial" w:eastAsia="Arial" w:hAnsi="Arial"/>
          <w:rtl w:val="0"/>
        </w:rPr>
        <w:t xml:space="preserve">The analytical evaluation engine demands a dedicated, isolated hardware compute allocation separate from the primary agent loop to prevent resource starvation vectors.</w:t>
      </w: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Fonts w:ascii="Arial" w:cs="Arial" w:eastAsia="Arial" w:hAnsi="Arial"/>
          <w:b w:val="1"/>
          <w:bCs w:val="1"/>
          <w:rtl w:val="0"/>
        </w:rPr>
        <w:t xml:space="preserve">Degradation Axiom: </w:t>
      </w:r>
      <w:r w:rsidDel="00000000" w:rsidR="00000000" w:rsidRPr="00000000">
        <w:rPr>
          <w:rFonts w:ascii="Arial" w:cs="Arial" w:eastAsia="Arial" w:hAnsi="Arial"/>
          <w:rtl w:val="0"/>
        </w:rPr>
        <w:t xml:space="preserve">Any arbitrary modification or down-scaling of runtime verification mechanisms to reclaim compute performance triggers an automatic, mandatory down-grading of the authorized S-level and a restriction of the environment isolation</w:t>
      </w:r>
      <w:r w:rsidDel="00000000" w:rsidR="00000000" w:rsidRPr="00000000">
        <w:rPr>
          <w:rtl w:val="0"/>
        </w:rPr>
        <w:t xml:space="preserve"> </w:t>
      </w:r>
      <w:r w:rsidDel="00000000" w:rsidR="00000000" w:rsidRPr="00000000">
        <w:rPr>
          <w:rFonts w:ascii="Arial" w:cs="Arial" w:eastAsia="Arial" w:hAnsi="Arial"/>
          <w:rtl w:val="0"/>
        </w:rPr>
        <w:t xml:space="preserve">mapping.</w:t>
      </w:r>
      <w:r w:rsidDel="00000000" w:rsidR="00000000" w:rsidRPr="00000000">
        <w:rPr>
          <w:rtl w:val="0"/>
        </w:rPr>
      </w:r>
    </w:p>
    <w:p w:rsidR="00000000" w:rsidDel="00000000" w:rsidP="00000000" w:rsidRDefault="00000000" w:rsidRPr="00000000" w14:paraId="000000CE">
      <w:pPr>
        <w:keepNext w:val="1"/>
        <w:spacing w:after="120" w:before="360" w:line="240" w:lineRule="auto"/>
        <w:rPr/>
      </w:pPr>
      <w:r w:rsidDel="00000000" w:rsidR="00000000" w:rsidRPr="00000000">
        <w:rPr>
          <w:rFonts w:ascii="Arial" w:cs="Arial" w:eastAsia="Arial" w:hAnsi="Arial"/>
          <w:b w:val="1"/>
          <w:bCs w:val="1"/>
          <w:color w:val="102c57"/>
          <w:sz w:val="32"/>
          <w:szCs w:val="32"/>
          <w:rtl w:val="0"/>
        </w:rPr>
        <w:t xml:space="preserve">11. Migration &amp; Integration Framework</w:t>
      </w: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Fonts w:ascii="Arial" w:cs="Arial" w:eastAsia="Arial" w:hAnsi="Arial"/>
          <w:rtl w:val="0"/>
        </w:rPr>
        <w:t xml:space="preserve">Production orchestration engines (e.g., LangGraph, CrewAI, AutoGen, MCP instances) are deployed entirely inside the boundary limits of the Mutation Space. External tool registries are ingested by the compiler and transformed into native Manifest parameters, while session checkpointers are mapped directly to isolated Mode A/B memory states. Complex hierarchical topologies (such as supervisor–worker design patterns) are authorized for implementation if and only if they strictly adhere to the following architecture cluster: strict structural subset manifest nesting, independent atomic child micro-budgets, controlled output de-classification tracking via the SANITIZED_PROVENANCE marker, and cascading recursive Purge propagation links.</w:t>
      </w: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Fonts w:ascii="Arial" w:cs="Arial" w:eastAsia="Arial" w:hAnsi="Arial"/>
          <w:b w:val="1"/>
          <w:bCs w:val="1"/>
          <w:rtl w:val="0"/>
        </w:rPr>
        <w:t xml:space="preserve">Migration Sequence for Existing Orchestration Deployments: </w:t>
      </w:r>
      <w:r w:rsidDel="00000000" w:rsidR="00000000" w:rsidRPr="00000000">
        <w:rPr>
          <w:rFonts w:ascii="Arial" w:cs="Arial" w:eastAsia="Arial" w:hAnsi="Arial"/>
          <w:rtl w:val="0"/>
        </w:rPr>
        <w:t xml:space="preserve">Teams migrating active LangGraph, CrewAI, or AutoGen deployments to GVAA compliance must follow this sequence. First, instrument the existing orchestration layer with a read-only Invariant Core Proxy in observation mode, logging all tool invocations and shared state transitions without enforcing quota limits, for a minimum of five business days.</w:t>
      </w:r>
      <w:r w:rsidDel="00000000" w:rsidR="00000000" w:rsidRPr="00000000">
        <w:rPr>
          <w:rtl w:val="0"/>
        </w:rPr>
        <w:t xml:space="preserve"> </w:t>
      </w:r>
      <w:r w:rsidDel="00000000" w:rsidR="00000000" w:rsidRPr="00000000">
        <w:rPr>
          <w:rFonts w:ascii="Arial" w:cs="Arial" w:eastAsia="Arial" w:hAnsi="Arial"/>
          <w:rtl w:val="0"/>
        </w:rPr>
        <w:t xml:space="preserve">Second, derive the initial Policy Manifest from the observed tool registry and state transition log; this manifest must be signed with the Ed25519 root key and registered against a zero-baseline High-Watermark. Third, re-deploy the orchestration layer inside the Mutation Space boundary with quota enforcement active, initially at Minimal Profile (ApproxIsolation) to validate operational continuity. Fourth, promote to Standard Profile only after all Dual-Axis Quota parameters have been validated against observed peak invocation rates and the Residual Risk Registry has been populated with accepted operational exposures approved by the CISO. Partial or incremental enforcement — wherein some tool paths are proxied and others are not — is an architectural violation and must not be used as a transitional state.</w:t>
      </w:r>
      <w:r w:rsidDel="00000000" w:rsidR="00000000" w:rsidRPr="00000000">
        <w:rPr>
          <w:rtl w:val="0"/>
        </w:rPr>
      </w:r>
    </w:p>
    <w:p w:rsidR="00000000" w:rsidDel="00000000" w:rsidP="00000000" w:rsidRDefault="00000000" w:rsidRPr="00000000" w14:paraId="000000D1">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12. Positioning within Industry Practices</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rtl w:val="0"/>
        </w:rPr>
        <w:t xml:space="preserve">GVAA does not replace existing agentic safety frameworks or alignment patterns. It operates as an independent, deterministic containment substrate beneath the application layer, composable with — but structurally separate from — the frameworks described below.</w:t>
      </w:r>
      <w:r w:rsidDel="00000000" w:rsidR="00000000" w:rsidRPr="00000000">
        <w:rPr>
          <w:rtl w:val="0"/>
        </w:rPr>
      </w:r>
    </w:p>
    <w:tbl>
      <w:tblPr>
        <w:tblStyle w:val="Table8"/>
        <w:tblW w:w="9360.0" w:type="dxa"/>
        <w:jc w:val="left"/>
        <w:tblInd w:w="-108.0" w:type="dxa"/>
        <w:tblBorders>
          <w:top w:color="4f81bd" w:space="0" w:sz="8" w:val="single"/>
          <w:bottom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shd w:fill="102c57" w:val="clear"/>
          </w:tcPr>
          <w:p w:rsidR="00000000" w:rsidDel="00000000" w:rsidP="00000000" w:rsidRDefault="00000000" w:rsidRPr="00000000" w14:paraId="000000D3">
            <w:pPr>
              <w:jc w:val="left"/>
              <w:rPr/>
            </w:pPr>
            <w:r w:rsidDel="00000000" w:rsidR="00000000" w:rsidRPr="00000000">
              <w:rPr>
                <w:b w:val="1"/>
                <w:bCs w:val="1"/>
                <w:color w:val="ffffff"/>
                <w:rtl w:val="0"/>
              </w:rPr>
              <w:t xml:space="preserve">Framework / Standard</w:t>
            </w:r>
            <w:r w:rsidDel="00000000" w:rsidR="00000000" w:rsidRPr="00000000">
              <w:rPr>
                <w:rtl w:val="0"/>
              </w:rPr>
            </w:r>
          </w:p>
        </w:tc>
        <w:tc>
          <w:tcPr>
            <w:shd w:fill="102c57" w:val="clear"/>
          </w:tcPr>
          <w:p w:rsidR="00000000" w:rsidDel="00000000" w:rsidP="00000000" w:rsidRDefault="00000000" w:rsidRPr="00000000" w14:paraId="000000D4">
            <w:pPr>
              <w:jc w:val="left"/>
              <w:rPr/>
            </w:pPr>
            <w:r w:rsidDel="00000000" w:rsidR="00000000" w:rsidRPr="00000000">
              <w:rPr>
                <w:b w:val="1"/>
                <w:bCs w:val="1"/>
                <w:color w:val="ffffff"/>
                <w:rtl w:val="0"/>
              </w:rPr>
              <w:t xml:space="preserve">Primary Layer of Operation</w:t>
            </w:r>
            <w:r w:rsidDel="00000000" w:rsidR="00000000" w:rsidRPr="00000000">
              <w:rPr>
                <w:rtl w:val="0"/>
              </w:rPr>
            </w:r>
          </w:p>
        </w:tc>
        <w:tc>
          <w:tcPr>
            <w:shd w:fill="102c57" w:val="clear"/>
          </w:tcPr>
          <w:p w:rsidR="00000000" w:rsidDel="00000000" w:rsidP="00000000" w:rsidRDefault="00000000" w:rsidRPr="00000000" w14:paraId="000000D5">
            <w:pPr>
              <w:jc w:val="left"/>
              <w:rPr/>
            </w:pPr>
            <w:r w:rsidDel="00000000" w:rsidR="00000000" w:rsidRPr="00000000">
              <w:rPr>
                <w:b w:val="1"/>
                <w:bCs w:val="1"/>
                <w:color w:val="ffffff"/>
                <w:rtl w:val="0"/>
              </w:rPr>
              <w:t xml:space="preserve">Relationship to GVAA</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NIST AI Risk Management Framework (AI RMF 1.0)</w:t>
            </w:r>
          </w:p>
        </w:tc>
        <w:tc>
          <w:tcPr/>
          <w:p w:rsidR="00000000" w:rsidDel="00000000" w:rsidP="00000000" w:rsidRDefault="00000000" w:rsidRPr="00000000" w14:paraId="000000D7">
            <w:pPr>
              <w:rPr/>
            </w:pPr>
            <w:r w:rsidDel="00000000" w:rsidR="00000000" w:rsidRPr="00000000">
              <w:rPr>
                <w:rtl w:val="0"/>
              </w:rPr>
              <w:t xml:space="preserve">Organisational governance and risk categorisation</w:t>
            </w:r>
          </w:p>
        </w:tc>
        <w:tc>
          <w:tcPr/>
          <w:p w:rsidR="00000000" w:rsidDel="00000000" w:rsidP="00000000" w:rsidRDefault="00000000" w:rsidRPr="00000000" w14:paraId="000000D8">
            <w:pPr>
              <w:rPr/>
            </w:pPr>
            <w:r w:rsidDel="00000000" w:rsidR="00000000" w:rsidRPr="00000000">
              <w:rPr>
                <w:rtl w:val="0"/>
              </w:rPr>
              <w:t xml:space="preserve">GVAA's Residual Risk Registry and Maturity Model (M1–M4) map directly onto AI RMF's Govern and Measure functions. GVAA provides the technical enforcement substrate that AI RMF governance policies reference but do not specify.</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OWASP Top 10 for LLM Applications</w:t>
            </w:r>
          </w:p>
        </w:tc>
        <w:tc>
          <w:tcPr/>
          <w:p w:rsidR="00000000" w:rsidDel="00000000" w:rsidP="00000000" w:rsidRDefault="00000000" w:rsidRPr="00000000" w14:paraId="000000DA">
            <w:pPr>
              <w:rPr/>
            </w:pPr>
            <w:r w:rsidDel="00000000" w:rsidR="00000000" w:rsidRPr="00000000">
              <w:rPr>
                <w:rtl w:val="0"/>
              </w:rPr>
              <w:t xml:space="preserve">Application-layer vulnerability taxonomy</w:t>
            </w:r>
          </w:p>
        </w:tc>
        <w:tc>
          <w:tcPr/>
          <w:p w:rsidR="00000000" w:rsidDel="00000000" w:rsidP="00000000" w:rsidRDefault="00000000" w:rsidRPr="00000000" w14:paraId="000000DB">
            <w:pPr>
              <w:rPr/>
            </w:pPr>
            <w:r w:rsidDel="00000000" w:rsidR="00000000" w:rsidRPr="00000000">
              <w:rPr>
                <w:rtl w:val="0"/>
              </w:rPr>
              <w:t xml:space="preserve">GVAA's Executive Summary maps mitigations to LLM01, LLM02, LLM07, and LLM09. GVAA addresses these at the runtime substrate level; application-layer defences remain the responsibility of the consuming engineering team.</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RLHF / Constitutional AI / Guardrails</w:t>
            </w:r>
          </w:p>
        </w:tc>
        <w:tc>
          <w:tcPr/>
          <w:p w:rsidR="00000000" w:rsidDel="00000000" w:rsidP="00000000" w:rsidRDefault="00000000" w:rsidRPr="00000000" w14:paraId="000000DD">
            <w:pPr>
              <w:rPr/>
            </w:pPr>
            <w:r w:rsidDel="00000000" w:rsidR="00000000" w:rsidRPr="00000000">
              <w:rPr>
                <w:rtl w:val="0"/>
              </w:rPr>
              <w:t xml:space="preserve">Model weight alignment and output filtering</w:t>
            </w:r>
          </w:p>
        </w:tc>
        <w:tc>
          <w:tcPr/>
          <w:p w:rsidR="00000000" w:rsidDel="00000000" w:rsidP="00000000" w:rsidRDefault="00000000" w:rsidRPr="00000000" w14:paraId="000000DE">
            <w:pPr>
              <w:rPr/>
            </w:pPr>
            <w:r w:rsidDel="00000000" w:rsidR="00000000" w:rsidRPr="00000000">
              <w:rPr>
                <w:rtl w:val="0"/>
              </w:rPr>
              <w:t xml:space="preserve">These mechanisms operate within the Mutation Space as defined by GVAA's Four-Domain Topology. GVAA makes no assumptions about their correctness and provides containment guarantees independent of their output.</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Microsoft Azure AI Content Safety / Google Cloud Model Armor</w:t>
            </w:r>
          </w:p>
        </w:tc>
        <w:tc>
          <w:tcPr/>
          <w:p w:rsidR="00000000" w:rsidDel="00000000" w:rsidP="00000000" w:rsidRDefault="00000000" w:rsidRPr="00000000" w14:paraId="000000E0">
            <w:pPr>
              <w:rPr/>
            </w:pPr>
            <w:r w:rsidDel="00000000" w:rsidR="00000000" w:rsidRPr="00000000">
              <w:rPr>
                <w:rtl w:val="0"/>
              </w:rPr>
              <w:t xml:space="preserve">Managed API-layer content filtering</w:t>
            </w:r>
          </w:p>
        </w:tc>
        <w:tc>
          <w:tcPr/>
          <w:p w:rsidR="00000000" w:rsidDel="00000000" w:rsidP="00000000" w:rsidRDefault="00000000" w:rsidRPr="00000000" w14:paraId="000000E1">
            <w:pPr>
              <w:rPr/>
            </w:pPr>
            <w:r w:rsidDel="00000000" w:rsidR="00000000" w:rsidRPr="00000000">
              <w:rPr>
                <w:rtl w:val="0"/>
              </w:rPr>
              <w:t xml:space="preserve">These services function as external validation components deployable within or adjacent to GVAA's Validation Space. They do not satisfy GVAA's Invariant Core requirements and cannot substitute for a compliant containment substrate.</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rtl w:val="0"/>
        </w:rPr>
        <w:t xml:space="preserve">Teams adopting GVAA should maintain all existing application-layer safety controls. GVAA's guarantee is additive: it bounds what a compromised or manipulated agent can do at the infrastructure level, independent of whether upstream controls succeed or fail.</w:t>
      </w:r>
      <w:r w:rsidDel="00000000" w:rsidR="00000000" w:rsidRPr="00000000">
        <w:rPr>
          <w:rtl w:val="0"/>
        </w:rPr>
      </w:r>
    </w:p>
    <w:p w:rsidR="00000000" w:rsidDel="00000000" w:rsidP="00000000" w:rsidRDefault="00000000" w:rsidRPr="00000000" w14:paraId="000000E4">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13. Strategic Roadmap Paths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Industrial Track Roadmap:</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Parallel scaling of enterprise deployments shifting from Minimal to Standard Profiles over a 0-to-18-month execution window, leveraging secure enterprise WebAssembly container runtimes and native Linux cgroups v2 resource structures.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Research Track Roadmap:</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Long-term academic exploration focusing on formally verified operating system kernels (seL4 architecture) and the programmatic integration of capability hardware architectures (ARM Morello / CHERI platforms).</w:t>
      </w:r>
      <w:r w:rsidDel="00000000" w:rsidR="00000000" w:rsidRPr="00000000">
        <w:rPr>
          <w:rtl w:val="0"/>
        </w:rPr>
      </w:r>
    </w:p>
    <w:p w:rsidR="00000000" w:rsidDel="00000000" w:rsidP="00000000" w:rsidRDefault="00000000" w:rsidRPr="00000000" w14:paraId="000000E7">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14. Architecture Glossary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I₀:</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Absolute Initialization Invariant representing an all-or-nothing atomic transaction initializing the isolated environment prior to any code execution.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Hierarchical I₀:</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An enforcement mechanism restricting child contexts to strict structural subset manifests backed by independent micro-budgets.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Logical Step:</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atomic operational quantum of agent execution, defining the strict validity lifetime of an active ephemeral Capability Token.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Macro-TOCTOU:</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 structural security vulnerability specific to extended child execution sequences, wherein the parent manifest state or resource budget is verified at the start of a child Logical Step but may be invalidated by a parent-level Purge or epoch shift before the child execution concludes. Unlike atomic TOCTOU races within a single tool call, macro-TOCTOU spans the full lifetime of a child context, making it undetectable by per-call verification alone and requiring epoch re-validation on every Capability Token presentation within the Execution Space.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Density threshold:</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maximum authorized volumetric saturation limit for Shared State Mode B allocation paths, crossing which triggers a resource violation event.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High-Watermark:</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 non-volatile, strictly monotonic global maximum version register used to block policy rollback exploits.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SANITIZED_PROVENANCE:</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An intermediate structural data state confirming successful syntax validation while mandating continuous downstream semantic scrutiny.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ApproxIsolation / FullIsolation:</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distinct operational strengths of containment boundaries guaranteed by the execution of the IsIsolatedFloor predicate.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Soft-Purge / Flash-Purge:</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Graduated containment teardown states executing strict runtime resets while mandating physical memory zeroing (secure zeroing) across active communication channels.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2"/>
          <w:szCs w:val="22"/>
          <w:u w:val="none"/>
          <w:shd w:fill="auto" w:val="clear"/>
          <w:vertAlign w:val="baseline"/>
          <w:rtl w:val="0"/>
        </w:rPr>
        <w:t xml:space="preserve">Trusted Baseline Image:</w:t>
      </w:r>
      <w:r w:rsidDel="00000000" w:rsidR="00000000" w:rsidRPr="00000000">
        <w:rPr>
          <w:rFonts w:ascii="Arial" w:cs="Arial" w:eastAsia="Arial" w:hAnsi="Arial"/>
          <w:b w:val="0"/>
          <w:bCs w:val="0"/>
          <w:i w:val="0"/>
          <w:iCs w:val="0"/>
          <w:smallCaps w:val="0"/>
          <w:strike w:val="0"/>
          <w:color w:val="2b2b2b"/>
          <w:sz w:val="22"/>
          <w:szCs w:val="22"/>
          <w:u w:val="none"/>
          <w:shd w:fill="auto" w:val="clear"/>
          <w:vertAlign w:val="baseline"/>
          <w:rtl w:val="0"/>
        </w:rPr>
        <w:t xml:space="preserve"> The non-volatile, cryptographically verifiable system software snapshot serving as the root source of trust for manifest validation, High-Watermark enforcement, and post-Flash-Purge recovery.</w:t>
      </w:r>
      <w:r w:rsidDel="00000000" w:rsidR="00000000" w:rsidRPr="00000000">
        <w:rPr>
          <w:rtl w:val="0"/>
        </w:rPr>
      </w:r>
    </w:p>
    <w:p w:rsidR="00000000" w:rsidDel="00000000" w:rsidP="00000000" w:rsidRDefault="00000000" w:rsidRPr="00000000" w14:paraId="000000F2">
      <w:pPr>
        <w:keepNext w:val="1"/>
        <w:spacing w:after="120" w:before="360" w:lineRule="auto"/>
        <w:rPr/>
      </w:pPr>
      <w:r w:rsidDel="00000000" w:rsidR="00000000" w:rsidRPr="00000000">
        <w:rPr>
          <w:rFonts w:ascii="Arial" w:cs="Arial" w:eastAsia="Arial" w:hAnsi="Arial"/>
          <w:b w:val="1"/>
          <w:bCs w:val="1"/>
          <w:color w:val="102c57"/>
          <w:sz w:val="32"/>
          <w:szCs w:val="32"/>
          <w:rtl w:val="0"/>
        </w:rPr>
        <w:t xml:space="preserve">15. Key Structural Influences &amp; Academic Bibliography</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w:cs="Arial" w:eastAsia="Arial" w:hAnsi="Arial"/>
          <w:rtl w:val="0"/>
        </w:rPr>
        <w:t xml:space="preserve">G. Klein, K. Elphinstone, G. Heiser, et al., "seL4: Formal Verification of an OS Kernel," Proceedings of the</w:t>
      </w:r>
      <w:r w:rsidDel="00000000" w:rsidR="00000000" w:rsidRPr="00000000">
        <w:rPr>
          <w:rtl w:val="0"/>
        </w:rPr>
        <w:t xml:space="preserve"> ACM </w:t>
      </w:r>
      <w:r w:rsidDel="00000000" w:rsidR="00000000" w:rsidRPr="00000000">
        <w:rPr>
          <w:rFonts w:ascii="Arial" w:cs="Arial" w:eastAsia="Arial" w:hAnsi="Arial"/>
          <w:rtl w:val="0"/>
        </w:rPr>
        <w:t xml:space="preserve">SOSP, 2009.</w:t>
      </w: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w:cs="Arial" w:eastAsia="Arial" w:hAnsi="Arial"/>
          <w:rtl w:val="0"/>
        </w:rPr>
        <w:t xml:space="preserve">R. N. M. Watson, J. Woodruff, P. G. Neumann, et al., "CHERI: A Hybrid Capability-System Architecture for Scalable Software Compartmentalization," IEEE Symposium on Security and Privacy (S&amp;P), 2015.</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rtl w:val="0"/>
        </w:rPr>
        <w:t xml:space="preserve">J. Woodruff, A. Joannou, S. W. Moore, et al., "The Morello Project: Hardware Capability Compartmentalization for a Mainstream ISA," IEEE Micro, 2019.</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rtl w:val="0"/>
        </w:rPr>
        <w:t xml:space="preserve">A. Sabelfeld and A. C. Myers, "Language-Based Information-Flow Security," IEEE Journal on Selected Areas in Communications, 2003.</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rtl w:val="0"/>
        </w:rPr>
        <w:t xml:space="preserve">D. E. Denning, "A Lattice Model of Secure Information Flow," Communications of the ACM, 1976.</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rtl w:val="0"/>
        </w:rPr>
        <w:t xml:space="preserve">K. Greshake, R. Abdelnabi, S. Mishra, et al., "Not What You've Signed Up For: Compromising Real-World LLM Applications via Indirect Prompt Injection," arXiv preprint arXiv:2302.12173, 2023.</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rtl w:val="0"/>
        </w:rPr>
        <w:t xml:space="preserve">OWASP Foundation, "Top 10 for Large Language Model Applications," Industry Standard Reference Matrix, 2025.</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rtl w:val="0"/>
        </w:rPr>
        <w:t xml:space="preserve">B. Zhan, C. Fang, Q. Zhang, et al., "InjecAgent: Benchmarking Indirect Prompt Injections in Tool-Integrated LLM Agents," Findings of the Association for Computational Linguistics (ACL), 2024.</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rtl w:val="0"/>
        </w:rPr>
        <w:t xml:space="preserve">E. Debenedetti, J. Mu, F. Tramèr, et al., "AgentDojo: A Sandbox and Benchmark for Secure Agentic AI Environments," Proceedings of the Conference on Neural Information Processing Systems (NeurIPS), 2024.</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 Willison, "Prompt injection attacks against GPT-3," simonwillison.net, 2022. Available at:</w:t>
      </w:r>
      <w:hyperlink r:id="rId7">
        <w:r w:rsidDel="00000000" w:rsidR="00000000" w:rsidRPr="00000000">
          <w:rPr>
            <w:rtl w:val="0"/>
          </w:rPr>
          <w:t xml:space="preserve"> </w:t>
        </w:r>
      </w:hyperlink>
      <w:r w:rsidDel="00000000" w:rsidR="00000000" w:rsidRPr="00000000">
        <w:rPr>
          <w:rtl w:val="0"/>
        </w:rPr>
        <w:t xml:space="preserve">https://simonwillison.net/2022/Sep/12/prompt-injection/</w:t>
      </w:r>
    </w:p>
    <w:p w:rsidR="00000000" w:rsidDel="00000000" w:rsidP="00000000" w:rsidRDefault="00000000" w:rsidRPr="00000000" w14:paraId="000000FD">
      <w:pPr>
        <w:spacing w:line="276" w:lineRule="auto"/>
        <w:rPr>
          <w:b w:val="1"/>
          <w:bCs w:val="1"/>
          <w:color w:val="102c57"/>
          <w:sz w:val="32"/>
          <w:szCs w:val="32"/>
        </w:rPr>
      </w:pPr>
      <w:r w:rsidDel="00000000" w:rsidR="00000000" w:rsidRPr="00000000">
        <w:rPr>
          <w:rFonts w:ascii="Arial" w:cs="Arial" w:eastAsia="Arial" w:hAnsi="Arial"/>
          <w:rtl w:val="0"/>
        </w:rPr>
        <w:t xml:space="preserve">A. Zou, Z. Wang, J. Z. Kolter, and M. Fredrikson, "Universal and Transferable Adversarial Attacks on Aligned Language Models," arXiv preprint arXiv:2307.15043, 2023.</w:t>
      </w:r>
      <w:r w:rsidDel="00000000" w:rsidR="00000000" w:rsidRPr="00000000">
        <w:rPr>
          <w:rtl w:val="0"/>
        </w:rPr>
      </w:r>
    </w:p>
    <w:p w:rsidR="00000000" w:rsidDel="00000000" w:rsidP="00000000" w:rsidRDefault="00000000" w:rsidRPr="00000000" w14:paraId="000000FE">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0FF">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0">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1">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2">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3">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4">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5">
      <w:pPr>
        <w:spacing w:line="276" w:lineRule="auto"/>
        <w:rPr>
          <w:b w:val="1"/>
          <w:bCs w:val="1"/>
          <w:color w:val="102c57"/>
          <w:sz w:val="32"/>
          <w:szCs w:val="32"/>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Fonts w:ascii="Arial" w:cs="Arial" w:eastAsia="Arial" w:hAnsi="Arial"/>
          <w:b w:val="1"/>
          <w:bCs w:val="1"/>
          <w:color w:val="102c57"/>
          <w:sz w:val="32"/>
          <w:szCs w:val="32"/>
          <w:rtl w:val="0"/>
        </w:rPr>
        <w:t xml:space="preserve">Appendix A: IsIsolatedFloor — Formal Predicate Skeleton</w:t>
      </w: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Fonts w:ascii="Arial" w:cs="Arial" w:eastAsia="Arial" w:hAnsi="Arial"/>
          <w:rtl w:val="0"/>
        </w:rPr>
        <w:t xml:space="preserve">The containment boundary predicate is defined over three parameters: the active S-level (l), the enforcement profile (p), and the current system state (s). The predicate evaluates to TRUE if and only if all five structural conditions hold simultaneously:</w:t>
      </w: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Fonts w:ascii="Arial Unicode MS" w:cs="Arial Unicode MS" w:eastAsia="Arial Unicode MS" w:hAnsi="Arial Unicode MS"/>
          <w:rtl w:val="0"/>
        </w:rPr>
        <w:t xml:space="preserve">IsIsolatedFloor(l, p, s) ≡</w:t>
      </w: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Fonts w:ascii="Arial" w:cs="Arial" w:eastAsia="Arial" w:hAnsi="Arial"/>
          <w:b w:val="1"/>
          <w:bCs w:val="1"/>
          <w:rtl w:val="0"/>
        </w:rPr>
        <w:t xml:space="preserve">C1 — Initialization Integrity: </w:t>
      </w:r>
      <w:r w:rsidDel="00000000" w:rsidR="00000000" w:rsidRPr="00000000">
        <w:rPr>
          <w:rFonts w:ascii="Arial Unicode MS" w:cs="Arial Unicode MS" w:eastAsia="Arial Unicode MS" w:hAnsi="Arial Unicode MS"/>
          <w:rtl w:val="0"/>
        </w:rPr>
        <w:t xml:space="preserve">I₀(s) = COMMITTED ∧ no post-init tool registration recorded in s.</w:t>
      </w: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Fonts w:ascii="Arial" w:cs="Arial" w:eastAsia="Arial" w:hAnsi="Arial"/>
          <w:b w:val="1"/>
          <w:bCs w:val="1"/>
          <w:rtl w:val="0"/>
        </w:rPr>
        <w:t xml:space="preserve">C2 — Child Subsumption: </w:t>
      </w:r>
      <w:r w:rsidDel="00000000" w:rsidR="00000000" w:rsidRPr="00000000">
        <w:rPr>
          <w:rFonts w:ascii="Arial Unicode MS" w:cs="Arial Unicode MS" w:eastAsia="Arial Unicode MS" w:hAnsi="Arial Unicode MS"/>
          <w:rtl w:val="0"/>
        </w:rPr>
        <w:t xml:space="preserve">∀ child context c ∈ s: manifest(c) ⊂ strict manifest(parent(c)) ∧ budget(c) ⊂ strict budget(parent(c)).</w:t>
      </w: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Fonts w:ascii="Arial" w:cs="Arial" w:eastAsia="Arial" w:hAnsi="Arial"/>
          <w:b w:val="1"/>
          <w:bCs w:val="1"/>
          <w:rtl w:val="0"/>
        </w:rPr>
        <w:t xml:space="preserve">C3 — Token Ephemerality: </w:t>
      </w:r>
      <w:r w:rsidDel="00000000" w:rsidR="00000000" w:rsidRPr="00000000">
        <w:rPr>
          <w:rFonts w:ascii="Arial Unicode MS" w:cs="Arial Unicode MS" w:eastAsia="Arial Unicode MS" w:hAnsi="Arial Unicode MS"/>
          <w:rtl w:val="0"/>
        </w:rPr>
        <w:t xml:space="preserve">∀ active token t ∈ s: scope(t) = current_logical_step(s) ∧ epoch(t) = current_manifest_epoch(s).</w:t>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Fonts w:ascii="Arial" w:cs="Arial" w:eastAsia="Arial" w:hAnsi="Arial"/>
          <w:b w:val="1"/>
          <w:bCs w:val="1"/>
          <w:rtl w:val="0"/>
        </w:rPr>
        <w:t xml:space="preserve">C4 — Profile–Domain Alignment: </w:t>
      </w:r>
      <w:r w:rsidDel="00000000" w:rsidR="00000000" w:rsidRPr="00000000">
        <w:rPr>
          <w:rFonts w:ascii="Arial Unicode MS" w:cs="Arial Unicode MS" w:eastAsia="Arial Unicode MS" w:hAnsi="Arial Unicode MS"/>
          <w:rtl w:val="0"/>
        </w:rPr>
        <w:t xml:space="preserve">s_level(s) ≤ max_s_level(p).</w:t>
      </w: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Fonts w:ascii="Arial" w:cs="Arial" w:eastAsia="Arial" w:hAnsi="Arial"/>
          <w:b w:val="1"/>
          <w:bCs w:val="1"/>
          <w:rtl w:val="0"/>
        </w:rPr>
        <w:t xml:space="preserve">C5 — Declassification Integrity: </w:t>
      </w:r>
      <w:r w:rsidDel="00000000" w:rsidR="00000000" w:rsidRPr="00000000">
        <w:rPr>
          <w:rFonts w:ascii="Arial Unicode MS" w:cs="Arial Unicode MS" w:eastAsia="Arial Unicode MS" w:hAnsi="Arial Unicode MS"/>
          <w:rtl w:val="0"/>
        </w:rPr>
        <w:t xml:space="preserve">∀ data element d crossing a boundary in s: provenance(d) ∈ {UNTRUSTED_PROVENANCE, SANITIZED_PROVENANCE} ∧ if provenance(d) = SANITIZED_PROVENANCE then </w:t>
      </w:r>
      <w:r w:rsidDel="00000000" w:rsidR="00000000" w:rsidRPr="00000000">
        <w:rPr>
          <w:rtl w:val="0"/>
        </w:rPr>
        <w:t xml:space="preserve">has_completed_controlled_declassification(d) = TRUE.</w:t>
      </w:r>
    </w:p>
    <w:p w:rsidR="00000000" w:rsidDel="00000000" w:rsidP="00000000" w:rsidRDefault="00000000" w:rsidRPr="00000000" w14:paraId="0000010E">
      <w:pPr>
        <w:spacing w:line="276" w:lineRule="auto"/>
        <w:rPr/>
      </w:pPr>
      <w:r w:rsidDel="00000000" w:rsidR="00000000" w:rsidRPr="00000000">
        <w:rPr>
          <w:rFonts w:ascii="Arial" w:cs="Arial" w:eastAsia="Arial" w:hAnsi="Arial"/>
          <w:rtl w:val="0"/>
        </w:rPr>
        <w:t xml:space="preserve">A state s is considered safe under profile p at domain level l if and only if IsIsolatedFloor(l, p, s) = TRUE. Any condition evaluating to FALSE triggers an immediate Flash-Purge sequence. Complete category-theoretic proofs and compositional invariant maps are developed in the GVAA Research Companion.</w:t>
      </w:r>
      <w:r w:rsidDel="00000000" w:rsidR="00000000" w:rsidRPr="00000000">
        <w:rPr>
          <w:rtl w:val="0"/>
        </w:rPr>
      </w:r>
    </w:p>
    <w:p w:rsidR="00000000" w:rsidDel="00000000" w:rsidP="00000000" w:rsidRDefault="00000000" w:rsidRPr="00000000" w14:paraId="0000010F">
      <w:pPr>
        <w:keepNext w:val="1"/>
        <w:spacing w:after="120" w:before="360" w:line="276" w:lineRule="auto"/>
        <w:rPr/>
      </w:pPr>
      <w:r w:rsidDel="00000000" w:rsidR="00000000" w:rsidRPr="00000000">
        <w:rPr>
          <w:rFonts w:ascii="Arial" w:cs="Arial" w:eastAsia="Arial" w:hAnsi="Arial"/>
          <w:b w:val="1"/>
          <w:bCs w:val="1"/>
          <w:color w:val="102c57"/>
          <w:sz w:val="32"/>
          <w:szCs w:val="32"/>
          <w:rtl w:val="0"/>
        </w:rPr>
        <w:t xml:space="preserve">Appendix B: Pre-Specification Research Mechanisms (Non-Normative)</w:t>
      </w: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Fonts w:ascii="Arial" w:cs="Arial" w:eastAsia="Arial" w:hAnsi="Arial"/>
          <w:rtl w:val="0"/>
        </w:rPr>
        <w:t xml:space="preserve">The following mechanisms carry no normative obligations under the current normative release. No compliance claim, audit criterion, or maturity rating references these constructs. They are included for research continuity only.</w:t>
      </w: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Fonts w:ascii="Arial" w:cs="Arial" w:eastAsia="Arial" w:hAnsi="Arial"/>
          <w:b w:val="1"/>
          <w:bCs w:val="1"/>
          <w:rtl w:val="0"/>
        </w:rPr>
        <w:t xml:space="preserve">Thermodynamic Squash: </w:t>
      </w:r>
      <w:r w:rsidDel="00000000" w:rsidR="00000000" w:rsidRPr="00000000">
        <w:rPr>
          <w:rFonts w:ascii="Arial" w:cs="Arial" w:eastAsia="Arial" w:hAnsi="Arial"/>
          <w:rtl w:val="0"/>
        </w:rPr>
        <w:t xml:space="preserve">A proposed context-window decay control enforcing exponential saturation limits over agent execution histories. Intended to bound context-amplification attacks wherein adversarial payloads accumulate semantic influence across extended logical step sequences. Currently in active mathematical modelling; no production reference architecture exists.</w:t>
      </w: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Fonts w:ascii="Arial" w:cs="Arial" w:eastAsia="Arial" w:hAnsi="Arial"/>
          <w:b w:val="1"/>
          <w:bCs w:val="1"/>
          <w:rtl w:val="0"/>
        </w:rPr>
        <w:t xml:space="preserve">Spectral Barrier: </w:t>
      </w:r>
      <w:r w:rsidDel="00000000" w:rsidR="00000000" w:rsidRPr="00000000">
        <w:rPr>
          <w:rFonts w:ascii="Arial" w:cs="Arial" w:eastAsia="Arial" w:hAnsi="Arial"/>
          <w:rtl w:val="0"/>
        </w:rPr>
        <w:t xml:space="preserve">A proposed formal data-flow isolation mechanism combining static spectral analysis with runtime information-flow graphs to detect covert channel formation across domain boundaries. Requires hardware-tagged information flow controls available only under the High-Assurance Research Profile. Currently in pre-specification phase.</w:t>
      </w: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Fonts w:ascii="Arial" w:cs="Arial" w:eastAsia="Arial" w:hAnsi="Arial"/>
          <w:rtl w:val="0"/>
        </w:rPr>
        <w:t xml:space="preserve">Both mechanisms are candidates for normative inclusion in subsequent releases, contingent on completion of formal specification work within the Research Track.</w:t>
      </w:r>
      <w:r w:rsidDel="00000000" w:rsidR="00000000" w:rsidRPr="00000000">
        <w:rPr>
          <w:rtl w:val="0"/>
        </w:rPr>
      </w:r>
    </w:p>
    <w:sectPr>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hyperlink" Target="https://simonwillison.net/2022/Sep/12/prompt-injection/"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