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 w:after="360"/>
        <w:jc w:val="center"/>
      </w:pPr>
      <w:r>
        <w:t>EPR 下单系统业务流程与原型确认稿</w:t>
      </w:r>
    </w:p>
    <w:p>
      <w:pPr>
        <w:pStyle w:val="Subtitle"/>
        <w:jc w:val="center"/>
      </w:pPr>
      <w:r>
        <w:t>散客选购 下单 付款 资料审核 注册办理 交付全流程</w:t>
      </w:r>
    </w:p>
    <w:p>
      <w:pPr>
        <w:spacing w:before="560"/>
        <w:jc w:val="center"/>
      </w:pPr>
      <w:r>
        <w:t>版本 1.0</w:t>
        <w:br/>
        <w:t>确认日期 2026 年 10 月 12 日</w:t>
        <w:br/>
        <w:t>适用对象 产品 研发 测试 运营 财务 商务 交付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一 文档目的</w:t>
      </w:r>
    </w:p>
    <w:p>
      <w:pPr>
        <w:spacing w:after="120" w:line="283" w:lineRule="auto"/>
      </w:pPr>
      <w:r>
        <w:t>本确认稿汇总当前下单系统的端到端业务流程、角色边界、订单与服务状态、关键规则以及已实现原型页面。研发和业务团队可据此确认流程完整性，后续需求变更应同步更新流程、权限和验收场景。</w:t>
      </w:r>
    </w:p>
    <w:p>
      <w:pPr>
        <w:spacing w:after="120" w:line="283" w:lineRule="auto"/>
      </w:pPr>
      <w:r>
        <w:rPr>
          <w:b/>
        </w:rPr>
        <w:t xml:space="preserve">核心结论  </w:t>
      </w:r>
      <w:r>
        <w:t>系统采用订单与服务实例分离的设计。客户提交购物车后生成待付款订单；只有财务确认实际到账并上传收款凭证后，系统才生成服务实例。一个订单购买多份服务时，每份服务实例独立提交资料、审核、补件、注册和交付。</w:t>
      </w:r>
    </w:p>
    <w:p>
      <w:pPr>
        <w:pStyle w:val="Heading1"/>
        <w:keepNext/>
        <w:spacing w:before="240" w:after="120"/>
      </w:pPr>
      <w:r>
        <w:t>二 角色与职责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240"/>
        <w:gridCol w:w="2520"/>
        <w:gridCol w:w="2520"/>
      </w:tblGrid>
      <w:tr>
        <w:trPr>
          <w:tblHeader w:val="true"/>
        </w:trPr>
        <w:tc>
          <w:tcPr>
            <w:tcW w:type="dxa" w:w="1296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40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520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关键权限</w:t>
            </w:r>
          </w:p>
        </w:tc>
        <w:tc>
          <w:tcPr>
            <w:tcW w:type="dxa" w:w="2520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不能执行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客户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自助选购、下单、线下付款、上传凭证、提交资料、查看进度与交付文件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购物车、订单、资料、补件、交付查看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不能调整价格或确认到账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销售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维护客户、代客下单、沟通标准价与合同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客户管理、创建订单、合同维护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不能审批优惠或确认收款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系统管理员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审批超权限优惠、维护员工角色和系统配置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优惠审批、权限、模板及全流程管理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不代替财务进行到账确认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财务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核对线下到账、上传收款凭证、确认实付金额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付款审核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不能改优惠或审核业务资料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商务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按客户提交结构查看信息和材料，给出整体通过或驳回结论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资料整体审核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不逐字段逐文件下结论，不负责下证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对接服务商、补件、二次回签、录入注册号和证书并完成服务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任务分配、注册办理、交付完成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不能确认收款或审批优惠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t>三 端到端业务流程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0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端到端业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1  EPR 下单系统端到端业务流程</w:t>
      </w:r>
    </w:p>
    <w:p>
      <w:pPr>
        <w:spacing w:after="120" w:line="283" w:lineRule="auto"/>
      </w:pPr>
      <w:r>
        <w:t>标准价订单无需人工优惠审批，客户可按原价直接线下付款。需要优惠时，由销售沟通方案，系统管理员审批并更新应付金额；多笔订单采用打包价时，系统按照各订单标准金额占比进行分摊，并保留标准价、优惠额、应付金额和优惠原因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四 客户流程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083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客户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8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 四  客户流程</w:t>
      </w:r>
    </w:p>
    <w:p>
      <w:pPr>
        <w:spacing w:after="120" w:line="283" w:lineRule="auto"/>
      </w:pPr>
      <w:r>
        <w:t>客户从选购到交付的主路径。资料提交发生在财务确认付款并生成服务实例之后。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五 销售流程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083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销售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8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 五  销售流程</w:t>
      </w:r>
    </w:p>
    <w:p>
      <w:pPr>
        <w:spacing w:after="120" w:line="283" w:lineRule="auto"/>
      </w:pPr>
      <w:r>
        <w:t>销售既可协助客户下单，也可在付款前后维护合同；销售不能直接执行超权限优惠或确认收款。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六 系统管理员流程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083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系统管理员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8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 六  系统管理员流程</w:t>
      </w:r>
    </w:p>
    <w:p>
      <w:pPr>
        <w:spacing w:after="120" w:line="283" w:lineRule="auto"/>
      </w:pPr>
      <w:r>
        <w:t>优惠审批暂由系统管理员承担，审批结果必须形成价格快照和审计记录。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七 财务流程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083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财务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8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 七  财务流程</w:t>
      </w:r>
    </w:p>
    <w:p>
      <w:pPr>
        <w:spacing w:after="120" w:line="283" w:lineRule="auto"/>
      </w:pPr>
      <w:r>
        <w:t>客户上传付款凭证仅代表进入待确认状态；财务上传收款凭证并确认实付后，订单才变为已付款。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八 商务流程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08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商务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8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 八  商务流程</w:t>
      </w:r>
    </w:p>
    <w:p>
      <w:pPr>
        <w:spacing w:after="120" w:line="283" w:lineRule="auto"/>
      </w:pPr>
      <w:r>
        <w:t>商务按照客户提交时的分组结构查看全部字段和材料，但只给出服务实例级最终结论。驳回时必须填写可执行的补件建议。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九 交付流程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0837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交付流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8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图  九  交付流程</w:t>
      </w:r>
    </w:p>
    <w:p>
      <w:pPr>
        <w:spacing w:after="120" w:line="283" w:lineRule="auto"/>
      </w:pPr>
      <w:r>
        <w:t>商务审核通过后进入注册办理。交付负责服务商递交、补件、二次回签、下证资料录入和最终完成。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十 核心业务规则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632"/>
      </w:tblGrid>
      <w:tr>
        <w:trPr>
          <w:tblHeader w:val="true"/>
        </w:trPr>
        <w:tc>
          <w:tcPr>
            <w:tcW w:type="dxa" w:w="1944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规则主题</w:t>
            </w:r>
          </w:p>
        </w:tc>
        <w:tc>
          <w:tcPr>
            <w:tcW w:type="dxa" w:w="7632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确认规则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订单生成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客户购物车结算或销售代客下单后，订单默认状态为待付款。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价格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商品使用标准价；普通客户可直接按标准价付款。优惠是可选分支，不阻塞自助下单。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打包优惠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同一客户多笔待付款订单可设置打包价，系统按标准金额比例分摊优惠，尾差归最后一笔。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合同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销售可以在付款前或付款后上传合同，并记录合同编号、版本和审计轨迹。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支付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仅支持线下支付。客户上传付款凭证后进入付款待确认，不直接视为已付款。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到账确认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财务必须填写实际到账金额并上传收款凭证，确认后同步支付状态并生成服务实例。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资料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每个服务实例独立提交资料。历史企业和法人资料可复用，但客户可继续修改。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商务审核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按客户提交方式展示信息和材料，只给出整体通过或整体驳回结论；驳回必须写明建议。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任务分配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按国家和服务类型自动分配负责人，允许具备权限的人员人工调整。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交付人员维护服务商递交、补件、回签、注册号、证书、账单和服务截止日期。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t>十一 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3672"/>
      </w:tblGrid>
      <w:tr>
        <w:trPr>
          <w:tblHeader w:val="true"/>
        </w:trPr>
        <w:tc>
          <w:tcPr>
            <w:tcW w:type="dxa" w:w="1584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320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状态链路</w:t>
            </w:r>
          </w:p>
        </w:tc>
        <w:tc>
          <w:tcPr>
            <w:tcW w:type="dxa" w:w="3672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订单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待付款 → 付款待确认 → 已付款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付款凭证驳回时进入付款失败，客户可重新上传。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服务实例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草稿 → 已提交 → 审核中 → 注册中 → 已完成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审核中可退回待补件，客户补件后重新进入审核中。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优惠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无优惠 或 待审批 → 已批准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当前由系统管理员审批，订单保留标准价和优惠分摊结果。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合同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未上传 → 已上传 → 新版本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合同与付款状态解耦，付款前后均可维护。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20"/>
      </w:pPr>
      <w:r>
        <w:t>十二 原型页面</w:t>
      </w:r>
    </w:p>
    <w:p>
      <w:pPr>
        <w:spacing w:after="120" w:line="283" w:lineRule="auto"/>
      </w:pPr>
      <w:r>
        <w:t>原型沿用当前 EPR FLOW 蓝白视觉体系。客户侧强调选购、订单、资料和进度；管理端根据登录角色动态展示菜单和操作按钮，后端同时执行权限校验。</w:t>
      </w:r>
    </w:p>
    <w:p>
      <w:pPr>
        <w:pStyle w:val="Heading2"/>
        <w:keepNext/>
        <w:spacing w:before="160" w:after="120"/>
      </w:pPr>
      <w:r>
        <w:t>客户登录与注册入口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1  客户登录与注册入口</w:t>
      </w:r>
    </w:p>
    <w:p>
      <w:pPr>
        <w:pStyle w:val="Heading2"/>
        <w:keepNext/>
        <w:spacing w:before="160" w:after="120"/>
      </w:pPr>
      <w:r>
        <w:t>客户工作台与待办事项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097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0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2  客户工作台与待办事项</w:t>
      </w:r>
    </w:p>
    <w:p>
      <w:pPr>
        <w:pStyle w:val="Heading2"/>
        <w:keepNext/>
        <w:spacing w:before="160" w:after="120"/>
      </w:pPr>
      <w:r>
        <w:t>销售订单和合同管理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08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0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3  销售订单和合同管理</w:t>
      </w:r>
    </w:p>
    <w:p>
      <w:pPr>
        <w:pStyle w:val="Heading2"/>
        <w:keepNext/>
        <w:spacing w:before="160" w:after="120"/>
      </w:pPr>
      <w:r>
        <w:t>财务付款凭证与实际到账审核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087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0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4  财务付款凭证与实际到账审核</w:t>
      </w:r>
    </w:p>
    <w:p>
      <w:pPr>
        <w:pStyle w:val="Heading2"/>
        <w:keepNext/>
        <w:spacing w:before="160" w:after="120"/>
      </w:pPr>
      <w:r>
        <w:t>商务待审核服务列表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08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0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5  商务待审核服务列表</w:t>
      </w:r>
    </w:p>
    <w:p>
      <w:pPr>
        <w:pStyle w:val="Heading2"/>
        <w:keepNext/>
        <w:spacing w:before="160" w:after="120"/>
      </w:pPr>
      <w:r>
        <w:t>交付注册办理和下证信息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08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0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6  交付注册办理和下证信息</w:t>
      </w:r>
    </w:p>
    <w:p>
      <w:pPr>
        <w:pStyle w:val="Heading2"/>
        <w:keepNext/>
        <w:spacing w:before="160" w:after="120"/>
      </w:pPr>
      <w:r>
        <w:t>系统管理员员工角色与权限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875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0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8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96777"/>
          <w:sz w:val="18"/>
        </w:rPr>
        <w:t>原型页面 7  系统管理员员工角色与权限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十三 测试账号与场景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880"/>
        <w:gridCol w:w="1728"/>
        <w:gridCol w:w="3672"/>
      </w:tblGrid>
      <w:tr>
        <w:trPr>
          <w:tblHeader w:val="true"/>
        </w:trPr>
        <w:tc>
          <w:tcPr>
            <w:tcW w:type="dxa" w:w="1296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880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账号</w:t>
            </w:r>
          </w:p>
        </w:tc>
        <w:tc>
          <w:tcPr>
            <w:tcW w:type="dxa" w:w="1728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密码</w:t>
            </w:r>
          </w:p>
        </w:tc>
        <w:tc>
          <w:tcPr>
            <w:tcW w:type="dxa" w:w="3672"/>
            <w:shd w:fill="123A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b/>
                <w:color w:val="FFFFFF"/>
                <w:sz w:val="19"/>
              </w:rPr>
              <w:t>建议测试场景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客户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demo@eprflow.com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Demo123!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自助下单、付款凭证、资料提交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销售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sales@eprflow.com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Sales123!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SHOW-SALES-001 代客下单和合同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财务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finance@eprflow.com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Finance123!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SHOW-FIN-001 到账确认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商务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business@eprflow.com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Business123!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SHOWROLE20260001 至 003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delivery@eprflow.com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Delivery123!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SHOWROLE20260004 至 005</w:t>
            </w:r>
          </w:p>
        </w:tc>
      </w:tr>
      <w:t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系统管理员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admin@eprflow.com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Admin123!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F"/>
            <w:vAlign w:val="center"/>
          </w:tcPr>
          <w:p>
            <w:pPr>
              <w:spacing w:after="40"/>
            </w:pPr>
            <w:r>
              <w:rPr>
                <w:sz w:val="18"/>
              </w:rPr>
              <w:t>SHOW-ADMIN-001 和 002 优惠审批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t>十四 验收确认清单</w:t>
      </w:r>
    </w:p>
    <w:p>
      <w:pPr>
        <w:pStyle w:val="ListBullet"/>
        <w:spacing w:after="100"/>
      </w:pPr>
      <w:r>
        <w:t>客户可按标准价自助下单，不要求必须申请优惠。</w:t>
      </w:r>
    </w:p>
    <w:p>
      <w:pPr>
        <w:pStyle w:val="ListBullet"/>
        <w:spacing w:after="100"/>
      </w:pPr>
      <w:r>
        <w:t>销售可代客户创建订单并在付款前后上传合同。</w:t>
      </w:r>
    </w:p>
    <w:p>
      <w:pPr>
        <w:pStyle w:val="ListBullet"/>
        <w:spacing w:after="100"/>
      </w:pPr>
      <w:r>
        <w:t>系统管理员可审批打包优惠，优惠金额能按订单标准价比例分摊。</w:t>
      </w:r>
    </w:p>
    <w:p>
      <w:pPr>
        <w:pStyle w:val="ListBullet"/>
        <w:spacing w:after="100"/>
      </w:pPr>
      <w:r>
        <w:t>客户上传付款凭证后订单保持付款待确认，只有财务确认后才成为已付款。</w:t>
      </w:r>
    </w:p>
    <w:p>
      <w:pPr>
        <w:pStyle w:val="ListBullet"/>
        <w:spacing w:after="100"/>
      </w:pPr>
      <w:r>
        <w:t>财务确认时必须上传收款凭证，订单显示实际到账金额。</w:t>
      </w:r>
    </w:p>
    <w:p>
      <w:pPr>
        <w:pStyle w:val="ListBullet"/>
        <w:spacing w:after="100"/>
      </w:pPr>
      <w:r>
        <w:t>已付款订单按照购买数量生成独立服务实例。</w:t>
      </w:r>
    </w:p>
    <w:p>
      <w:pPr>
        <w:pStyle w:val="ListBullet"/>
        <w:spacing w:after="100"/>
      </w:pPr>
      <w:r>
        <w:t>商务能按客户提交结构查看信息和材料，只提交整体通过或驳回结论。</w:t>
      </w:r>
    </w:p>
    <w:p>
      <w:pPr>
        <w:pStyle w:val="ListBullet"/>
        <w:spacing w:after="100"/>
      </w:pPr>
      <w:r>
        <w:t>交付能处理注册、补件、回签和下证，完成后客户可以查看交付结果。</w:t>
      </w:r>
    </w:p>
    <w:p>
      <w:pPr>
        <w:pStyle w:val="ListBullet"/>
        <w:spacing w:after="100"/>
      </w:pPr>
      <w:r>
        <w:t>不同角色只能看到相应菜单和操作，越权接口返回拒绝。</w:t>
      </w:r>
    </w:p>
    <w:p>
      <w:pPr>
        <w:pStyle w:val="ListBullet"/>
        <w:spacing w:after="100"/>
      </w:pPr>
      <w:r>
        <w:t>关键价格、付款、审核、分配和交付动作均保留审计记录。</w:t>
      </w:r>
    </w:p>
    <w:sectPr w:rsidR="00FC693F" w:rsidRPr="0006063C" w:rsidSect="00034616">
      <w:footerReference w:type="default" r:id="rId23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4"/>
        <w:sz w:val="17"/>
      </w:rPr>
      <w:t>EPR FLOW 业务流程与原型确认稿  2026-10-12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