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2.png" ContentType="image/png"/>
  <Override PartName="/word/media/rId49.png" ContentType="image/png"/>
  <Override PartName="/word/media/rId53.png" ContentType="image/png"/>
  <Override PartName="/word/media/rId32.png" ContentType="image/png"/>
  <Override PartName="/word/media/rId40.png" ContentType="image/png"/>
  <Override PartName="/word/media/rId36.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Spatial</w:t>
      </w:r>
      <w:r>
        <w:t xml:space="preserve"> </w:t>
      </w:r>
      <w:r>
        <w:t xml:space="preserve">analysis</w:t>
      </w:r>
      <w:r>
        <w:t xml:space="preserve"> </w:t>
      </w:r>
      <w:r>
        <w:t xml:space="preserve">of</w:t>
      </w:r>
      <w:r>
        <w:t xml:space="preserve"> </w:t>
      </w:r>
      <w:r>
        <w:t xml:space="preserve">ship</w:t>
      </w:r>
      <w:r>
        <w:t xml:space="preserve"> </w:t>
      </w:r>
      <w:r>
        <w:t xml:space="preserve">strike</w:t>
      </w:r>
      <w:r>
        <w:t xml:space="preserve"> </w:t>
      </w:r>
      <w:r>
        <w:t xml:space="preserve">risk</w:t>
      </w:r>
      <w:r>
        <w:t xml:space="preserve"> </w:t>
      </w:r>
      <w:r>
        <w:t xml:space="preserve">for</w:t>
      </w:r>
      <w:r>
        <w:t xml:space="preserve"> </w:t>
      </w:r>
      <w:r>
        <w:t xml:space="preserve">Rice’s</w:t>
      </w:r>
      <w:r>
        <w:t xml:space="preserve"> </w:t>
      </w:r>
      <w:r>
        <w:t xml:space="preserve">whale</w:t>
      </w:r>
      <w:r>
        <w:t xml:space="preserve"> </w:t>
      </w:r>
      <w:r>
        <w:t xml:space="preserve">in</w:t>
      </w:r>
      <w:r>
        <w:t xml:space="preserve"> </w:t>
      </w:r>
      <w:r>
        <w:t xml:space="preserve">the</w:t>
      </w:r>
      <w:r>
        <w:t xml:space="preserve"> </w:t>
      </w:r>
      <w:r>
        <w:t xml:space="preserve">Gulf</w:t>
      </w:r>
      <w:r>
        <w:t xml:space="preserve"> </w:t>
      </w:r>
      <w:r>
        <w:t xml:space="preserve">of</w:t>
      </w:r>
      <w:r>
        <w:t xml:space="preserve"> </w:t>
      </w:r>
      <w:r>
        <w:t xml:space="preserve">Mexico</w:t>
      </w:r>
    </w:p>
    <w:p>
      <w:pPr>
        <w:pStyle w:val="Author"/>
      </w:pPr>
      <w:r>
        <w:t xml:space="preserve">Benjamin</w:t>
      </w:r>
      <w:r>
        <w:t xml:space="preserve"> </w:t>
      </w:r>
      <w:r>
        <w:t xml:space="preserve">D.</w:t>
      </w:r>
      <w:r>
        <w:t xml:space="preserve"> </w:t>
      </w:r>
      <w:r>
        <w:t xml:space="preserve">Best,</w:t>
      </w:r>
      <w:r>
        <w:t xml:space="preserve"> </w:t>
      </w:r>
      <w:r>
        <w:t xml:space="preserve">Ph.D. (</w:t>
      </w:r>
      <w:hyperlink r:id="rId20">
        <w:r>
          <w:rPr>
            <w:rStyle w:val="Hyperlink"/>
          </w:rPr>
          <w:t xml:space="preserve">ben@ecoquants.com</w:t>
        </w:r>
      </w:hyperlink>
      <w:r>
        <w:t xml:space="preserve">)</w:t>
      </w:r>
    </w:p>
    <w:p>
      <w:pPr>
        <w:pStyle w:val="Date"/>
      </w:pPr>
      <w:r>
        <w:t xml:space="preserve">2023-07-06</w:t>
      </w:r>
      <w:r>
        <w:t xml:space="preserve"> </w:t>
      </w:r>
      <w:r>
        <w:t xml:space="preserve">08:25</w:t>
      </w:r>
      <w:r>
        <w:t xml:space="preserve"> </w:t>
      </w:r>
      <w:r>
        <w:t xml:space="preserve">(GMT+2)</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1" w:name="abstract"/>
    <w:p>
      <w:pPr>
        <w:pStyle w:val="Heading2"/>
      </w:pPr>
      <w:r>
        <w:t xml:space="preserve">1 Abstract</w:t>
      </w:r>
    </w:p>
    <w:p>
      <w:pPr>
        <w:pStyle w:val="FirstParagraph"/>
      </w:pPr>
      <w:r>
        <w:t xml:space="preserve">Since release of the Biological Opinion on oil and gas activities in the Gulf of Mexico</w:t>
      </w:r>
      <w:r>
        <w:t xml:space="preserve"> </w:t>
      </w:r>
      <w:r>
        <w:t xml:space="preserve">(NMFS 2020)</w:t>
      </w:r>
      <w:r>
        <w:t xml:space="preserve"> </w:t>
      </w:r>
      <w:r>
        <w:t xml:space="preserve">that used a published density surface model</w:t>
      </w:r>
      <w:r>
        <w:t xml:space="preserve"> </w:t>
      </w:r>
      <w:r>
        <w:t xml:space="preserve">(Roberts et al. 2016)</w:t>
      </w:r>
      <w:r>
        <w:t xml:space="preserve"> </w:t>
      </w:r>
      <w:r>
        <w:t xml:space="preserve">to describe the distribution of the critically endangered Rice’s whale (</w:t>
      </w:r>
      <w:r>
        <w:rPr>
          <w:iCs/>
          <w:i/>
        </w:rPr>
        <w:t xml:space="preserve">Balaenoptera ricei</w:t>
      </w:r>
      <w:r>
        <w:t xml:space="preserve">), a new density surface model</w:t>
      </w:r>
      <w:r>
        <w:t xml:space="preserve"> </w:t>
      </w:r>
      <w:r>
        <w:t xml:space="preserve">(Litz et al. 2022)</w:t>
      </w:r>
      <w:r>
        <w:t xml:space="preserve"> </w:t>
      </w:r>
      <w:r>
        <w:t xml:space="preserve">has been made available. Importantly, this model extends the distribution of Rice’s whale beyond its initial core habitat in the Eastern Gulf of Mexico to the West, where it had previously only been acoustically detected</w:t>
      </w:r>
      <w:r>
        <w:t xml:space="preserve"> </w:t>
      </w:r>
      <w:r>
        <w:t xml:space="preserve">(Soldevilla et al. 2022)</w:t>
      </w:r>
      <w:r>
        <w:t xml:space="preserve">. This report replicates the Biological Opinion’s ship strike analysis using the newer Rice’s whale distributional model. Given the wider distribution of Rice’s whale, an alternative new Whale Area is suggested to reduce ship strike risk with the Rice’s whale based on location (25.5º N and higher) and depth (100 to 400 m).</w:t>
      </w:r>
    </w:p>
    <w:bookmarkEnd w:id="21"/>
    <w:bookmarkStart w:id="31" w:name="whale-densities"/>
    <w:p>
      <w:pPr>
        <w:pStyle w:val="Heading2"/>
      </w:pPr>
      <w:r>
        <w:t xml:space="preserve">2 Whale Densities</w:t>
      </w:r>
    </w:p>
    <w:p>
      <w:pPr>
        <w:pStyle w:val="FirstParagraph"/>
      </w:pPr>
      <w:r>
        <w:t xml:space="preserve">The new density surface model</w:t>
      </w:r>
      <w:r>
        <w:t xml:space="preserve"> </w:t>
      </w:r>
      <w:r>
        <w:t xml:space="preserve">(Litz et al. 2022)</w:t>
      </w:r>
      <w:r>
        <w:t xml:space="preserve"> </w:t>
      </w:r>
      <w:r>
        <w:t xml:space="preserve">uses approximately 40 km</w:t>
      </w:r>
      <w:r>
        <w:rPr>
          <w:vertAlign w:val="superscript"/>
        </w:rPr>
        <w:t xml:space="preserve">2</w:t>
      </w:r>
      <w:r>
        <w:t xml:space="preserve"> </w:t>
      </w:r>
      <w:r>
        <w:t xml:space="preserve">hexagons as its spatial unit to describe number of individuals per 40 km</w:t>
      </w:r>
      <w:r>
        <w:rPr>
          <w:vertAlign w:val="superscript"/>
        </w:rPr>
        <w:t xml:space="preserve">2</w:t>
      </w:r>
      <w:r>
        <w:t xml:space="preserve"> </w:t>
      </w:r>
      <w:r>
        <w:t xml:space="preserve">in a Lambert Conformal Conic projection, whereas the original model</w:t>
      </w:r>
      <w:r>
        <w:t xml:space="preserve"> </w:t>
      </w:r>
      <w:r>
        <w:t xml:space="preserve">(Roberts et al. 2016)</w:t>
      </w:r>
      <w:r>
        <w:t xml:space="preserve"> </w:t>
      </w:r>
      <w:r>
        <w:t xml:space="preserve">used 100 km</w:t>
      </w:r>
      <w:r>
        <w:rPr>
          <w:vertAlign w:val="superscript"/>
        </w:rPr>
        <w:t xml:space="preserve">2</w:t>
      </w:r>
      <w:r>
        <w:t xml:space="preserve"> </w:t>
      </w:r>
      <w:r>
        <w:t xml:space="preserve">cells in a custom equal area Albers projection to describe number of individuals per 100 km</w:t>
      </w:r>
      <w:r>
        <w:rPr>
          <w:vertAlign w:val="superscript"/>
        </w:rPr>
        <w:t xml:space="preserve">2</w:t>
      </w:r>
      <w:r>
        <w:t xml:space="preserve">. The spatial unit for this new analysis is also 100 km</w:t>
      </w:r>
      <w:r>
        <w:rPr>
          <w:vertAlign w:val="superscript"/>
        </w:rPr>
        <w:t xml:space="preserve">2</w:t>
      </w:r>
      <w:r>
        <w:t xml:space="preserve"> </w:t>
      </w:r>
      <w:r>
        <w:t xml:space="preserve">cells but in the web Mercator projection (EPSG: 3857) in order to readily map results online with common</w:t>
      </w:r>
      <w:r>
        <w:t xml:space="preserve"> </w:t>
      </w:r>
      <w:r>
        <w:t xml:space="preserve">“</w:t>
      </w:r>
      <w:r>
        <w:t xml:space="preserve">slippy</w:t>
      </w:r>
      <w:r>
        <w:t xml:space="preserve">”</w:t>
      </w:r>
      <w:r>
        <w:t xml:space="preserve"> </w:t>
      </w:r>
      <w:r>
        <w:t xml:space="preserve">basemaps. All layers were clipped to the study area of the U.S. Exclusive Economic Zone (EEZ) within the Gulf of Mexico.</w:t>
      </w:r>
    </w:p>
    <w:p>
      <w:pPr>
        <w:pStyle w:val="BodyText"/>
      </w:pPr>
      <w:r>
        <w:t xml:space="preserve">Normally converting polygons to raster extracts only the centroid point of the raster cell from the underlying polygon. In order to capture the entirety of the underlying geometric densities, a vector-based intersection was first performed on all layers (whale hexagons, ship cells, and new units) before summarizing to the raster cell as area-weighted means.</w:t>
      </w:r>
    </w:p>
    <w:p>
      <w:pPr>
        <w:pStyle w:val="BodyText"/>
      </w:pPr>
      <w:r>
        <w:t xml:space="preserve">In order to adjust for slight differences from projecting coordinate reference systems and rounding errors, the new 100 km</w:t>
      </w:r>
      <w:r>
        <w:rPr>
          <w:vertAlign w:val="superscript"/>
        </w:rPr>
        <w:t xml:space="preserve">2</w:t>
      </w:r>
      <w:r>
        <w:t xml:space="preserve"> </w:t>
      </w:r>
      <w:r>
        <w:t xml:space="preserve">whale density grid was adjusted so the sum of individuals predicted throughout the study area is equal to 51.3, the most recent abundance estimate</w:t>
      </w:r>
      <w:r>
        <w:t xml:space="preserve"> </w:t>
      </w:r>
      <w:r>
        <w:t xml:space="preserve">(Garrison, Ortega-Ortiz, and Rappucci 2020)</w:t>
      </w:r>
      <w:r>
        <w:t xml:space="preserve"> </w:t>
      </w:r>
      <w:r>
        <w:t xml:space="preserve">from the same 2017 and 2018 surveys as the new density model</w:t>
      </w:r>
      <w:r>
        <w:t xml:space="preserve"> </w:t>
      </w:r>
      <w:r>
        <w:t xml:space="preserve">(Litz et al. 2022)</w:t>
      </w:r>
      <w:r>
        <w:t xml:space="preserve"> </w:t>
      </w:r>
      <w:r>
        <w:t xml:space="preserve">was derived.</w:t>
      </w:r>
    </w:p>
    <w:p>
      <w:pPr>
        <w:pStyle w:val="BodyText"/>
      </w:pPr>
      <w:r>
        <w:t xml:space="preserve">Compared to the original distribution (</w:t>
      </w:r>
      <w:hyperlink w:anchor="fig-map-whales-old">
        <w:r>
          <w:rPr>
            <w:rStyle w:val="Hyperlink"/>
          </w:rPr>
          <w:t xml:space="preserve">Figure 1</w:t>
        </w:r>
      </w:hyperlink>
      <w:r>
        <w:t xml:space="preserve">), the whales are now concentrated along the strip from 100 to 400 m extending into the Western Gulf of Mexico (</w:t>
      </w:r>
      <w:hyperlink w:anchor="fig-map-whales-new">
        <w:r>
          <w:rPr>
            <w:rStyle w:val="Hyperlink"/>
          </w:rPr>
          <w:t xml:space="preserve">Figure 2</w:t>
        </w:r>
      </w:hyperlink>
      <w:r>
        <w:t xml:space="preserve">).</w:t>
      </w:r>
    </w:p>
    <w:tbl>
      <w:tblPr>
        <w:tblStyle w:val="Table"/>
        <w:tblW w:type="pct" w:w="5000"/>
        <w:tblLook w:firstRow="0" w:lastRow="0" w:firstColumn="0" w:lastColumn="0" w:noHBand="0" w:noVBand="0" w:val="0000"/>
        <w:jc w:val="start"/>
      </w:tblPr>
      <w:tblGrid>
        <w:gridCol w:w="7920"/>
      </w:tblGrid>
      <w:tr>
        <w:tc>
          <w:tcPr/>
          <w:bookmarkStart w:id="25" w:name="fig-map-whales-old"/>
          <w:p>
            <w:pPr>
              <w:jc w:val="center"/>
            </w:pPr>
            <w:r>
              <w:drawing>
                <wp:inline>
                  <wp:extent cx="5334000" cy="4267200"/>
                  <wp:effectExtent b="0" l="0" r="0" t="0"/>
                  <wp:docPr descr="" title="" id="23" name="Picture"/>
                  <a:graphic>
                    <a:graphicData uri="http://schemas.openxmlformats.org/drawingml/2006/picture">
                      <pic:pic>
                        <pic:nvPicPr>
                          <pic:cNvPr descr="index_files/figure-docx/fig-map-whales-old-1.png" id="24"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previous whale densities</w:t>
            </w:r>
            <w:r>
              <w:t xml:space="preserve"> </w:t>
            </w:r>
            <w:r>
              <w:t xml:space="preserve">(Roberts et al. 2016)</w:t>
            </w:r>
            <w:r>
              <w:t xml:space="preserve"> </w:t>
            </w:r>
            <w:r>
              <w:t xml:space="preserve">as 100 km</w:t>
            </w:r>
            <w:r>
              <w:rPr>
                <w:vertAlign w:val="superscript"/>
              </w:rPr>
              <w:t xml:space="preserve">2</w:t>
            </w:r>
            <w:r>
              <w:t xml:space="preserve"> </w:t>
            </w:r>
            <w:r>
              <w:t xml:space="preserve">cells used by</w:t>
            </w:r>
            <w:r>
              <w:t xml:space="preserve"> </w:t>
            </w:r>
            <w:r>
              <w:t xml:space="preserve">(NMFS 2020)</w:t>
            </w:r>
            <w:r>
              <w:t xml:space="preserve"> </w:t>
            </w:r>
            <w:r>
              <w:t xml:space="preserve">showing the dominance in the northeastern corner of the Gulf of Mexico. The recommended Whale Area</w:t>
            </w:r>
            <w:r>
              <w:t xml:space="preserve"> </w:t>
            </w:r>
            <w:r>
              <w:t xml:space="preserve">(p. 292 of NMFS 2020)</w:t>
            </w:r>
            <w:r>
              <w:t xml:space="preserve"> </w:t>
            </w:r>
            <w:r>
              <w:t xml:space="preserve">is depicted by the pink outline polygon for vessel slowdown and nighttime avoidance. Depth contours are shown in dash blacked lines for 100 m (finer) and 400 m (thicker).</w:t>
            </w:r>
          </w:p>
          <w:bookmarkEnd w:id="25"/>
        </w:tc>
      </w:tr>
    </w:tbl>
    <w:p>
      <w:pPr>
        <w:pStyle w:val="BodyText"/>
      </w:pPr>
      <w:r>
        <w:t xml:space="preserve">The original Whale Area is described</w:t>
      </w:r>
      <w:r>
        <w:t xml:space="preserve"> </w:t>
      </w:r>
      <w:r>
        <w:t xml:space="preserve">(p. 292 of NMFS 2020)</w:t>
      </w:r>
      <w:r>
        <w:t xml:space="preserve"> </w:t>
      </w:r>
      <w:r>
        <w:t xml:space="preserve">as:</w:t>
      </w:r>
    </w:p>
    <w:p>
      <w:pPr>
        <w:pStyle w:val="BlockText"/>
      </w:pPr>
      <w:r>
        <w:t xml:space="preserve">This opinion defines the Bryde’s whale area to include the area from 100- to 400- meter isobaths from 87.5° W to 27.5° N as described in the status review (Rosel 2016) plus an additional 10 km around that area.</w:t>
      </w:r>
    </w:p>
    <w:tbl>
      <w:tblPr>
        <w:tblStyle w:val="Table"/>
        <w:tblW w:type="pct" w:w="5000"/>
        <w:tblLook w:firstRow="0" w:lastRow="0" w:firstColumn="0" w:lastColumn="0" w:noHBand="0" w:noVBand="0" w:val="0000"/>
        <w:jc w:val="start"/>
      </w:tblPr>
      <w:tblGrid>
        <w:gridCol w:w="7920"/>
      </w:tblGrid>
      <w:tr>
        <w:tc>
          <w:tcPr/>
          <w:bookmarkStart w:id="29" w:name="fig-map-whales-new"/>
          <w:p>
            <w:pPr>
              <w:jc w:val="center"/>
            </w:pPr>
            <w:r>
              <w:drawing>
                <wp:inline>
                  <wp:extent cx="5334000" cy="4267200"/>
                  <wp:effectExtent b="0" l="0" r="0" t="0"/>
                  <wp:docPr descr="" title="" id="27" name="Picture"/>
                  <a:graphic>
                    <a:graphicData uri="http://schemas.openxmlformats.org/drawingml/2006/picture">
                      <pic:pic>
                        <pic:nvPicPr>
                          <pic:cNvPr descr="index_files/figure-docx/fig-map-whales-new-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Map of new whale densities</w:t>
            </w:r>
            <w:r>
              <w:t xml:space="preserve"> </w:t>
            </w:r>
            <w:r>
              <w:t xml:space="preserve">(Litz et al. 2022)</w:t>
            </w:r>
            <w:r>
              <w:t xml:space="preserve"> </w:t>
            </w:r>
            <w:r>
              <w:t xml:space="preserve">as 100 km</w:t>
            </w:r>
            <w:r>
              <w:rPr>
                <w:vertAlign w:val="superscript"/>
              </w:rPr>
              <w:t xml:space="preserve">2</w:t>
            </w:r>
            <w:r>
              <w:t xml:space="preserve"> </w:t>
            </w:r>
            <w:r>
              <w:t xml:space="preserve">cells showing a distribution throughout the region. The newly recommended Whale Area is depicted by the red outline polygon for vessel slowdown and nighttime avoidance using similar logic as to</w:t>
            </w:r>
            <w:r>
              <w:t xml:space="preserve"> </w:t>
            </w:r>
            <w:r>
              <w:t xml:space="preserve">(NMFS 2020)</w:t>
            </w:r>
            <w:r>
              <w:t xml:space="preserve">. Depth contours are shown in dash blacked lines for 100 m (finer) and 400 m (thicker).</w:t>
            </w:r>
          </w:p>
          <w:bookmarkEnd w:id="29"/>
        </w:tc>
      </w:tr>
    </w:tbl>
    <w:p>
      <w:pPr>
        <w:pStyle w:val="BodyText"/>
      </w:pPr>
      <w:r>
        <w:t xml:space="preserve"> </w:t>
      </w:r>
    </w:p>
    <w:bookmarkStart w:id="30" w:name="tbl-whales-by-area"/>
    <w:p>
      <w:pPr>
        <w:pStyle w:val="TableCaption"/>
      </w:pPr>
      <w:r>
        <w:t xml:space="preserve">Table 1: Table of new whale densities</w:t>
      </w:r>
      <w:r>
        <w:t xml:space="preserve"> </w:t>
      </w:r>
      <w:r>
        <w:t xml:space="preserve">(Litz et al. 2022)</w:t>
      </w:r>
      <w:r>
        <w:t xml:space="preserve"> </w:t>
      </w:r>
      <w:r>
        <w:t xml:space="preserve">summarized by total study area (U.S. Gulf of Mexico), previous Whale Area</w:t>
      </w:r>
      <w:r>
        <w:t xml:space="preserve"> </w:t>
      </w:r>
      <w:r>
        <w:t xml:space="preserve">(NMFS 2020)</w:t>
      </w:r>
      <w:r>
        <w:t xml:space="preserve"> </w:t>
      </w:r>
      <w:r>
        <w:t xml:space="preserve">and newly proposed Whale Area.</w:t>
      </w:r>
    </w:p>
    <w:tbl>
      <w:tblPr>
        <w:tblStyle w:val="Table"/>
        <w:tblW w:type="pct" w:w="5000"/>
        <w:tblLook w:firstRow="1" w:lastRow="0" w:firstColumn="0" w:lastColumn="0" w:noHBand="0" w:noVBand="0" w:val="0020"/>
        <w:jc w:val="start"/>
        <w:tblCaption w:val="Table 1: Table of new whale densities (Litz et al. 2022) summarized by total study area (U.S. Gulf of Mexico), previous Whale Area (NMFS 2020) and newly proposed Whale Area."/>
      </w:tblPr>
      <w:tblGrid>
        <w:gridCol w:w="1552"/>
        <w:gridCol w:w="1941"/>
        <w:gridCol w:w="1941"/>
        <w:gridCol w:w="1242"/>
        <w:gridCol w:w="1242"/>
      </w:tblGrid>
      <w:tr>
        <w:trPr>
          <w:tblHeader w:val="true"/>
        </w:trPr>
        <w:tc>
          <w:tcPr/>
          <w:p>
            <w:pPr>
              <w:pStyle w:val="Compact"/>
              <w:jc w:val="right"/>
            </w:pPr>
            <w:r>
              <w:t xml:space="preserve"># Whales in Study (U.S. Gulf of Mexico)</w:t>
            </w:r>
          </w:p>
        </w:tc>
        <w:tc>
          <w:tcPr/>
          <w:p>
            <w:pPr>
              <w:pStyle w:val="Compact"/>
              <w:jc w:val="right"/>
            </w:pPr>
            <w:r>
              <w:t xml:space="preserve"># Whales in Original Mitigation Area (NMFS, 2020)</w:t>
            </w:r>
          </w:p>
        </w:tc>
        <w:tc>
          <w:tcPr/>
          <w:p>
            <w:pPr>
              <w:pStyle w:val="Compact"/>
              <w:jc w:val="left"/>
            </w:pPr>
            <w:r>
              <w:t xml:space="preserve">% Whales in Original Mitigation Area (NMFS, 2020)</w:t>
            </w:r>
          </w:p>
        </w:tc>
        <w:tc>
          <w:tcPr/>
          <w:p>
            <w:pPr>
              <w:pStyle w:val="Compact"/>
              <w:jc w:val="right"/>
            </w:pPr>
            <w:r>
              <w:t xml:space="preserve"># Whales in New Mitigation Area</w:t>
            </w:r>
          </w:p>
        </w:tc>
        <w:tc>
          <w:tcPr/>
          <w:p>
            <w:pPr>
              <w:pStyle w:val="Compact"/>
              <w:jc w:val="left"/>
            </w:pPr>
            <w:r>
              <w:t xml:space="preserve">% Whales in New Mitigation Area</w:t>
            </w:r>
          </w:p>
        </w:tc>
      </w:tr>
      <w:tr>
        <w:tc>
          <w:tcPr/>
          <w:p>
            <w:pPr>
              <w:pStyle w:val="Compact"/>
              <w:jc w:val="right"/>
            </w:pPr>
            <w:r>
              <w:t xml:space="preserve">51.3</w:t>
            </w:r>
          </w:p>
        </w:tc>
        <w:tc>
          <w:tcPr/>
          <w:p>
            <w:pPr>
              <w:pStyle w:val="Compact"/>
              <w:jc w:val="right"/>
            </w:pPr>
            <w:r>
              <w:t xml:space="preserve">26.6</w:t>
            </w:r>
          </w:p>
        </w:tc>
        <w:tc>
          <w:tcPr/>
          <w:p>
            <w:pPr>
              <w:pStyle w:val="Compact"/>
              <w:jc w:val="left"/>
            </w:pPr>
            <w:r>
              <w:t xml:space="preserve">52%</w:t>
            </w:r>
          </w:p>
        </w:tc>
        <w:tc>
          <w:tcPr/>
          <w:p>
            <w:pPr>
              <w:pStyle w:val="Compact"/>
              <w:jc w:val="right"/>
            </w:pPr>
            <w:r>
              <w:t xml:space="preserve">48.5</w:t>
            </w:r>
          </w:p>
        </w:tc>
        <w:tc>
          <w:tcPr/>
          <w:p>
            <w:pPr>
              <w:pStyle w:val="Compact"/>
              <w:jc w:val="left"/>
            </w:pPr>
            <w:r>
              <w:t xml:space="preserve">94%</w:t>
            </w:r>
          </w:p>
        </w:tc>
      </w:tr>
    </w:tbl>
    <w:bookmarkEnd w:id="30"/>
    <w:bookmarkEnd w:id="31"/>
    <w:bookmarkStart w:id="48" w:name="vessel-traffic"/>
    <w:p>
      <w:pPr>
        <w:pStyle w:val="Heading2"/>
      </w:pPr>
      <w:r>
        <w:t xml:space="preserve">3 Vessel Traffic</w:t>
      </w:r>
    </w:p>
    <w:tbl>
      <w:tblPr>
        <w:tblStyle w:val="Table"/>
        <w:tblW w:type="pct" w:w="5000"/>
        <w:tblLook w:firstRow="0" w:lastRow="0" w:firstColumn="0" w:lastColumn="0" w:noHBand="0" w:noVBand="0" w:val="0000"/>
        <w:jc w:val="start"/>
      </w:tblPr>
      <w:tblGrid>
        <w:gridCol w:w="7920"/>
      </w:tblGrid>
      <w:tr>
        <w:tc>
          <w:tcPr/>
          <w:bookmarkStart w:id="35" w:name="fig-ships-avg-all-gt01"/>
          <w:p>
            <w:pPr>
              <w:jc w:val="center"/>
            </w:pPr>
            <w:r>
              <w:drawing>
                <wp:inline>
                  <wp:extent cx="5334000" cy="4267200"/>
                  <wp:effectExtent b="0" l="0" r="0" t="0"/>
                  <wp:docPr descr="" title="" id="33" name="Picture"/>
                  <a:graphic>
                    <a:graphicData uri="http://schemas.openxmlformats.org/drawingml/2006/picture">
                      <pic:pic>
                        <pic:nvPicPr>
                          <pic:cNvPr descr="index_files/figure-docx/fig-ships-avg-all-gt01-1.png" id="34"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Map of annual average traffic (km) for all vessel types at all speeds from AIS data (2014 to 2018).</w:t>
            </w:r>
          </w:p>
          <w:bookmarkEnd w:id="3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39" w:name="fig-ships-avg-boem-gt01"/>
          <w:p>
            <w:pPr>
              <w:jc w:val="center"/>
            </w:pPr>
            <w:r>
              <w:drawing>
                <wp:inline>
                  <wp:extent cx="5334000" cy="4267200"/>
                  <wp:effectExtent b="0" l="0" r="0" t="0"/>
                  <wp:docPr descr="" title="" id="37" name="Picture"/>
                  <a:graphic>
                    <a:graphicData uri="http://schemas.openxmlformats.org/drawingml/2006/picture">
                      <pic:pic>
                        <pic:nvPicPr>
                          <pic:cNvPr descr="index_files/figure-docx/fig-ships-avg-boem-gt01-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Map of annual average traffic (km) for oil and gas vessels at all speeds from AIS data (2014 to 2018).</w:t>
            </w:r>
          </w:p>
          <w:bookmarkEnd w:id="39"/>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43" w:name="fig-ships-avg-all-gt10"/>
          <w:p>
            <w:pPr>
              <w:jc w:val="center"/>
            </w:pPr>
            <w:r>
              <w:drawing>
                <wp:inline>
                  <wp:extent cx="5334000" cy="4267200"/>
                  <wp:effectExtent b="0" l="0" r="0" t="0"/>
                  <wp:docPr descr="" title="" id="41" name="Picture"/>
                  <a:graphic>
                    <a:graphicData uri="http://schemas.openxmlformats.org/drawingml/2006/picture">
                      <pic:pic>
                        <pic:nvPicPr>
                          <pic:cNvPr descr="index_files/figure-docx/fig-ships-avg-all-gt10-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Map of annual average traffic (km) for all vessel types &gt; 10 knots from AIS data (2014 to 2018).</w:t>
            </w:r>
          </w:p>
          <w:bookmarkEnd w:id="43"/>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47" w:name="fig-ships-avg-boem-gt10"/>
          <w:p>
            <w:pPr>
              <w:jc w:val="center"/>
            </w:pPr>
            <w:r>
              <w:drawing>
                <wp:inline>
                  <wp:extent cx="5334000" cy="4267200"/>
                  <wp:effectExtent b="0" l="0" r="0" t="0"/>
                  <wp:docPr descr="" title="" id="45" name="Picture"/>
                  <a:graphic>
                    <a:graphicData uri="http://schemas.openxmlformats.org/drawingml/2006/picture">
                      <pic:pic>
                        <pic:nvPicPr>
                          <pic:cNvPr descr="index_files/figure-docx/fig-ships-avg-boem-gt10-1.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Map of annual average traffic (km) for oil and gas vessels &gt; 10 knots from AIS data (2014 to 2018).</w:t>
            </w:r>
          </w:p>
          <w:bookmarkEnd w:id="47"/>
        </w:tc>
      </w:tr>
    </w:tbl>
    <w:bookmarkEnd w:id="48"/>
    <w:bookmarkStart w:id="60" w:name="vessel-risk-to-whales"/>
    <w:p>
      <w:pPr>
        <w:pStyle w:val="Heading2"/>
      </w:pPr>
      <w:r>
        <w:t xml:space="preserve">4 Vessel Risk to Whales</w:t>
      </w:r>
    </w:p>
    <w:tbl>
      <w:tblPr>
        <w:tblStyle w:val="Table"/>
        <w:tblW w:type="pct" w:w="5000"/>
        <w:tblLook w:firstRow="0" w:lastRow="0" w:firstColumn="0" w:lastColumn="0" w:noHBand="0" w:noVBand="0" w:val="0000"/>
        <w:jc w:val="start"/>
      </w:tblPr>
      <w:tblGrid>
        <w:gridCol w:w="7920"/>
      </w:tblGrid>
      <w:tr>
        <w:tc>
          <w:tcPr/>
          <w:bookmarkStart w:id="52" w:name="fig-risk-avg-all-gt01"/>
          <w:p>
            <w:pPr>
              <w:jc w:val="center"/>
            </w:pPr>
            <w:r>
              <w:drawing>
                <wp:inline>
                  <wp:extent cx="5334000" cy="4267200"/>
                  <wp:effectExtent b="0" l="0" r="0" t="0"/>
                  <wp:docPr descr="" title="" id="50" name="Picture"/>
                  <a:graphic>
                    <a:graphicData uri="http://schemas.openxmlformats.org/drawingml/2006/picture">
                      <pic:pic>
                        <pic:nvPicPr>
                          <pic:cNvPr descr="index_files/figure-docx/fig-risk-avg-all-gt01-1.png" id="51"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Map of risk (# whales * km vessel traffic) for all vessels at all speeds.</w:t>
            </w:r>
          </w:p>
          <w:bookmarkEnd w:id="52"/>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56" w:name="fig-risk-avg-boem-gt10"/>
          <w:p>
            <w:pPr>
              <w:jc w:val="center"/>
            </w:pPr>
            <w:r>
              <w:drawing>
                <wp:inline>
                  <wp:extent cx="5334000" cy="4267200"/>
                  <wp:effectExtent b="0" l="0" r="0" t="0"/>
                  <wp:docPr descr="" title="" id="54" name="Picture"/>
                  <a:graphic>
                    <a:graphicData uri="http://schemas.openxmlformats.org/drawingml/2006/picture">
                      <pic:pic>
                        <pic:nvPicPr>
                          <pic:cNvPr descr="index_files/figure-docx/fig-risk-avg-boem-gt10-1.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Map of risk (# whales * km vessel traffic) for oil and gas vessels &gt; 10 knots.</w:t>
            </w:r>
          </w:p>
          <w:bookmarkEnd w:id="56"/>
        </w:tc>
      </w:tr>
    </w:tbl>
    <w:p>
      <w:pPr>
        <w:pStyle w:val="BodyText"/>
      </w:pPr>
      <w:r>
        <w:t xml:space="preserve">The overall vessel strike risk to Rice’s whale is presented in</w:t>
      </w:r>
      <w:r>
        <w:t xml:space="preserve"> </w:t>
      </w:r>
      <w:hyperlink w:anchor="tbl-risk-overview">
        <w:r>
          <w:rPr>
            <w:rStyle w:val="Hyperlink"/>
          </w:rPr>
          <w:t xml:space="preserve">Table 2</w:t>
        </w:r>
      </w:hyperlink>
      <w:r>
        <w:t xml:space="preserve"> </w:t>
      </w:r>
      <w:r>
        <w:t xml:space="preserve">[similar to Table 49</w:t>
      </w:r>
      <w:r>
        <w:t xml:space="preserve"> </w:t>
      </w:r>
      <w:r>
        <w:t xml:space="preserve">(NMFS 2020)</w:t>
      </w:r>
      <w:r>
        <w:t xml:space="preserve">].</w:t>
      </w:r>
    </w:p>
    <w:bookmarkStart w:id="57" w:name="tbl-risk-overview"/>
    <w:p>
      <w:pPr>
        <w:pStyle w:val="TableCaption"/>
      </w:pPr>
      <w:r>
        <w:t xml:space="preserve">Table 2: Vessel strike risk (# whales * km vessel traffic) to Rice’s whales for oil and gas vessels compared with all vessels.</w:t>
      </w:r>
    </w:p>
    <w:tbl>
      <w:tblPr>
        <w:tblStyle w:val="Table"/>
        <w:tblW w:type="pct" w:w="5000"/>
        <w:tblLook w:firstRow="1" w:lastRow="0" w:firstColumn="0" w:lastColumn="0" w:noHBand="0" w:noVBand="0" w:val="0020"/>
        <w:jc w:val="start"/>
        <w:tblCaption w:val="Table 2: Vessel strike risk (# whales * km vessel traffic) to Rice’s whales for oil and gas vessels compared with all vessels."/>
      </w:tblPr>
      <w:tblGrid>
        <w:gridCol w:w="101"/>
        <w:gridCol w:w="1079"/>
        <w:gridCol w:w="1241"/>
        <w:gridCol w:w="1588"/>
        <w:gridCol w:w="1079"/>
        <w:gridCol w:w="1241"/>
        <w:gridCol w:w="1588"/>
      </w:tblGrid>
      <w:tr>
        <w:trPr>
          <w:tblHeader w:val="true"/>
        </w:trPr>
        <w:tc>
          <w:tcPr/>
          <w:p>
            <w:pPr>
              <w:pStyle w:val="Compact"/>
              <w:jc w:val="right"/>
            </w:pPr>
            <w:r>
              <w:t xml:space="preserve">Year</w:t>
            </w:r>
          </w:p>
        </w:tc>
        <w:tc>
          <w:tcPr/>
          <w:p>
            <w:pPr>
              <w:pStyle w:val="Compact"/>
              <w:jc w:val="left"/>
            </w:pPr>
            <w:r>
              <w:t xml:space="preserve">Vessel Strike Risk for All Vessel Traffic All Speeds</w:t>
            </w:r>
          </w:p>
        </w:tc>
        <w:tc>
          <w:tcPr/>
          <w:p>
            <w:pPr>
              <w:pStyle w:val="Compact"/>
              <w:jc w:val="left"/>
            </w:pPr>
            <w:r>
              <w:t xml:space="preserve">Vessel Strike Risk for Oil and Gas Vessel Traffic All Speeds</w:t>
            </w:r>
          </w:p>
        </w:tc>
        <w:tc>
          <w:tcPr/>
          <w:p>
            <w:pPr>
              <w:pStyle w:val="Compact"/>
              <w:jc w:val="left"/>
            </w:pPr>
            <w:r>
              <w:t xml:space="preserve">Proportion of Vessel Strike Risk due to Oil and Gas Vessel Traffic All Speeds</w:t>
            </w:r>
          </w:p>
        </w:tc>
        <w:tc>
          <w:tcPr/>
          <w:p>
            <w:pPr>
              <w:pStyle w:val="Compact"/>
              <w:jc w:val="left"/>
            </w:pPr>
            <w:r>
              <w:t xml:space="preserve">Vessel Strike Risk for All Vessel Traffic &gt; 10 knots</w:t>
            </w:r>
          </w:p>
        </w:tc>
        <w:tc>
          <w:tcPr/>
          <w:p>
            <w:pPr>
              <w:pStyle w:val="Compact"/>
              <w:jc w:val="left"/>
            </w:pPr>
            <w:r>
              <w:t xml:space="preserve">Vessel Strike Risk for Oil and Gas Vessel Traffic &gt; 10 knots</w:t>
            </w:r>
          </w:p>
        </w:tc>
        <w:tc>
          <w:tcPr/>
          <w:p>
            <w:pPr>
              <w:pStyle w:val="Compact"/>
              <w:jc w:val="left"/>
            </w:pPr>
            <w:r>
              <w:t xml:space="preserve">Proportion of Vessel Strike Risk due to Oil and Gas Vessel Traffic &gt; 10 knots</w:t>
            </w:r>
          </w:p>
        </w:tc>
      </w:tr>
      <w:tr>
        <w:tc>
          <w:tcPr/>
          <w:p>
            <w:pPr>
              <w:pStyle w:val="Compact"/>
              <w:jc w:val="right"/>
            </w:pPr>
            <w:r>
              <w:t xml:space="preserve">2015</w:t>
            </w:r>
          </w:p>
        </w:tc>
        <w:tc>
          <w:tcPr/>
          <w:p>
            <w:pPr>
              <w:pStyle w:val="Compact"/>
              <w:jc w:val="left"/>
            </w:pPr>
            <w:r>
              <w:t xml:space="preserve">198,493</w:t>
            </w:r>
          </w:p>
        </w:tc>
        <w:tc>
          <w:tcPr/>
          <w:p>
            <w:pPr>
              <w:pStyle w:val="Compact"/>
              <w:jc w:val="left"/>
            </w:pPr>
            <w:r>
              <w:t xml:space="preserve">82,152</w:t>
            </w:r>
          </w:p>
        </w:tc>
        <w:tc>
          <w:tcPr/>
          <w:p>
            <w:pPr>
              <w:pStyle w:val="Compact"/>
              <w:jc w:val="left"/>
            </w:pPr>
            <w:r>
              <w:t xml:space="preserve">41%</w:t>
            </w:r>
          </w:p>
        </w:tc>
        <w:tc>
          <w:tcPr/>
          <w:p>
            <w:pPr>
              <w:pStyle w:val="Compact"/>
              <w:jc w:val="left"/>
            </w:pPr>
            <w:r>
              <w:t xml:space="preserve">153,113</w:t>
            </w:r>
          </w:p>
        </w:tc>
        <w:tc>
          <w:tcPr/>
          <w:p>
            <w:pPr>
              <w:pStyle w:val="Compact"/>
              <w:jc w:val="left"/>
            </w:pPr>
            <w:r>
              <w:t xml:space="preserve">49,497</w:t>
            </w:r>
          </w:p>
        </w:tc>
        <w:tc>
          <w:tcPr/>
          <w:p>
            <w:pPr>
              <w:pStyle w:val="Compact"/>
              <w:jc w:val="left"/>
            </w:pPr>
            <w:r>
              <w:t xml:space="preserve">32%</w:t>
            </w:r>
          </w:p>
        </w:tc>
      </w:tr>
      <w:tr>
        <w:tc>
          <w:tcPr/>
          <w:p>
            <w:pPr>
              <w:pStyle w:val="Compact"/>
              <w:jc w:val="right"/>
            </w:pPr>
            <w:r>
              <w:t xml:space="preserve">2016</w:t>
            </w:r>
          </w:p>
        </w:tc>
        <w:tc>
          <w:tcPr/>
          <w:p>
            <w:pPr>
              <w:pStyle w:val="Compact"/>
              <w:jc w:val="left"/>
            </w:pPr>
            <w:r>
              <w:t xml:space="preserve">182,405</w:t>
            </w:r>
          </w:p>
        </w:tc>
        <w:tc>
          <w:tcPr/>
          <w:p>
            <w:pPr>
              <w:pStyle w:val="Compact"/>
              <w:jc w:val="left"/>
            </w:pPr>
            <w:r>
              <w:t xml:space="preserve">71,147</w:t>
            </w:r>
          </w:p>
        </w:tc>
        <w:tc>
          <w:tcPr/>
          <w:p>
            <w:pPr>
              <w:pStyle w:val="Compact"/>
              <w:jc w:val="left"/>
            </w:pPr>
            <w:r>
              <w:t xml:space="preserve">39%</w:t>
            </w:r>
          </w:p>
        </w:tc>
        <w:tc>
          <w:tcPr/>
          <w:p>
            <w:pPr>
              <w:pStyle w:val="Compact"/>
              <w:jc w:val="left"/>
            </w:pPr>
            <w:r>
              <w:t xml:space="preserve">145,110</w:t>
            </w:r>
          </w:p>
        </w:tc>
        <w:tc>
          <w:tcPr/>
          <w:p>
            <w:pPr>
              <w:pStyle w:val="Compact"/>
              <w:jc w:val="left"/>
            </w:pPr>
            <w:r>
              <w:t xml:space="preserve">46,004</w:t>
            </w:r>
          </w:p>
        </w:tc>
        <w:tc>
          <w:tcPr/>
          <w:p>
            <w:pPr>
              <w:pStyle w:val="Compact"/>
              <w:jc w:val="left"/>
            </w:pPr>
            <w:r>
              <w:t xml:space="preserve">32%</w:t>
            </w:r>
          </w:p>
        </w:tc>
      </w:tr>
      <w:tr>
        <w:tc>
          <w:tcPr/>
          <w:p>
            <w:pPr>
              <w:pStyle w:val="Compact"/>
              <w:jc w:val="right"/>
            </w:pPr>
            <w:r>
              <w:t xml:space="preserve">2017</w:t>
            </w:r>
          </w:p>
        </w:tc>
        <w:tc>
          <w:tcPr/>
          <w:p>
            <w:pPr>
              <w:pStyle w:val="Compact"/>
              <w:jc w:val="left"/>
            </w:pPr>
            <w:r>
              <w:t xml:space="preserve">184,357</w:t>
            </w:r>
          </w:p>
        </w:tc>
        <w:tc>
          <w:tcPr/>
          <w:p>
            <w:pPr>
              <w:pStyle w:val="Compact"/>
              <w:jc w:val="left"/>
            </w:pPr>
            <w:r>
              <w:t xml:space="preserve">72,381</w:t>
            </w:r>
          </w:p>
        </w:tc>
        <w:tc>
          <w:tcPr/>
          <w:p>
            <w:pPr>
              <w:pStyle w:val="Compact"/>
              <w:jc w:val="left"/>
            </w:pPr>
            <w:r>
              <w:t xml:space="preserve">39%</w:t>
            </w:r>
          </w:p>
        </w:tc>
        <w:tc>
          <w:tcPr/>
          <w:p>
            <w:pPr>
              <w:pStyle w:val="Compact"/>
              <w:jc w:val="left"/>
            </w:pPr>
            <w:r>
              <w:t xml:space="preserve">146,428</w:t>
            </w:r>
          </w:p>
        </w:tc>
        <w:tc>
          <w:tcPr/>
          <w:p>
            <w:pPr>
              <w:pStyle w:val="Compact"/>
              <w:jc w:val="left"/>
            </w:pPr>
            <w:r>
              <w:t xml:space="preserve">46,836</w:t>
            </w:r>
          </w:p>
        </w:tc>
        <w:tc>
          <w:tcPr/>
          <w:p>
            <w:pPr>
              <w:pStyle w:val="Compact"/>
              <w:jc w:val="left"/>
            </w:pPr>
            <w:r>
              <w:t xml:space="preserve">32%</w:t>
            </w:r>
          </w:p>
        </w:tc>
      </w:tr>
      <w:tr>
        <w:tc>
          <w:tcPr/>
          <w:p>
            <w:pPr>
              <w:pStyle w:val="Compact"/>
              <w:jc w:val="right"/>
            </w:pPr>
            <w:r>
              <w:t xml:space="preserve">2018</w:t>
            </w:r>
          </w:p>
        </w:tc>
        <w:tc>
          <w:tcPr/>
          <w:p>
            <w:pPr>
              <w:pStyle w:val="Compact"/>
              <w:jc w:val="left"/>
            </w:pPr>
            <w:r>
              <w:t xml:space="preserve">214,477</w:t>
            </w:r>
          </w:p>
        </w:tc>
        <w:tc>
          <w:tcPr/>
          <w:p>
            <w:pPr>
              <w:pStyle w:val="Compact"/>
              <w:jc w:val="left"/>
            </w:pPr>
            <w:r>
              <w:t xml:space="preserve">82,665</w:t>
            </w:r>
          </w:p>
        </w:tc>
        <w:tc>
          <w:tcPr/>
          <w:p>
            <w:pPr>
              <w:pStyle w:val="Compact"/>
              <w:jc w:val="left"/>
            </w:pPr>
            <w:r>
              <w:t xml:space="preserve">39%</w:t>
            </w:r>
          </w:p>
        </w:tc>
        <w:tc>
          <w:tcPr/>
          <w:p>
            <w:pPr>
              <w:pStyle w:val="Compact"/>
              <w:jc w:val="left"/>
            </w:pPr>
            <w:r>
              <w:t xml:space="preserve">170,509</w:t>
            </w:r>
          </w:p>
        </w:tc>
        <w:tc>
          <w:tcPr/>
          <w:p>
            <w:pPr>
              <w:pStyle w:val="Compact"/>
              <w:jc w:val="left"/>
            </w:pPr>
            <w:r>
              <w:t xml:space="preserve">53,893</w:t>
            </w:r>
          </w:p>
        </w:tc>
        <w:tc>
          <w:tcPr/>
          <w:p>
            <w:pPr>
              <w:pStyle w:val="Compact"/>
              <w:jc w:val="left"/>
            </w:pPr>
            <w:r>
              <w:t xml:space="preserve">32%</w:t>
            </w:r>
          </w:p>
        </w:tc>
      </w:tr>
    </w:tbl>
    <w:bookmarkEnd w:id="57"/>
    <w:p>
      <w:pPr>
        <w:pStyle w:val="BodyText"/>
      </w:pPr>
      <w:r>
        <w:t xml:space="preserve"> </w:t>
      </w:r>
    </w:p>
    <w:bookmarkStart w:id="58" w:name="tbl-risk-gt10-reduction-by-areas"/>
    <w:p>
      <w:pPr>
        <w:pStyle w:val="TableCaption"/>
      </w:pPr>
      <w:r>
        <w:t xml:space="preserve">Table 3: Reduction of vessel strike risk over 10 knots (# whales * km vessel traffic) to Rice’s whales with enforcement of proposed mitigation areas for oil and gas vessels.</w:t>
      </w:r>
    </w:p>
    <w:tbl>
      <w:tblPr>
        <w:tblStyle w:val="Table"/>
        <w:tblW w:type="pct" w:w="5000"/>
        <w:tblLook w:firstRow="1" w:lastRow="0" w:firstColumn="0" w:lastColumn="0" w:noHBand="0" w:noVBand="0" w:val="0020"/>
        <w:jc w:val="start"/>
        <w:tblCaption w:val="Table 3: Reduction of vessel strike risk over 10 knots (# whales * km vessel traffic) to Rice’s whales with enforcement of proposed mitigation areas for oil and gas vessels."/>
      </w:tblPr>
      <w:tblGrid>
        <w:gridCol w:w="79"/>
        <w:gridCol w:w="1832"/>
        <w:gridCol w:w="2262"/>
        <w:gridCol w:w="1752"/>
        <w:gridCol w:w="1991"/>
      </w:tblGrid>
      <w:tr>
        <w:trPr>
          <w:tblHeader w:val="true"/>
        </w:trPr>
        <w:tc>
          <w:tcPr/>
          <w:p>
            <w:pPr>
              <w:pStyle w:val="Compact"/>
              <w:jc w:val="right"/>
            </w:pPr>
            <w:r>
              <w:t xml:space="preserve">Year</w:t>
            </w:r>
          </w:p>
        </w:tc>
        <w:tc>
          <w:tcPr/>
          <w:p>
            <w:pPr>
              <w:pStyle w:val="Compact"/>
              <w:jc w:val="left"/>
            </w:pPr>
            <w:r>
              <w:t xml:space="preserve">Vessel Strike Risk for Oil and Gas Vessel Traffic &gt; 10 knots within the Original Whale Area (NMFS, 2020; Figure 1)</w:t>
            </w:r>
          </w:p>
        </w:tc>
        <w:tc>
          <w:tcPr/>
          <w:p>
            <w:pPr>
              <w:pStyle w:val="Compact"/>
              <w:jc w:val="left"/>
            </w:pPr>
            <w:r>
              <w:t xml:space="preserve">Proportion of Risk Reduction to All Vessel Traffic through Enforcement on Oil &amp; Gas Vessels of the Original Whale Area (NMFS, 2020; Figure 1)</w:t>
            </w:r>
          </w:p>
        </w:tc>
        <w:tc>
          <w:tcPr/>
          <w:p>
            <w:pPr>
              <w:pStyle w:val="Compact"/>
              <w:jc w:val="left"/>
            </w:pPr>
            <w:r>
              <w:t xml:space="preserve">Vessel Strike Risk for Oil and Gas Vessel Traffic &gt; 10 knots within the New Whale Area (NMFS, 2020; Figure 2)</w:t>
            </w:r>
          </w:p>
        </w:tc>
        <w:tc>
          <w:tcPr/>
          <w:p>
            <w:pPr>
              <w:pStyle w:val="Compact"/>
              <w:jc w:val="left"/>
            </w:pPr>
            <w:r>
              <w:t xml:space="preserve">Proportion of Risk Reduction to All Vessel Traffic through Enforcement on Oil &amp; Gas Vessels of the New Whale Area (Figure 2)</w:t>
            </w:r>
          </w:p>
        </w:tc>
      </w:tr>
      <w:tr>
        <w:tc>
          <w:tcPr/>
          <w:p>
            <w:pPr>
              <w:pStyle w:val="Compact"/>
              <w:jc w:val="right"/>
            </w:pPr>
            <w:r>
              <w:t xml:space="preserve">2015</w:t>
            </w:r>
          </w:p>
        </w:tc>
        <w:tc>
          <w:tcPr/>
          <w:p>
            <w:pPr>
              <w:pStyle w:val="Compact"/>
              <w:jc w:val="left"/>
            </w:pPr>
            <w:r>
              <w:t xml:space="preserve">949</w:t>
            </w:r>
          </w:p>
        </w:tc>
        <w:tc>
          <w:tcPr/>
          <w:p>
            <w:pPr>
              <w:pStyle w:val="Compact"/>
              <w:jc w:val="left"/>
            </w:pPr>
            <w:r>
              <w:t xml:space="preserve">1%</w:t>
            </w:r>
          </w:p>
        </w:tc>
        <w:tc>
          <w:tcPr/>
          <w:p>
            <w:pPr>
              <w:pStyle w:val="Compact"/>
              <w:jc w:val="left"/>
            </w:pPr>
            <w:r>
              <w:t xml:space="preserve">21,089</w:t>
            </w:r>
          </w:p>
        </w:tc>
        <w:tc>
          <w:tcPr/>
          <w:p>
            <w:pPr>
              <w:pStyle w:val="Compact"/>
              <w:jc w:val="left"/>
            </w:pPr>
            <w:r>
              <w:t xml:space="preserve">29%</w:t>
            </w:r>
          </w:p>
        </w:tc>
      </w:tr>
      <w:tr>
        <w:tc>
          <w:tcPr/>
          <w:p>
            <w:pPr>
              <w:pStyle w:val="Compact"/>
              <w:jc w:val="right"/>
            </w:pPr>
            <w:r>
              <w:t xml:space="preserve">2016</w:t>
            </w:r>
          </w:p>
        </w:tc>
        <w:tc>
          <w:tcPr/>
          <w:p>
            <w:pPr>
              <w:pStyle w:val="Compact"/>
              <w:jc w:val="left"/>
            </w:pPr>
            <w:r>
              <w:t xml:space="preserve">659</w:t>
            </w:r>
          </w:p>
        </w:tc>
        <w:tc>
          <w:tcPr/>
          <w:p>
            <w:pPr>
              <w:pStyle w:val="Compact"/>
              <w:jc w:val="left"/>
            </w:pPr>
            <w:r>
              <w:t xml:space="preserve">1%</w:t>
            </w:r>
          </w:p>
        </w:tc>
        <w:tc>
          <w:tcPr/>
          <w:p>
            <w:pPr>
              <w:pStyle w:val="Compact"/>
              <w:jc w:val="left"/>
            </w:pPr>
            <w:r>
              <w:t xml:space="preserve">19,655</w:t>
            </w:r>
          </w:p>
        </w:tc>
        <w:tc>
          <w:tcPr/>
          <w:p>
            <w:pPr>
              <w:pStyle w:val="Compact"/>
              <w:jc w:val="left"/>
            </w:pPr>
            <w:r>
              <w:t xml:space="preserve">29%</w:t>
            </w:r>
          </w:p>
        </w:tc>
      </w:tr>
      <w:tr>
        <w:tc>
          <w:tcPr/>
          <w:p>
            <w:pPr>
              <w:pStyle w:val="Compact"/>
              <w:jc w:val="right"/>
            </w:pPr>
            <w:r>
              <w:t xml:space="preserve">2017</w:t>
            </w:r>
          </w:p>
        </w:tc>
        <w:tc>
          <w:tcPr/>
          <w:p>
            <w:pPr>
              <w:pStyle w:val="Compact"/>
              <w:jc w:val="left"/>
            </w:pPr>
            <w:r>
              <w:t xml:space="preserve">721</w:t>
            </w:r>
          </w:p>
        </w:tc>
        <w:tc>
          <w:tcPr/>
          <w:p>
            <w:pPr>
              <w:pStyle w:val="Compact"/>
              <w:jc w:val="left"/>
            </w:pPr>
            <w:r>
              <w:t xml:space="preserve">1%</w:t>
            </w:r>
          </w:p>
        </w:tc>
        <w:tc>
          <w:tcPr/>
          <w:p>
            <w:pPr>
              <w:pStyle w:val="Compact"/>
              <w:jc w:val="left"/>
            </w:pPr>
            <w:r>
              <w:t xml:space="preserve">20,145</w:t>
            </w:r>
          </w:p>
        </w:tc>
        <w:tc>
          <w:tcPr/>
          <w:p>
            <w:pPr>
              <w:pStyle w:val="Compact"/>
              <w:jc w:val="left"/>
            </w:pPr>
            <w:r>
              <w:t xml:space="preserve">29%</w:t>
            </w:r>
          </w:p>
        </w:tc>
      </w:tr>
      <w:tr>
        <w:tc>
          <w:tcPr/>
          <w:p>
            <w:pPr>
              <w:pStyle w:val="Compact"/>
              <w:jc w:val="right"/>
            </w:pPr>
            <w:r>
              <w:t xml:space="preserve">2018</w:t>
            </w:r>
          </w:p>
        </w:tc>
        <w:tc>
          <w:tcPr/>
          <w:p>
            <w:pPr>
              <w:pStyle w:val="Compact"/>
              <w:jc w:val="left"/>
            </w:pPr>
            <w:r>
              <w:t xml:space="preserve">450</w:t>
            </w:r>
          </w:p>
        </w:tc>
        <w:tc>
          <w:tcPr/>
          <w:p>
            <w:pPr>
              <w:pStyle w:val="Compact"/>
              <w:jc w:val="left"/>
            </w:pPr>
            <w:r>
              <w:t xml:space="preserve">1%</w:t>
            </w:r>
          </w:p>
        </w:tc>
        <w:tc>
          <w:tcPr/>
          <w:p>
            <w:pPr>
              <w:pStyle w:val="Compact"/>
              <w:jc w:val="left"/>
            </w:pPr>
            <w:r>
              <w:t xml:space="preserve">23,116</w:t>
            </w:r>
          </w:p>
        </w:tc>
        <w:tc>
          <w:tcPr/>
          <w:p>
            <w:pPr>
              <w:pStyle w:val="Compact"/>
              <w:jc w:val="left"/>
            </w:pPr>
            <w:r>
              <w:t xml:space="preserve">29%</w:t>
            </w:r>
          </w:p>
        </w:tc>
      </w:tr>
    </w:tbl>
    <w:bookmarkEnd w:id="58"/>
    <w:p>
      <w:pPr>
        <w:pStyle w:val="BodyText"/>
      </w:pPr>
      <w:r>
        <w:t xml:space="preserve"> </w:t>
      </w:r>
    </w:p>
    <w:bookmarkStart w:id="59" w:name="tbl-risk-gt01-reduction-by-areas"/>
    <w:p>
      <w:pPr>
        <w:pStyle w:val="TableCaption"/>
      </w:pPr>
      <w:r>
        <w:t xml:space="preserve">Table 4: Reduction of vessel strike risk at all speeds (# whales * km vessel traffic) to Rice’s whales with enforcement of proposed mitigation areas for oil and gas vessels.</w:t>
      </w:r>
    </w:p>
    <w:tbl>
      <w:tblPr>
        <w:tblStyle w:val="Table"/>
        <w:tblW w:type="pct" w:w="5000"/>
        <w:tblLook w:firstRow="1" w:lastRow="0" w:firstColumn="0" w:lastColumn="0" w:noHBand="0" w:noVBand="0" w:val="0020"/>
        <w:jc w:val="start"/>
        <w:tblCaption w:val="Table 4: Reduction of vessel strike risk at all speeds (# whales * km vessel traffic) to Rice’s whales with enforcement of proposed mitigation areas for oil and gas vessels."/>
      </w:tblPr>
      <w:tblGrid>
        <w:gridCol w:w="78"/>
        <w:gridCol w:w="1857"/>
        <w:gridCol w:w="2235"/>
        <w:gridCol w:w="1590"/>
        <w:gridCol w:w="2157"/>
      </w:tblGrid>
      <w:tr>
        <w:trPr>
          <w:tblHeader w:val="true"/>
        </w:trPr>
        <w:tc>
          <w:tcPr/>
          <w:p>
            <w:pPr>
              <w:pStyle w:val="Compact"/>
              <w:jc w:val="right"/>
            </w:pPr>
            <w:r>
              <w:t xml:space="preserve">Year</w:t>
            </w:r>
          </w:p>
        </w:tc>
        <w:tc>
          <w:tcPr/>
          <w:p>
            <w:pPr>
              <w:pStyle w:val="Compact"/>
              <w:jc w:val="left"/>
            </w:pPr>
            <w:r>
              <w:t xml:space="preserve">Vessel Strike Risk for Oil and Gas Vessel Traffic at all speeds within the Original Whale Area (NMFS, 2020; Figure 1)</w:t>
            </w:r>
          </w:p>
        </w:tc>
        <w:tc>
          <w:tcPr/>
          <w:p>
            <w:pPr>
              <w:pStyle w:val="Compact"/>
              <w:jc w:val="left"/>
            </w:pPr>
            <w:r>
              <w:t xml:space="preserve">Proportion of Risk Reduction to All Vessel Traffic through Enforcement on Oil &amp; Gas Vessels of the Original Whale Area (NMFS, 2020; Figure 1)</w:t>
            </w:r>
          </w:p>
        </w:tc>
        <w:tc>
          <w:tcPr/>
          <w:p>
            <w:pPr>
              <w:pStyle w:val="Compact"/>
              <w:jc w:val="left"/>
            </w:pPr>
            <w:r>
              <w:t xml:space="preserve">Vessel Strike Risk for Oil and Gas Vessel Traffic at all speeds within the New Whale Area (Figure 2)</w:t>
            </w:r>
          </w:p>
        </w:tc>
        <w:tc>
          <w:tcPr/>
          <w:p>
            <w:pPr>
              <w:pStyle w:val="Compact"/>
              <w:jc w:val="left"/>
            </w:pPr>
            <w:r>
              <w:t xml:space="preserve">Proportion of Risk Reduction to All Vessel Traffic through Enforcement on Oil &amp; Gas Vessels of the New Whale Area (NMFS, 2020; Figure 2)</w:t>
            </w:r>
          </w:p>
        </w:tc>
      </w:tr>
      <w:tr>
        <w:tc>
          <w:tcPr/>
          <w:p>
            <w:pPr>
              <w:pStyle w:val="Compact"/>
              <w:jc w:val="right"/>
            </w:pPr>
            <w:r>
              <w:t xml:space="preserve">2015</w:t>
            </w:r>
          </w:p>
        </w:tc>
        <w:tc>
          <w:tcPr/>
          <w:p>
            <w:pPr>
              <w:pStyle w:val="Compact"/>
              <w:jc w:val="left"/>
            </w:pPr>
            <w:r>
              <w:t xml:space="preserve">2,516</w:t>
            </w:r>
          </w:p>
        </w:tc>
        <w:tc>
          <w:tcPr/>
          <w:p>
            <w:pPr>
              <w:pStyle w:val="Compact"/>
              <w:jc w:val="left"/>
            </w:pPr>
            <w:r>
              <w:t xml:space="preserve">3%</w:t>
            </w:r>
          </w:p>
        </w:tc>
        <w:tc>
          <w:tcPr/>
          <w:p>
            <w:pPr>
              <w:pStyle w:val="Compact"/>
              <w:jc w:val="left"/>
            </w:pPr>
            <w:r>
              <w:t xml:space="preserve">34,977</w:t>
            </w:r>
          </w:p>
        </w:tc>
        <w:tc>
          <w:tcPr/>
          <w:p>
            <w:pPr>
              <w:pStyle w:val="Compact"/>
              <w:jc w:val="left"/>
            </w:pPr>
            <w:r>
              <w:t xml:space="preserve">38%</w:t>
            </w:r>
          </w:p>
        </w:tc>
      </w:tr>
      <w:tr>
        <w:tc>
          <w:tcPr/>
          <w:p>
            <w:pPr>
              <w:pStyle w:val="Compact"/>
              <w:jc w:val="right"/>
            </w:pPr>
            <w:r>
              <w:t xml:space="preserve">2016</w:t>
            </w:r>
          </w:p>
        </w:tc>
        <w:tc>
          <w:tcPr/>
          <w:p>
            <w:pPr>
              <w:pStyle w:val="Compact"/>
              <w:jc w:val="left"/>
            </w:pPr>
            <w:r>
              <w:t xml:space="preserve">1,827</w:t>
            </w:r>
          </w:p>
        </w:tc>
        <w:tc>
          <w:tcPr/>
          <w:p>
            <w:pPr>
              <w:pStyle w:val="Compact"/>
              <w:jc w:val="left"/>
            </w:pPr>
            <w:r>
              <w:t xml:space="preserve">2%</w:t>
            </w:r>
          </w:p>
        </w:tc>
        <w:tc>
          <w:tcPr/>
          <w:p>
            <w:pPr>
              <w:pStyle w:val="Compact"/>
              <w:jc w:val="left"/>
            </w:pPr>
            <w:r>
              <w:t xml:space="preserve">30,287</w:t>
            </w:r>
          </w:p>
        </w:tc>
        <w:tc>
          <w:tcPr/>
          <w:p>
            <w:pPr>
              <w:pStyle w:val="Compact"/>
              <w:jc w:val="left"/>
            </w:pPr>
            <w:r>
              <w:t xml:space="preserve">35%</w:t>
            </w:r>
          </w:p>
        </w:tc>
      </w:tr>
      <w:tr>
        <w:tc>
          <w:tcPr/>
          <w:p>
            <w:pPr>
              <w:pStyle w:val="Compact"/>
              <w:jc w:val="right"/>
            </w:pPr>
            <w:r>
              <w:t xml:space="preserve">2017</w:t>
            </w:r>
          </w:p>
        </w:tc>
        <w:tc>
          <w:tcPr/>
          <w:p>
            <w:pPr>
              <w:pStyle w:val="Compact"/>
              <w:jc w:val="left"/>
            </w:pPr>
            <w:r>
              <w:t xml:space="preserve">2,175</w:t>
            </w:r>
          </w:p>
        </w:tc>
        <w:tc>
          <w:tcPr/>
          <w:p>
            <w:pPr>
              <w:pStyle w:val="Compact"/>
              <w:jc w:val="left"/>
            </w:pPr>
            <w:r>
              <w:t xml:space="preserve">3%</w:t>
            </w:r>
          </w:p>
        </w:tc>
        <w:tc>
          <w:tcPr/>
          <w:p>
            <w:pPr>
              <w:pStyle w:val="Compact"/>
              <w:jc w:val="left"/>
            </w:pPr>
            <w:r>
              <w:t xml:space="preserve">31,073</w:t>
            </w:r>
          </w:p>
        </w:tc>
        <w:tc>
          <w:tcPr/>
          <w:p>
            <w:pPr>
              <w:pStyle w:val="Compact"/>
              <w:jc w:val="left"/>
            </w:pPr>
            <w:r>
              <w:t xml:space="preserve">36%</w:t>
            </w:r>
          </w:p>
        </w:tc>
      </w:tr>
      <w:tr>
        <w:tc>
          <w:tcPr/>
          <w:p>
            <w:pPr>
              <w:pStyle w:val="Compact"/>
              <w:jc w:val="right"/>
            </w:pPr>
            <w:r>
              <w:t xml:space="preserve">2018</w:t>
            </w:r>
          </w:p>
        </w:tc>
        <w:tc>
          <w:tcPr/>
          <w:p>
            <w:pPr>
              <w:pStyle w:val="Compact"/>
              <w:jc w:val="left"/>
            </w:pPr>
            <w:r>
              <w:t xml:space="preserve">1,520</w:t>
            </w:r>
          </w:p>
        </w:tc>
        <w:tc>
          <w:tcPr/>
          <w:p>
            <w:pPr>
              <w:pStyle w:val="Compact"/>
              <w:jc w:val="left"/>
            </w:pPr>
            <w:r>
              <w:t xml:space="preserve">2%</w:t>
            </w:r>
          </w:p>
        </w:tc>
        <w:tc>
          <w:tcPr/>
          <w:p>
            <w:pPr>
              <w:pStyle w:val="Compact"/>
              <w:jc w:val="left"/>
            </w:pPr>
            <w:r>
              <w:t xml:space="preserve">35,309</w:t>
            </w:r>
          </w:p>
        </w:tc>
        <w:tc>
          <w:tcPr/>
          <w:p>
            <w:pPr>
              <w:pStyle w:val="Compact"/>
              <w:jc w:val="left"/>
            </w:pPr>
            <w:r>
              <w:t xml:space="preserve">35%</w:t>
            </w:r>
          </w:p>
        </w:tc>
      </w:tr>
    </w:tbl>
    <w:bookmarkEnd w:id="59"/>
    <w:bookmarkEnd w:id="60"/>
    <w:bookmarkStart w:id="69" w:name="references"/>
    <w:p>
      <w:pPr>
        <w:pStyle w:val="Heading2"/>
      </w:pPr>
      <w:r>
        <w:t xml:space="preserve">References</w:t>
      </w:r>
    </w:p>
    <w:bookmarkStart w:id="68" w:name="refs"/>
    <w:bookmarkStart w:id="61" w:name="ref-garrisonAbundanceMarineMammals2020"/>
    <w:p>
      <w:pPr>
        <w:pStyle w:val="Bibliography"/>
      </w:pPr>
      <w:r>
        <w:t xml:space="preserve">Garrison, Lance, Joel Ortega-Ortiz, and Gina Rappucci. 2020.</w:t>
      </w:r>
      <w:r>
        <w:t xml:space="preserve"> </w:t>
      </w:r>
      <w:r>
        <w:t xml:space="preserve">“Abundance of</w:t>
      </w:r>
      <w:r>
        <w:t xml:space="preserve"> </w:t>
      </w:r>
      <w:r>
        <w:t xml:space="preserve">Marine Mammals</w:t>
      </w:r>
      <w:r>
        <w:t xml:space="preserve"> </w:t>
      </w:r>
      <w:r>
        <w:t xml:space="preserve">in</w:t>
      </w:r>
      <w:r>
        <w:t xml:space="preserve"> </w:t>
      </w:r>
      <w:r>
        <w:t xml:space="preserve">Waters</w:t>
      </w:r>
      <w:r>
        <w:t xml:space="preserve"> </w:t>
      </w:r>
      <w:r>
        <w:t xml:space="preserve">of the</w:t>
      </w:r>
      <w:r>
        <w:t xml:space="preserve"> </w:t>
      </w:r>
      <w:r>
        <w:t xml:space="preserve">U</w:t>
      </w:r>
      <w:r>
        <w:t xml:space="preserve">.</w:t>
      </w:r>
      <w:r>
        <w:t xml:space="preserve">S</w:t>
      </w:r>
      <w:r>
        <w:t xml:space="preserve">.</w:t>
      </w:r>
      <w:r>
        <w:t xml:space="preserve"> </w:t>
      </w:r>
      <w:r>
        <w:t xml:space="preserve">Gulf</w:t>
      </w:r>
      <w:r>
        <w:t xml:space="preserve"> </w:t>
      </w:r>
      <w:r>
        <w:t xml:space="preserve">of</w:t>
      </w:r>
      <w:r>
        <w:t xml:space="preserve"> </w:t>
      </w:r>
      <w:r>
        <w:t xml:space="preserve">Mexico During</w:t>
      </w:r>
      <w:r>
        <w:t xml:space="preserve"> </w:t>
      </w:r>
      <w:r>
        <w:t xml:space="preserve">the</w:t>
      </w:r>
      <w:r>
        <w:t xml:space="preserve"> </w:t>
      </w:r>
      <w:r>
        <w:t xml:space="preserve">Summers</w:t>
      </w:r>
      <w:r>
        <w:t xml:space="preserve"> </w:t>
      </w:r>
      <w:r>
        <w:t xml:space="preserve">of 2017 and 2018.”</w:t>
      </w:r>
      <w:r>
        <w:t xml:space="preserve"> </w:t>
      </w:r>
      <w:r>
        <w:t xml:space="preserve">PRBD-2020-07.</w:t>
      </w:r>
    </w:p>
    <w:bookmarkEnd w:id="61"/>
    <w:bookmarkStart w:id="62" w:name="ref-litzCetaceanSeaTurtle2022"/>
    <w:p>
      <w:pPr>
        <w:pStyle w:val="Bibliography"/>
      </w:pPr>
      <w:r>
        <w:t xml:space="preserve">Litz, Jenny, Laura Aichinger Dias, Gina Rappucci, Anthony Martinez, Melissa Soldevilla, Lance Garrison, and Keith Mullin. 2022.</w:t>
      </w:r>
      <w:r>
        <w:t xml:space="preserve"> </w:t>
      </w:r>
      <w:r>
        <w:t xml:space="preserve">“Cetacean and Sea Turtle Spatial Density Model Outputs from Visual Observations Using Line-Transect Survey Methods Aboard</w:t>
      </w:r>
      <w:r>
        <w:t xml:space="preserve"> </w:t>
      </w:r>
      <w:r>
        <w:t xml:space="preserve">NOAA</w:t>
      </w:r>
      <w:r>
        <w:t xml:space="preserve"> </w:t>
      </w:r>
      <w:r>
        <w:t xml:space="preserve">Vessel and Aircraft Platforms in the</w:t>
      </w:r>
      <w:r>
        <w:t xml:space="preserve"> </w:t>
      </w:r>
      <w:r>
        <w:t xml:space="preserve">Gulf</w:t>
      </w:r>
      <w:r>
        <w:t xml:space="preserve"> </w:t>
      </w:r>
      <w:r>
        <w:t xml:space="preserve">of</w:t>
      </w:r>
      <w:r>
        <w:t xml:space="preserve"> </w:t>
      </w:r>
      <w:r>
        <w:t xml:space="preserve">Mexico</w:t>
      </w:r>
      <w:r>
        <w:t xml:space="preserve">.”</w:t>
      </w:r>
    </w:p>
    <w:bookmarkEnd w:id="62"/>
    <w:bookmarkStart w:id="63" w:name="ref-nmfsBiologicalOpinionFederally2020"/>
    <w:p>
      <w:pPr>
        <w:pStyle w:val="Bibliography"/>
      </w:pPr>
      <w:r>
        <w:t xml:space="preserve">NMFS. 2020.</w:t>
      </w:r>
      <w:r>
        <w:t xml:space="preserve"> </w:t>
      </w:r>
      <w:r>
        <w:t xml:space="preserve">“</w:t>
      </w:r>
      <w:r>
        <w:t xml:space="preserve">‘</w:t>
      </w:r>
      <w:r>
        <w:t xml:space="preserve">Biological Opinion</w:t>
      </w:r>
      <w:r>
        <w:t xml:space="preserve"> </w:t>
      </w:r>
      <w:r>
        <w:t xml:space="preserve">on the</w:t>
      </w:r>
      <w:r>
        <w:t xml:space="preserve"> </w:t>
      </w:r>
      <w:r>
        <w:t xml:space="preserve">Federally Regulated Oil</w:t>
      </w:r>
      <w:r>
        <w:t xml:space="preserve"> </w:t>
      </w:r>
      <w:r>
        <w:t xml:space="preserve">and</w:t>
      </w:r>
      <w:r>
        <w:t xml:space="preserve"> </w:t>
      </w:r>
      <w:r>
        <w:t xml:space="preserve">Gas Program Activities</w:t>
      </w:r>
      <w:r>
        <w:t xml:space="preserve"> </w:t>
      </w:r>
      <w:r>
        <w:t xml:space="preserve">in the</w:t>
      </w:r>
      <w:r>
        <w:t xml:space="preserve"> </w:t>
      </w:r>
      <w:r>
        <w:t xml:space="preserve">Gulf</w:t>
      </w:r>
      <w:r>
        <w:t xml:space="preserve"> </w:t>
      </w:r>
      <w:r>
        <w:t xml:space="preserve">of</w:t>
      </w:r>
      <w:r>
        <w:t xml:space="preserve"> </w:t>
      </w:r>
      <w:r>
        <w:t xml:space="preserve">Mexico</w:t>
      </w:r>
      <w:r>
        <w:t xml:space="preserve">,’</w:t>
      </w:r>
      <w:r>
        <w:t xml:space="preserve"> </w:t>
      </w:r>
      <w:r>
        <w:t xml:space="preserve">13</w:t>
      </w:r>
      <w:r>
        <w:t xml:space="preserve"> </w:t>
      </w:r>
      <w:r>
        <w:t xml:space="preserve">March</w:t>
      </w:r>
      <w:r>
        <w:t xml:space="preserve"> </w:t>
      </w:r>
      <w:r>
        <w:t xml:space="preserve">2020, a Consultation Conducted by the</w:t>
      </w:r>
      <w:r>
        <w:t xml:space="preserve"> </w:t>
      </w:r>
      <w:r>
        <w:t xml:space="preserve">Endangered Species Act Interagency Cooperation Division</w:t>
      </w:r>
      <w:r>
        <w:t xml:space="preserve">,</w:t>
      </w:r>
      <w:r>
        <w:t xml:space="preserve"> </w:t>
      </w:r>
      <w:r>
        <w:t xml:space="preserve">Office</w:t>
      </w:r>
      <w:r>
        <w:t xml:space="preserve"> </w:t>
      </w:r>
      <w:r>
        <w:t xml:space="preserve">of</w:t>
      </w:r>
      <w:r>
        <w:t xml:space="preserve"> </w:t>
      </w:r>
      <w:r>
        <w:t xml:space="preserve">Protected Resources</w:t>
      </w:r>
      <w:r>
        <w:t xml:space="preserve">,</w:t>
      </w:r>
      <w:r>
        <w:t xml:space="preserve"> </w:t>
      </w:r>
      <w:r>
        <w:t xml:space="preserve">National Marine Fisheries Service</w:t>
      </w:r>
      <w:r>
        <w:t xml:space="preserve">,</w:t>
      </w:r>
      <w:r>
        <w:t xml:space="preserve"> </w:t>
      </w:r>
      <w:r>
        <w:t xml:space="preserve">National Oceanic</w:t>
      </w:r>
      <w:r>
        <w:t xml:space="preserve"> </w:t>
      </w:r>
      <w:r>
        <w:t xml:space="preserve">and</w:t>
      </w:r>
      <w:r>
        <w:t xml:space="preserve"> </w:t>
      </w:r>
      <w:r>
        <w:t xml:space="preserve">Atmospheric Administration</w:t>
      </w:r>
      <w:r>
        <w:t xml:space="preserve">,</w:t>
      </w:r>
      <w:r>
        <w:t xml:space="preserve"> </w:t>
      </w:r>
      <w:r>
        <w:t xml:space="preserve">U</w:t>
      </w:r>
      <w:r>
        <w:t xml:space="preserve">.</w:t>
      </w:r>
      <w:r>
        <w:t xml:space="preserve">S</w:t>
      </w:r>
      <w:r>
        <w:t xml:space="preserve">.</w:t>
      </w:r>
      <w:r>
        <w:t xml:space="preserve"> </w:t>
      </w:r>
      <w:r>
        <w:t xml:space="preserve">Department</w:t>
      </w:r>
      <w:r>
        <w:t xml:space="preserve"> </w:t>
      </w:r>
      <w:r>
        <w:t xml:space="preserve">of</w:t>
      </w:r>
      <w:r>
        <w:t xml:space="preserve"> </w:t>
      </w:r>
      <w:r>
        <w:t xml:space="preserve">Commerce</w:t>
      </w:r>
      <w:r>
        <w:t xml:space="preserve">.”</w:t>
      </w:r>
    </w:p>
    <w:bookmarkEnd w:id="63"/>
    <w:bookmarkStart w:id="65" w:name="X98cd9a4a17022fa4258031376314a1a452dd228"/>
    <w:p>
      <w:pPr>
        <w:pStyle w:val="Bibliography"/>
      </w:pPr>
      <w:r>
        <w:t xml:space="preserve">Roberts, Jason J., Benjamin D. Best, Laura Mannocci, Ei Fujioka, Patrick N. Halpin, Debra L. Palka, Lance P. Garrison, et al. 2016.</w:t>
      </w:r>
      <w:r>
        <w:t xml:space="preserve"> </w:t>
      </w:r>
      <w:r>
        <w:t xml:space="preserve">“Habitat-Based Cetacean Density Models for the</w:t>
      </w:r>
      <w:r>
        <w:t xml:space="preserve"> </w:t>
      </w:r>
      <w:r>
        <w:t xml:space="preserve">U</w:t>
      </w:r>
      <w:r>
        <w:t xml:space="preserve">.</w:t>
      </w:r>
      <w:r>
        <w:t xml:space="preserve">S</w:t>
      </w:r>
      <w:r>
        <w:t xml:space="preserve">.</w:t>
      </w:r>
      <w:r>
        <w:t xml:space="preserve"> </w:t>
      </w:r>
      <w:r>
        <w:t xml:space="preserve">Atlantic</w:t>
      </w:r>
      <w:r>
        <w:t xml:space="preserve"> </w:t>
      </w:r>
      <w:r>
        <w:t xml:space="preserve">and</w:t>
      </w:r>
      <w:r>
        <w:t xml:space="preserve"> </w:t>
      </w:r>
      <w:r>
        <w:t xml:space="preserve">Gulf</w:t>
      </w:r>
      <w:r>
        <w:t xml:space="preserve"> </w:t>
      </w:r>
      <w:r>
        <w:t xml:space="preserve">of</w:t>
      </w:r>
      <w:r>
        <w:t xml:space="preserve"> </w:t>
      </w:r>
      <w:r>
        <w:t xml:space="preserve">Mexico</w:t>
      </w:r>
      <w:r>
        <w:t xml:space="preserve">.”</w:t>
      </w:r>
      <w:r>
        <w:t xml:space="preserve"> </w:t>
      </w:r>
      <w:r>
        <w:rPr>
          <w:iCs/>
          <w:i/>
        </w:rPr>
        <w:t xml:space="preserve">Scientific Reports</w:t>
      </w:r>
      <w:r>
        <w:t xml:space="preserve"> </w:t>
      </w:r>
      <w:r>
        <w:t xml:space="preserve">6 (March): 22615.</w:t>
      </w:r>
      <w:r>
        <w:t xml:space="preserve"> </w:t>
      </w:r>
      <w:hyperlink r:id="rId64">
        <w:r>
          <w:rPr>
            <w:rStyle w:val="Hyperlink"/>
          </w:rPr>
          <w:t xml:space="preserve">https://doi.org/10.1038/srep22615</w:t>
        </w:r>
      </w:hyperlink>
      <w:r>
        <w:t xml:space="preserve">.</w:t>
      </w:r>
    </w:p>
    <w:bookmarkEnd w:id="65"/>
    <w:bookmarkStart w:id="67" w:name="ref-soldevillaRiceWhalesNorthwestern2022"/>
    <w:p>
      <w:pPr>
        <w:pStyle w:val="Bibliography"/>
      </w:pPr>
      <w:r>
        <w:t xml:space="preserve">Soldevilla, Melissa S., Amanda J. Debich, Lance P. Garrison, John A. Hildebrand, and Sean M. Wiggins. 2022.</w:t>
      </w:r>
      <w:r>
        <w:t xml:space="preserve"> </w:t>
      </w:r>
      <w:r>
        <w:t xml:space="preserve">“Rice’s Whales in the Northwestern</w:t>
      </w:r>
      <w:r>
        <w:t xml:space="preserve"> </w:t>
      </w:r>
      <w:r>
        <w:t xml:space="preserve">Gulf</w:t>
      </w:r>
      <w:r>
        <w:t xml:space="preserve"> </w:t>
      </w:r>
      <w:r>
        <w:t xml:space="preserve">of</w:t>
      </w:r>
      <w:r>
        <w:t xml:space="preserve"> </w:t>
      </w:r>
      <w:r>
        <w:t xml:space="preserve">Mexico</w:t>
      </w:r>
      <w:r>
        <w:t xml:space="preserve">: Call Variation and Occurrence Beyond the Known Core Habitat.”</w:t>
      </w:r>
      <w:r>
        <w:t xml:space="preserve"> </w:t>
      </w:r>
      <w:r>
        <w:rPr>
          <w:iCs/>
          <w:i/>
        </w:rPr>
        <w:t xml:space="preserve">Endangered Species Research</w:t>
      </w:r>
      <w:r>
        <w:t xml:space="preserve"> </w:t>
      </w:r>
      <w:r>
        <w:t xml:space="preserve">48 (July): 155–74.</w:t>
      </w:r>
      <w:r>
        <w:t xml:space="preserve"> </w:t>
      </w:r>
      <w:hyperlink r:id="rId66">
        <w:r>
          <w:rPr>
            <w:rStyle w:val="Hyperlink"/>
          </w:rPr>
          <w:t xml:space="preserve">https://doi.org/10.3354/esr01196</w:t>
        </w:r>
      </w:hyperlink>
      <w:r>
        <w:t xml:space="preserve">.</w:t>
      </w:r>
    </w:p>
    <w:bookmarkEnd w:id="67"/>
    <w:bookmarkEnd w:id="68"/>
    <w:bookmarkEnd w:id="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hyperlink" Id="rId64" Target="https://doi.org/10.1038/srep22615" TargetMode="External" /><Relationship Type="http://schemas.openxmlformats.org/officeDocument/2006/relationships/hyperlink" Id="rId66" Target="https://doi.org/10.3354/esr01196" TargetMode="External" /><Relationship Type="http://schemas.openxmlformats.org/officeDocument/2006/relationships/hyperlink" Id="rId20" Target="mailto:ben@ecoquants.com" TargetMode="External" /></Relationships>
</file>

<file path=word/_rels/footnotes.xml.rels><?xml version="1.0" encoding="UTF-8"?><Relationships xmlns="http://schemas.openxmlformats.org/package/2006/relationships"><Relationship Type="http://schemas.openxmlformats.org/officeDocument/2006/relationships/hyperlink" Id="rId64" Target="https://doi.org/10.1038/srep22615" TargetMode="External" /><Relationship Type="http://schemas.openxmlformats.org/officeDocument/2006/relationships/hyperlink" Id="rId66" Target="https://doi.org/10.3354/esr01196" TargetMode="External" /><Relationship Type="http://schemas.openxmlformats.org/officeDocument/2006/relationships/hyperlink" Id="rId20" Target="mailto:ben@ecoquants.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analysis of ship strike risk for Rice’s whale in the Gulf of Mexico</dc:title>
  <dc:creator>Benjamin D. Best, Ph.D. (ben@ecoquants.com)</dc:creator>
  <cp:keywords/>
  <dcterms:created xsi:type="dcterms:W3CDTF">2023-07-06T06:25:25Z</dcterms:created>
  <dcterms:modified xsi:type="dcterms:W3CDTF">2023-07-06T06:25:25Z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ricei.bib</vt:lpwstr>
  </property>
  <property fmtid="{D5CDD505-2E9C-101B-9397-08002B2CF9AE}" pid="5" name="by-author">
    <vt:lpwstr/>
  </property>
  <property fmtid="{D5CDD505-2E9C-101B-9397-08002B2CF9AE}" pid="6" name="code-annotations">
    <vt:lpwstr>False</vt:lpwstr>
  </property>
  <property fmtid="{D5CDD505-2E9C-101B-9397-08002B2CF9AE}" pid="7" name="date">
    <vt:lpwstr>2023-07-06 08:25 (GMT+2)</vt:lpwstr>
  </property>
  <property fmtid="{D5CDD505-2E9C-101B-9397-08002B2CF9AE}" pid="8" name="date-format">
    <vt:lpwstr>YYYY-MM-DD HH:mm (z)</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Contents</vt:lpwstr>
  </property>
</Properties>
</file>