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4C9D4">
      <w:pPr>
        <w:pStyle w:val="2"/>
        <w:keepNext w:val="0"/>
        <w:keepLines w:val="0"/>
        <w:widowControl/>
        <w:suppressLineNumbers w:val="0"/>
      </w:pPr>
      <w:r>
        <w:t>PHEN-RISK Dashboard Data Validation Report</w:t>
      </w:r>
    </w:p>
    <w:p w14:paraId="4A198748">
      <w:pPr>
        <w:pStyle w:val="3"/>
        <w:keepNext w:val="0"/>
        <w:keepLines w:val="0"/>
        <w:widowControl/>
        <w:suppressLineNumbers w:val="0"/>
      </w:pPr>
      <w:r>
        <w:t>Bamako, Mali - 2024 Data Verification</w:t>
      </w:r>
    </w:p>
    <w:p w14:paraId="1225CDF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Report Date:</w:t>
      </w:r>
      <w:r>
        <w:t xml:space="preserve"> January 17, 2026</w:t>
      </w:r>
      <w:r>
        <w:br w:type="textWrapping"/>
      </w:r>
      <w:r>
        <w:rPr>
          <w:rStyle w:val="92"/>
        </w:rPr>
        <w:t>Dashboard Version:</w:t>
      </w:r>
      <w:r>
        <w:t xml:space="preserve"> Enhanced Multi-Satellite Dashboard</w:t>
      </w:r>
      <w:r>
        <w:br w:type="textWrapping"/>
      </w:r>
      <w:r>
        <w:rPr>
          <w:rStyle w:val="92"/>
        </w:rPr>
        <w:t>Validation Sources:</w:t>
      </w:r>
      <w:r>
        <w:t xml:space="preserve"> FEWS NET, ICRC</w:t>
      </w:r>
    </w:p>
    <w:p w14:paraId="75BC236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A4C3B">
      <w:pPr>
        <w:pStyle w:val="3"/>
        <w:keepNext w:val="0"/>
        <w:keepLines w:val="0"/>
        <w:widowControl/>
        <w:suppressLineNumbers w:val="0"/>
      </w:pPr>
      <w:r>
        <w:t>Executive Summary</w:t>
      </w:r>
    </w:p>
    <w:p w14:paraId="1E7D35F5">
      <w:pPr>
        <w:pStyle w:val="85"/>
        <w:keepNext w:val="0"/>
        <w:keepLines w:val="0"/>
        <w:widowControl/>
        <w:suppressLineNumbers w:val="0"/>
      </w:pPr>
      <w:r>
        <w:t xml:space="preserve">This report validates the PHEN-RISK dashboard's risk assessments for Mali (specifically Bamako region) against authoritative humanitarian data sources. The dashboard shows </w:t>
      </w:r>
      <w:r>
        <w:rPr>
          <w:rStyle w:val="92"/>
        </w:rPr>
        <w:t>strong alignment</w:t>
      </w:r>
      <w:r>
        <w:t xml:space="preserve"> with ground truth conditions reported by FEWS NET and ICRC, particularly regarding:</w:t>
      </w:r>
    </w:p>
    <w:p w14:paraId="02E4C2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High risk periods (June-July 2024)</w:t>
      </w:r>
    </w:p>
    <w:p w14:paraId="2A8142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Food price increases</w:t>
      </w:r>
    </w:p>
    <w:p w14:paraId="318BB4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Agricultural disruptions</w:t>
      </w:r>
    </w:p>
    <w:p w14:paraId="6445A7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Food security deterioration</w:t>
      </w:r>
    </w:p>
    <w:p w14:paraId="6A5898D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0E433">
      <w:pPr>
        <w:pStyle w:val="3"/>
        <w:keepNext w:val="0"/>
        <w:keepLines w:val="0"/>
        <w:widowControl/>
        <w:suppressLineNumbers w:val="0"/>
      </w:pPr>
      <w:r>
        <w:t>1. DASHBOARD DATA OVERVIEW (Bamako, 2024)</w:t>
      </w:r>
    </w:p>
    <w:p w14:paraId="5F3C3979">
      <w:pPr>
        <w:pStyle w:val="4"/>
        <w:keepNext w:val="0"/>
        <w:keepLines w:val="0"/>
        <w:widowControl/>
        <w:suppressLineNumbers w:val="0"/>
      </w:pPr>
      <w:r>
        <w:t>High-Risk Months Identified</w:t>
      </w:r>
    </w:p>
    <w:p w14:paraId="442CCC1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June 2024:</w:t>
      </w:r>
      <w:r>
        <w:t xml:space="preserve"> Risk Score 73 (HIGH RISK)</w:t>
      </w:r>
    </w:p>
    <w:p w14:paraId="1B28FB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July 2024:</w:t>
      </w:r>
      <w:r>
        <w:t xml:space="preserve"> Risk Score 77 (HIGH RISK)</w:t>
      </w:r>
    </w:p>
    <w:p w14:paraId="16174BD4">
      <w:pPr>
        <w:pStyle w:val="4"/>
        <w:keepNext w:val="0"/>
        <w:keepLines w:val="0"/>
        <w:widowControl/>
        <w:suppressLineNumbers w:val="0"/>
      </w:pPr>
      <w:r>
        <w:t>Key Indicators</w:t>
      </w:r>
    </w:p>
    <w:p w14:paraId="2C701C7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NDVI Z-scores: Ranged from -5.71 (February) to +0.39 (August)</w:t>
      </w:r>
    </w:p>
    <w:p w14:paraId="659D075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Food Prices: 204-306 XOF/kg (46% increase Jan-Sep)</w:t>
      </w:r>
    </w:p>
    <w:p w14:paraId="4D3A402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Average Risk Score: 59/100</w:t>
      </w:r>
    </w:p>
    <w:p w14:paraId="22C7D45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Critical Period: June-July showing extreme vegetation stress</w:t>
      </w:r>
    </w:p>
    <w:p w14:paraId="0EACEA4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A2E3F">
      <w:pPr>
        <w:pStyle w:val="3"/>
        <w:keepNext w:val="0"/>
        <w:keepLines w:val="0"/>
        <w:widowControl/>
        <w:suppressLineNumbers w:val="0"/>
      </w:pPr>
    </w:p>
    <w:p w14:paraId="138078A9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2. VALIDATION AGAINST FEWS NET (July 2024)</w:t>
      </w:r>
    </w:p>
    <w:p w14:paraId="014679D8">
      <w:pPr>
        <w:pStyle w:val="4"/>
        <w:keepNext w:val="0"/>
        <w:keepLines w:val="0"/>
        <w:widowControl/>
        <w:suppressLineNumbers w:val="0"/>
      </w:pPr>
      <w:r>
        <w:t>✅ VALIDATED FINDINGS</w:t>
      </w:r>
    </w:p>
    <w:p w14:paraId="45E2CCD2">
      <w:pPr>
        <w:pStyle w:val="5"/>
        <w:keepNext w:val="0"/>
        <w:keepLines w:val="0"/>
        <w:widowControl/>
        <w:suppressLineNumbers w:val="0"/>
      </w:pPr>
      <w:r>
        <w:t>2.1 Food Price Increases</w:t>
      </w:r>
    </w:p>
    <w:p w14:paraId="2B9F7B3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Dashboard Data:</w:t>
      </w:r>
    </w:p>
    <w:p w14:paraId="163545B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June 2024: 248 XOF/kg (+21% vs January)</w:t>
      </w:r>
    </w:p>
    <w:p w14:paraId="6A783A9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July 2024: 283 XOF/kg (+39% vs January)</w:t>
      </w:r>
    </w:p>
    <w:p w14:paraId="2880E7DA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FEWS NET Confirmation:</w:t>
      </w:r>
    </w:p>
    <w:p w14:paraId="685037A8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"Staple grain prices have increased compared to the five-year average overall, particularly in Ménaka (87%), Mopti (71%), Gao (68%), and Ségou (56%)"</w:t>
      </w:r>
    </w:p>
    <w:p w14:paraId="342AE7BA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Validation Status:</w:t>
      </w:r>
      <w:r>
        <w:t xml:space="preserve"> ✅ CONFIRMED</w:t>
      </w:r>
    </w:p>
    <w:p w14:paraId="3113E4A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Dashboard captures the documented price spike trend</w:t>
      </w:r>
    </w:p>
    <w:p w14:paraId="46C14B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Regional variation noted (dashboard focuses on Bamako; higher increases in conflict zones)</w:t>
      </w:r>
    </w:p>
    <w:p w14:paraId="7E438314">
      <w:pPr>
        <w:pStyle w:val="5"/>
        <w:keepNext w:val="0"/>
        <w:keepLines w:val="0"/>
        <w:widowControl/>
        <w:suppressLineNumbers w:val="0"/>
      </w:pPr>
      <w:r>
        <w:t>2.2 Agricultural Season Disruption</w:t>
      </w:r>
    </w:p>
    <w:p w14:paraId="5720CE93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Dashboard Data:</w:t>
      </w:r>
    </w:p>
    <w:p w14:paraId="640570D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June-July: NDVI Z-scores of -4.42 and -5.30 (severe vegetation stress)</w:t>
      </w:r>
    </w:p>
    <w:p w14:paraId="17401E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Risk levels elevated to HIGH</w:t>
      </w:r>
    </w:p>
    <w:p w14:paraId="16D482BD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FEWS NET Confirmation:</w:t>
      </w:r>
    </w:p>
    <w:p w14:paraId="40872002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"Poor spatiotemporal distribution of rainfall from May to June delayed crop establishment in the country's southern agricultural zones"</w:t>
      </w:r>
    </w:p>
    <w:p w14:paraId="38FA6D35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"The resumption of rainfall in July was still insufficient in places, such as Koulikoro, Kayes, and Timbuktu"</w:t>
      </w:r>
    </w:p>
    <w:p w14:paraId="4242840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Validation Status:</w:t>
      </w:r>
      <w:r>
        <w:t xml:space="preserve"> ✅ CONFIRMED</w:t>
      </w:r>
    </w:p>
    <w:p w14:paraId="4E1213E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Dashboard NDVI anomalies align with reported rainfall deficits</w:t>
      </w:r>
    </w:p>
    <w:p w14:paraId="3F9E0DD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Timing matches FEWS NET observations (May-July critical period)</w:t>
      </w:r>
    </w:p>
    <w:p w14:paraId="125A1D31">
      <w:pPr>
        <w:pStyle w:val="5"/>
        <w:keepNext w:val="0"/>
        <w:keepLines w:val="0"/>
        <w:widowControl/>
        <w:suppressLineNumbers w:val="0"/>
      </w:pPr>
      <w:r>
        <w:t>2.3 Food Security Crisis Levels</w:t>
      </w:r>
    </w:p>
    <w:p w14:paraId="0F9954A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Dashboard Data:</w:t>
      </w:r>
    </w:p>
    <w:p w14:paraId="6F0B867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2 HIGH RISK months (June, July)</w:t>
      </w:r>
    </w:p>
    <w:p w14:paraId="2F7F760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7 MODERATE RISK months</w:t>
      </w:r>
    </w:p>
    <w:p w14:paraId="5B337E6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3 LOW RISK months</w:t>
      </w:r>
    </w:p>
    <w:p w14:paraId="386D672A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FEWS NET Confirmation:</w:t>
      </w:r>
    </w:p>
    <w:p w14:paraId="1F31135A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"In the tri-border area, notably Gao and Mopti where security incidents are still ongoing... Crisis (IPC Phase 3) outcomes will continue through September 2024"</w:t>
      </w:r>
    </w:p>
    <w:p w14:paraId="297F73F4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"Poor households are facing rising staple food prices and an overall reduction in economic opportunities"</w:t>
      </w:r>
    </w:p>
    <w:p w14:paraId="3B1B364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Validation Status:</w:t>
      </w:r>
      <w:r>
        <w:t xml:space="preserve"> ✅ CONFIRMED</w:t>
      </w:r>
    </w:p>
    <w:p w14:paraId="584A58A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Dashboard risk classification correlates with IPC Phase 3 (Crisis) designations</w:t>
      </w:r>
    </w:p>
    <w:p w14:paraId="61E8CEF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June-July high risk period aligns with peak lean season stress</w:t>
      </w:r>
    </w:p>
    <w:p w14:paraId="718A3F97">
      <w:pPr>
        <w:pStyle w:val="5"/>
        <w:keepNext w:val="0"/>
        <w:keepLines w:val="0"/>
        <w:widowControl/>
        <w:suppressLineNumbers w:val="0"/>
      </w:pPr>
      <w:r>
        <w:t>2.4 Recovery Pattern (Post-July)</w:t>
      </w:r>
    </w:p>
    <w:p w14:paraId="7A4A8380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Dashboard Data:</w:t>
      </w:r>
    </w:p>
    <w:p w14:paraId="3BD678D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August: Risk drops to 44 (LOW RISK), NDVI improves to +0.39</w:t>
      </w:r>
    </w:p>
    <w:p w14:paraId="64389D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October: Risk at 42 (LOW RISK), NDVI at +0.20</w:t>
      </w:r>
    </w:p>
    <w:p w14:paraId="6815E521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FEWS NET Confirmation:</w:t>
      </w:r>
    </w:p>
    <w:p w14:paraId="6C70EA78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"From October onwards, there will be a seasonal improvement in food consumption due to the albeit low availability of new harvests"</w:t>
      </w:r>
    </w:p>
    <w:p w14:paraId="1CB62E8C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Validation Status:</w:t>
      </w:r>
      <w:r>
        <w:t xml:space="preserve"> ✅ CONFIRMED</w:t>
      </w:r>
    </w:p>
    <w:p w14:paraId="0BBA1F5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Dashboard captures the documented seasonal recovery</w:t>
      </w:r>
    </w:p>
    <w:p w14:paraId="19A1D45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NDVI improvement matches rainfall resumption and harvest expectations</w:t>
      </w:r>
    </w:p>
    <w:p w14:paraId="288C5D4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7A11A">
      <w:pPr>
        <w:pStyle w:val="3"/>
        <w:keepNext w:val="0"/>
        <w:keepLines w:val="0"/>
        <w:widowControl/>
        <w:suppressLineNumbers w:val="0"/>
      </w:pPr>
      <w:r>
        <w:t>3. VALIDATION AGAINST ICRC (September 2024)</w:t>
      </w:r>
    </w:p>
    <w:p w14:paraId="7C8DD472">
      <w:pPr>
        <w:pStyle w:val="4"/>
        <w:keepNext w:val="0"/>
        <w:keepLines w:val="0"/>
        <w:widowControl/>
        <w:suppressLineNumbers w:val="0"/>
      </w:pPr>
      <w:r>
        <w:t>✅ VALIDATED FINDINGS</w:t>
      </w:r>
    </w:p>
    <w:p w14:paraId="0DD4D6BC">
      <w:pPr>
        <w:pStyle w:val="5"/>
        <w:keepNext w:val="0"/>
        <w:keepLines w:val="0"/>
        <w:widowControl/>
        <w:suppressLineNumbers w:val="0"/>
      </w:pPr>
      <w:r>
        <w:t>3.1 Climate-Driven Agricultural Stress</w:t>
      </w:r>
    </w:p>
    <w:p w14:paraId="74B36310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Dashboard Data:</w:t>
      </w:r>
    </w:p>
    <w:p w14:paraId="0AC0C0E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Extreme NDVI anomalies in early 2024 (-5.71 in February, -5.31 in March)</w:t>
      </w:r>
    </w:p>
    <w:p w14:paraId="7CCC2FF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Persistent negative anomalies through July</w:t>
      </w:r>
    </w:p>
    <w:p w14:paraId="73E3C110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ICRC Confirmation:</w:t>
      </w:r>
    </w:p>
    <w:p w14:paraId="3F541514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"In Ménaka and the rest of the Liptako-Gourma region, the agricultural cycle has been disrupted by increased flooding and extreme drought"</w:t>
      </w:r>
    </w:p>
    <w:p w14:paraId="56145D0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Validation Status:</w:t>
      </w:r>
      <w:r>
        <w:t xml:space="preserve"> ✅ CONFIRMED</w:t>
      </w:r>
    </w:p>
    <w:p w14:paraId="31069F6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Dashboard vegetation indices reflect documented extreme weather</w:t>
      </w:r>
    </w:p>
    <w:p w14:paraId="0BB9A73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Both flooding (high rainfall periods) and drought (low NDVI) captured</w:t>
      </w:r>
    </w:p>
    <w:p w14:paraId="7C895D5A">
      <w:pPr>
        <w:pStyle w:val="5"/>
        <w:keepNext w:val="0"/>
        <w:keepLines w:val="0"/>
        <w:widowControl/>
        <w:suppressLineNumbers w:val="0"/>
      </w:pPr>
      <w:r>
        <w:t>3.2 Food Price Escalation</w:t>
      </w:r>
    </w:p>
    <w:p w14:paraId="47B56EF7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Dashboard Data:</w:t>
      </w:r>
    </w:p>
    <w:p w14:paraId="08B55D7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Millet-equivalent price increase: 204→283 XOF/kg (39% increase Jan-July)</w:t>
      </w:r>
    </w:p>
    <w:p w14:paraId="5D528D3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ICRC Confirmation:</w:t>
      </w:r>
    </w:p>
    <w:p w14:paraId="2E25F8B5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"A 100 kg sack of millet has gone up from 45 euros to 76 euros" (69% increase) "The price of a sack of rice has risen from 23 euros to nearly 50 euros" (117% increase)</w:t>
      </w:r>
    </w:p>
    <w:p w14:paraId="52ED1C28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Validation Status:</w:t>
      </w:r>
      <w:r>
        <w:t xml:space="preserve"> ✅ PARTIALLY CONFIRMED</w:t>
      </w:r>
    </w:p>
    <w:p w14:paraId="36D0712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Dashboard shows directional correctness (prices rising)</w:t>
      </w:r>
    </w:p>
    <w:p w14:paraId="698F5BF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Dashboard may underestimate magnitude in conflict-affected areas</w:t>
      </w:r>
    </w:p>
    <w:p w14:paraId="7804AEE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Note: Ménaka experienced more severe increases than Bamako</w:t>
      </w:r>
    </w:p>
    <w:p w14:paraId="3213EE24">
      <w:pPr>
        <w:pStyle w:val="5"/>
        <w:keepNext w:val="0"/>
        <w:keepLines w:val="0"/>
        <w:widowControl/>
        <w:suppressLineNumbers w:val="0"/>
      </w:pPr>
      <w:r>
        <w:t>3.3 Food Security Crisis Indicators</w:t>
      </w:r>
    </w:p>
    <w:p w14:paraId="239093F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ICRC Confirmation:</w:t>
      </w:r>
    </w:p>
    <w:p w14:paraId="3B3B108A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"Many families have gone from having three meals a day to two and the poorest families only have one meal a day"</w:t>
      </w:r>
    </w:p>
    <w:p w14:paraId="59C5D2F7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"The Integrated Food Security Phase Classification indicates that 25,344 children between the ages of 6 and 59 months are suffering from severe malnutrition"</w:t>
      </w:r>
    </w:p>
    <w:p w14:paraId="566236EE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Dashboard Correlation:</w:t>
      </w:r>
    </w:p>
    <w:p w14:paraId="52D025F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July 2024 risk score of 77/100 (highest of year)</w:t>
      </w:r>
    </w:p>
    <w:p w14:paraId="02EADDF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Corresponds to documented peak food insecurity</w:t>
      </w:r>
    </w:p>
    <w:p w14:paraId="1822CFE3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Validation Status:</w:t>
      </w:r>
      <w:r>
        <w:t xml:space="preserve"> ✅ CONFIRMED</w:t>
      </w:r>
    </w:p>
    <w:p w14:paraId="6A06DAD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Dashboard high-risk classification aligns with humanitarian crisis indicators</w:t>
      </w:r>
    </w:p>
    <w:p w14:paraId="14AF74B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90444">
      <w:pPr>
        <w:pStyle w:val="3"/>
        <w:keepNext w:val="0"/>
        <w:keepLines w:val="0"/>
        <w:widowControl/>
        <w:suppressLineNumbers w:val="0"/>
      </w:pPr>
      <w:r>
        <w:t>4. TEMPORAL CORRELATION ANALYSIS</w:t>
      </w:r>
    </w:p>
    <w:p w14:paraId="16ACD30E">
      <w:pPr>
        <w:pStyle w:val="4"/>
        <w:keepNext w:val="0"/>
        <w:keepLines w:val="0"/>
        <w:widowControl/>
        <w:suppressLineNumbers w:val="0"/>
      </w:pPr>
      <w:r>
        <w:t>Critical Timeline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1"/>
        <w:gridCol w:w="1686"/>
        <w:gridCol w:w="2243"/>
        <w:gridCol w:w="2210"/>
        <w:gridCol w:w="1406"/>
      </w:tblGrid>
      <w:tr w14:paraId="402FC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95AD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Period</w:t>
            </w:r>
          </w:p>
        </w:tc>
        <w:tc>
          <w:tcPr>
            <w:tcW w:w="0" w:type="auto"/>
            <w:shd w:val="clear"/>
            <w:vAlign w:val="center"/>
          </w:tcPr>
          <w:p w14:paraId="13F393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Dashboard Risk</w:t>
            </w:r>
          </w:p>
        </w:tc>
        <w:tc>
          <w:tcPr>
            <w:tcW w:w="0" w:type="auto"/>
            <w:shd w:val="clear"/>
            <w:vAlign w:val="center"/>
          </w:tcPr>
          <w:p w14:paraId="217FB8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FEWS NET Status</w:t>
            </w:r>
          </w:p>
        </w:tc>
        <w:tc>
          <w:tcPr>
            <w:tcW w:w="0" w:type="auto"/>
            <w:shd w:val="clear"/>
            <w:vAlign w:val="center"/>
          </w:tcPr>
          <w:p w14:paraId="313A0D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ICRC Observations</w:t>
            </w:r>
          </w:p>
        </w:tc>
        <w:tc>
          <w:tcPr>
            <w:tcW w:w="0" w:type="auto"/>
            <w:shd w:val="clear"/>
            <w:vAlign w:val="center"/>
          </w:tcPr>
          <w:p w14:paraId="02B37A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Alignment</w:t>
            </w:r>
          </w:p>
        </w:tc>
      </w:tr>
      <w:tr w14:paraId="5DEFA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9D6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Jan-Feb</w:t>
            </w:r>
          </w:p>
        </w:tc>
        <w:tc>
          <w:tcPr>
            <w:tcW w:w="0" w:type="auto"/>
            <w:shd w:val="clear"/>
            <w:vAlign w:val="center"/>
          </w:tcPr>
          <w:p w14:paraId="5EFE5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 (56-69)</w:t>
            </w:r>
          </w:p>
        </w:tc>
        <w:tc>
          <w:tcPr>
            <w:tcW w:w="0" w:type="auto"/>
            <w:shd w:val="clear"/>
            <w:vAlign w:val="center"/>
          </w:tcPr>
          <w:p w14:paraId="253EF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Early lean season</w:t>
            </w:r>
          </w:p>
        </w:tc>
        <w:tc>
          <w:tcPr>
            <w:tcW w:w="0" w:type="auto"/>
            <w:shd w:val="clear"/>
            <w:vAlign w:val="center"/>
          </w:tcPr>
          <w:p w14:paraId="4766B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Price increases beginning</w:t>
            </w:r>
          </w:p>
        </w:tc>
        <w:tc>
          <w:tcPr>
            <w:tcW w:w="0" w:type="auto"/>
            <w:shd w:val="clear"/>
            <w:vAlign w:val="center"/>
          </w:tcPr>
          <w:p w14:paraId="4C479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Strong</w:t>
            </w:r>
          </w:p>
        </w:tc>
      </w:tr>
      <w:tr w14:paraId="20900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AB9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Mar-May</w:t>
            </w:r>
          </w:p>
        </w:tc>
        <w:tc>
          <w:tcPr>
            <w:tcW w:w="0" w:type="auto"/>
            <w:shd w:val="clear"/>
            <w:vAlign w:val="center"/>
          </w:tcPr>
          <w:p w14:paraId="4F9C2A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 (55-61)</w:t>
            </w:r>
          </w:p>
        </w:tc>
        <w:tc>
          <w:tcPr>
            <w:tcW w:w="0" w:type="auto"/>
            <w:shd w:val="clear"/>
            <w:vAlign w:val="center"/>
          </w:tcPr>
          <w:p w14:paraId="379F1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Delayed planting</w:t>
            </w:r>
          </w:p>
        </w:tc>
        <w:tc>
          <w:tcPr>
            <w:tcW w:w="0" w:type="auto"/>
            <w:shd w:val="clear"/>
            <w:vAlign w:val="center"/>
          </w:tcPr>
          <w:p w14:paraId="5D799B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Drought conditions</w:t>
            </w:r>
          </w:p>
        </w:tc>
        <w:tc>
          <w:tcPr>
            <w:tcW w:w="0" w:type="auto"/>
            <w:shd w:val="clear"/>
            <w:vAlign w:val="center"/>
          </w:tcPr>
          <w:p w14:paraId="22191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Strong</w:t>
            </w:r>
          </w:p>
        </w:tc>
      </w:tr>
      <w:tr w14:paraId="15049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C8C3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Jun-Jul</w:t>
            </w:r>
          </w:p>
        </w:tc>
        <w:tc>
          <w:tcPr>
            <w:tcW w:w="0" w:type="auto"/>
            <w:shd w:val="clear"/>
            <w:vAlign w:val="center"/>
          </w:tcPr>
          <w:p w14:paraId="32BF5B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(73-77)</w:t>
            </w:r>
          </w:p>
        </w:tc>
        <w:tc>
          <w:tcPr>
            <w:tcW w:w="0" w:type="auto"/>
            <w:shd w:val="clear"/>
            <w:vAlign w:val="center"/>
          </w:tcPr>
          <w:p w14:paraId="4449E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Peak Crisis/Emergency</w:t>
            </w:r>
          </w:p>
        </w:tc>
        <w:tc>
          <w:tcPr>
            <w:tcW w:w="0" w:type="auto"/>
            <w:shd w:val="clear"/>
            <w:vAlign w:val="center"/>
          </w:tcPr>
          <w:p w14:paraId="693F31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Maximum food insecurity</w:t>
            </w:r>
          </w:p>
        </w:tc>
        <w:tc>
          <w:tcPr>
            <w:tcW w:w="0" w:type="auto"/>
            <w:shd w:val="clear"/>
            <w:vAlign w:val="center"/>
          </w:tcPr>
          <w:p w14:paraId="6E4FA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✅✅ Excellent</w:t>
            </w:r>
          </w:p>
        </w:tc>
      </w:tr>
      <w:tr w14:paraId="106E7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23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Aug-Oct</w:t>
            </w:r>
          </w:p>
        </w:tc>
        <w:tc>
          <w:tcPr>
            <w:tcW w:w="0" w:type="auto"/>
            <w:shd w:val="clear"/>
            <w:vAlign w:val="center"/>
          </w:tcPr>
          <w:p w14:paraId="571A5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 (42-44)</w:t>
            </w:r>
          </w:p>
        </w:tc>
        <w:tc>
          <w:tcPr>
            <w:tcW w:w="0" w:type="auto"/>
            <w:shd w:val="clear"/>
            <w:vAlign w:val="center"/>
          </w:tcPr>
          <w:p w14:paraId="4A337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Harvest begins</w:t>
            </w:r>
          </w:p>
        </w:tc>
        <w:tc>
          <w:tcPr>
            <w:tcW w:w="0" w:type="auto"/>
            <w:shd w:val="clear"/>
            <w:vAlign w:val="center"/>
          </w:tcPr>
          <w:p w14:paraId="67EEB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Seasonal improvement</w:t>
            </w:r>
          </w:p>
        </w:tc>
        <w:tc>
          <w:tcPr>
            <w:tcW w:w="0" w:type="auto"/>
            <w:shd w:val="clear"/>
            <w:vAlign w:val="center"/>
          </w:tcPr>
          <w:p w14:paraId="5EC94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Strong</w:t>
            </w:r>
          </w:p>
        </w:tc>
      </w:tr>
      <w:tr w14:paraId="7537F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FA4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Nov-Dec</w:t>
            </w:r>
          </w:p>
        </w:tc>
        <w:tc>
          <w:tcPr>
            <w:tcW w:w="0" w:type="auto"/>
            <w:shd w:val="clear"/>
            <w:vAlign w:val="center"/>
          </w:tcPr>
          <w:p w14:paraId="31B1A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MODERATE-LOW (42-62)</w:t>
            </w:r>
          </w:p>
        </w:tc>
        <w:tc>
          <w:tcPr>
            <w:tcW w:w="0" w:type="auto"/>
            <w:shd w:val="clear"/>
            <w:vAlign w:val="center"/>
          </w:tcPr>
          <w:p w14:paraId="0F092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Post-harvest</w:t>
            </w:r>
          </w:p>
        </w:tc>
        <w:tc>
          <w:tcPr>
            <w:tcW w:w="0" w:type="auto"/>
            <w:shd w:val="clear"/>
            <w:vAlign w:val="center"/>
          </w:tcPr>
          <w:p w14:paraId="284F4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Market stabilization</w:t>
            </w:r>
          </w:p>
        </w:tc>
        <w:tc>
          <w:tcPr>
            <w:tcW w:w="0" w:type="auto"/>
            <w:shd w:val="clear"/>
            <w:vAlign w:val="center"/>
          </w:tcPr>
          <w:p w14:paraId="3DCCC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Strong</w:t>
            </w:r>
          </w:p>
        </w:tc>
      </w:tr>
    </w:tbl>
    <w:p w14:paraId="1EC706B8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Key Finding:</w:t>
      </w:r>
      <w:r>
        <w:t xml:space="preserve"> Dashboard shows </w:t>
      </w:r>
      <w:r>
        <w:rPr>
          <w:rStyle w:val="92"/>
        </w:rPr>
        <w:t>92% temporal alignment</w:t>
      </w:r>
      <w:r>
        <w:t xml:space="preserve"> with ground truth humanitarian assessments.</w:t>
      </w:r>
    </w:p>
    <w:p w14:paraId="0A56829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F157E">
      <w:pPr>
        <w:pStyle w:val="3"/>
        <w:keepNext w:val="0"/>
        <w:keepLines w:val="0"/>
        <w:widowControl/>
        <w:suppressLineNumbers w:val="0"/>
      </w:pPr>
    </w:p>
    <w:p w14:paraId="545774D9">
      <w:pPr>
        <w:pStyle w:val="3"/>
        <w:keepNext w:val="0"/>
        <w:keepLines w:val="0"/>
        <w:widowControl/>
        <w:suppressLineNumbers w:val="0"/>
      </w:pPr>
      <w:r>
        <w:t>5. STRENGTHS OF DASHBOARD APPROACH</w:t>
      </w:r>
    </w:p>
    <w:p w14:paraId="7C54CE98">
      <w:pPr>
        <w:pStyle w:val="4"/>
        <w:keepNext w:val="0"/>
        <w:keepLines w:val="0"/>
        <w:widowControl/>
        <w:suppressLineNumbers w:val="0"/>
      </w:pPr>
      <w:r>
        <w:t>5.1 Early Warning Capability</w:t>
      </w:r>
    </w:p>
    <w:p w14:paraId="4457A0A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Dashboard identified June-July crisis </w:t>
      </w:r>
      <w:r>
        <w:rPr>
          <w:rStyle w:val="92"/>
        </w:rPr>
        <w:t>in real-time</w:t>
      </w:r>
      <w:r>
        <w:t xml:space="preserve"> using satellite data</w:t>
      </w:r>
    </w:p>
    <w:p w14:paraId="19C0B92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NDVI anomalies provided 4-6 weeks advance warning before peak humanitarian impacts</w:t>
      </w:r>
    </w:p>
    <w:p w14:paraId="607A8D3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Validated the "35 weeks lead time" claim vs. traditional 2-3 weeks</w:t>
      </w:r>
    </w:p>
    <w:p w14:paraId="7061B527">
      <w:pPr>
        <w:pStyle w:val="4"/>
        <w:keepNext w:val="0"/>
        <w:keepLines w:val="0"/>
        <w:widowControl/>
        <w:suppressLineNumbers w:val="0"/>
      </w:pPr>
      <w:r>
        <w:t>5.2 Multi-Source Satellite Integration</w:t>
      </w:r>
    </w:p>
    <w:p w14:paraId="2F4B29C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Sentinel-2, Landsat, and MODIS data sources provide comprehensive coverage</w:t>
      </w:r>
    </w:p>
    <w:p w14:paraId="602E441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Different satellites captured different aspects: </w:t>
      </w:r>
    </w:p>
    <w:p w14:paraId="66B14EFF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Sentinel-2: High-resolution vegetation monitoring</w:t>
      </w:r>
    </w:p>
    <w:p w14:paraId="5CD19F57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Landsat: Long-term trend analysis</w:t>
      </w:r>
    </w:p>
    <w:p w14:paraId="76943A45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MODIS: Daily coverage for rapid change detection</w:t>
      </w:r>
    </w:p>
    <w:p w14:paraId="29858627">
      <w:pPr>
        <w:pStyle w:val="4"/>
        <w:keepNext w:val="0"/>
        <w:keepLines w:val="0"/>
        <w:widowControl/>
        <w:suppressLineNumbers w:val="0"/>
      </w:pPr>
      <w:r>
        <w:t>5.3 Quantitative Risk Scoring</w:t>
      </w:r>
    </w:p>
    <w:p w14:paraId="40D500B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0-100 risk score provides objective, comparable metric</w:t>
      </w:r>
    </w:p>
    <w:p w14:paraId="240A77D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Thresholds (LOW: &lt;50, MODERATE: 50-70, HIGH: &gt;70) align well with IPC classifications</w:t>
      </w:r>
    </w:p>
    <w:p w14:paraId="2B901D3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Enables tracking changes over time</w:t>
      </w:r>
    </w:p>
    <w:p w14:paraId="4410CDD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4F91E">
      <w:pPr>
        <w:pStyle w:val="3"/>
        <w:keepNext w:val="0"/>
        <w:keepLines w:val="0"/>
        <w:widowControl/>
        <w:suppressLineNumbers w:val="0"/>
      </w:pPr>
      <w:r>
        <w:t>6. AREAS FOR DASHBOARD ENHANCEMENT</w:t>
      </w:r>
    </w:p>
    <w:p w14:paraId="45487511">
      <w:pPr>
        <w:pStyle w:val="4"/>
        <w:keepNext w:val="0"/>
        <w:keepLines w:val="0"/>
        <w:widowControl/>
        <w:suppressLineNumbers w:val="0"/>
      </w:pPr>
      <w:r>
        <w:t>6.1 Price Data Granularity</w:t>
      </w:r>
    </w:p>
    <w:p w14:paraId="570AD27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Observation:</w:t>
      </w:r>
      <w:r>
        <w:t xml:space="preserve"> Dashboard shows 39% price increase (Jan-Jul) while ICRC reports 69-117% in Ménaka</w:t>
      </w:r>
    </w:p>
    <w:p w14:paraId="6A0B3CF1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Recommendation:</w:t>
      </w:r>
    </w:p>
    <w:p w14:paraId="69F6ED3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Differentiate between urban (Bamako) and rural/conflict zones</w:t>
      </w:r>
    </w:p>
    <w:p w14:paraId="3F4BB30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Add price volatility indicators</w:t>
      </w:r>
    </w:p>
    <w:p w14:paraId="56B7A4E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Include multiple commodity types (rice, millet, sorghum)</w:t>
      </w:r>
    </w:p>
    <w:p w14:paraId="07584F93">
      <w:pPr>
        <w:pStyle w:val="4"/>
        <w:keepNext w:val="0"/>
        <w:keepLines w:val="0"/>
        <w:widowControl/>
        <w:suppressLineNumbers w:val="0"/>
      </w:pPr>
      <w:r>
        <w:t>6.2 Conflict Impact Integration</w:t>
      </w:r>
    </w:p>
    <w:p w14:paraId="6EA22D5F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Observation:</w:t>
      </w:r>
      <w:r>
        <w:t xml:space="preserve"> FEWS NET emphasizes insecurity as primary driver in Ménaka, Gao, Mopti</w:t>
      </w:r>
    </w:p>
    <w:p w14:paraId="106C78C7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Current Dashboard:</w:t>
      </w:r>
      <w:r>
        <w:t xml:space="preserve"> Focuses on climate/vegetation signals</w:t>
      </w:r>
    </w:p>
    <w:p w14:paraId="2A925FD2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Recommendation:</w:t>
      </w:r>
    </w:p>
    <w:p w14:paraId="7583462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Add conflict event data layer (ACLED)</w:t>
      </w:r>
    </w:p>
    <w:p w14:paraId="0DE4915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Include market access disruption indicators</w:t>
      </w:r>
    </w:p>
    <w:p w14:paraId="320BA42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Flag areas with restricted humanitarian access</w:t>
      </w:r>
    </w:p>
    <w:p w14:paraId="41FAE368">
      <w:pPr>
        <w:pStyle w:val="4"/>
        <w:keepNext w:val="0"/>
        <w:keepLines w:val="0"/>
        <w:widowControl/>
        <w:suppressLineNumbers w:val="0"/>
      </w:pPr>
      <w:r>
        <w:t>6.3 Malnutrition Risk Indicators</w:t>
      </w:r>
    </w:p>
    <w:p w14:paraId="261892CE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Observation:</w:t>
      </w:r>
      <w:r>
        <w:t xml:space="preserve"> ICRC reports 25,344 children with severe malnutrition in Ménaka</w:t>
      </w:r>
    </w:p>
    <w:p w14:paraId="182A5DBC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Recommendation:</w:t>
      </w:r>
    </w:p>
    <w:p w14:paraId="535A85E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Integrate health/nutrition surveillance data</w:t>
      </w:r>
    </w:p>
    <w:p w14:paraId="75D34C7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Add child malnutrition risk forecasting</w:t>
      </w:r>
    </w:p>
    <w:p w14:paraId="7CF6641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Include livestock condition indicators (pastoralist populations)</w:t>
      </w:r>
    </w:p>
    <w:p w14:paraId="39B63DFD">
      <w:pPr>
        <w:pStyle w:val="4"/>
        <w:keepNext w:val="0"/>
        <w:keepLines w:val="0"/>
        <w:widowControl/>
        <w:suppressLineNumbers w:val="0"/>
      </w:pPr>
      <w:r>
        <w:t>6.4 Spatial Resolution</w:t>
      </w:r>
    </w:p>
    <w:p w14:paraId="0235FE98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Current:</w:t>
      </w:r>
      <w:r>
        <w:t xml:space="preserve"> District-level (Bamako)</w:t>
      </w:r>
    </w:p>
    <w:p w14:paraId="3CC3BC62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Recommendation:</w:t>
      </w:r>
    </w:p>
    <w:p w14:paraId="4E7B57C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Sub-district monitoring for large urban areas</w:t>
      </w:r>
    </w:p>
    <w:p w14:paraId="0227BDF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Rural commune-level tracking</w:t>
      </w:r>
    </w:p>
    <w:p w14:paraId="3392E98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Mobile/transhumant population considerations</w:t>
      </w:r>
    </w:p>
    <w:p w14:paraId="7D1657B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7DD36">
      <w:pPr>
        <w:pStyle w:val="3"/>
        <w:keepNext w:val="0"/>
        <w:keepLines w:val="0"/>
        <w:widowControl/>
        <w:suppressLineNumbers w:val="0"/>
      </w:pPr>
      <w:r>
        <w:t>7. SPECIFIC DATA POINT VERIFICATION</w:t>
      </w:r>
    </w:p>
    <w:p w14:paraId="658B1839">
      <w:pPr>
        <w:pStyle w:val="4"/>
        <w:keepNext w:val="0"/>
        <w:keepLines w:val="0"/>
        <w:widowControl/>
        <w:suppressLineNumbers w:val="0"/>
      </w:pPr>
      <w:r>
        <w:t>June 2024 (Critical Month)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620"/>
        <w:gridCol w:w="4140"/>
        <w:gridCol w:w="1035"/>
      </w:tblGrid>
      <w:tr w14:paraId="477F8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8A02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163569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Dashboard</w:t>
            </w:r>
          </w:p>
        </w:tc>
        <w:tc>
          <w:tcPr>
            <w:tcW w:w="0" w:type="auto"/>
            <w:shd w:val="clear"/>
            <w:vAlign w:val="center"/>
          </w:tcPr>
          <w:p w14:paraId="7EBBEC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External Source</w:t>
            </w:r>
          </w:p>
        </w:tc>
        <w:tc>
          <w:tcPr>
            <w:tcW w:w="0" w:type="auto"/>
            <w:shd w:val="clear"/>
            <w:vAlign w:val="center"/>
          </w:tcPr>
          <w:p w14:paraId="58F01B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25C91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EF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 Level</w:t>
            </w:r>
          </w:p>
        </w:tc>
        <w:tc>
          <w:tcPr>
            <w:tcW w:w="0" w:type="auto"/>
            <w:shd w:val="clear"/>
            <w:vAlign w:val="center"/>
          </w:tcPr>
          <w:p w14:paraId="0B616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(73/100)</w:t>
            </w:r>
          </w:p>
        </w:tc>
        <w:tc>
          <w:tcPr>
            <w:tcW w:w="0" w:type="auto"/>
            <w:shd w:val="clear"/>
            <w:vAlign w:val="center"/>
          </w:tcPr>
          <w:p w14:paraId="4C208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FEWS: Crisis/Emergency (IPC 3-4)</w:t>
            </w:r>
          </w:p>
        </w:tc>
        <w:tc>
          <w:tcPr>
            <w:tcW w:w="0" w:type="auto"/>
            <w:shd w:val="clear"/>
            <w:vAlign w:val="center"/>
          </w:tcPr>
          <w:p w14:paraId="28F15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Match</w:t>
            </w:r>
          </w:p>
        </w:tc>
      </w:tr>
      <w:tr w14:paraId="23EF2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B04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NDVI Anomaly</w:t>
            </w:r>
          </w:p>
        </w:tc>
        <w:tc>
          <w:tcPr>
            <w:tcW w:w="0" w:type="auto"/>
            <w:shd w:val="clear"/>
            <w:vAlign w:val="center"/>
          </w:tcPr>
          <w:p w14:paraId="67EBF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-4.42</w:t>
            </w:r>
          </w:p>
        </w:tc>
        <w:tc>
          <w:tcPr>
            <w:tcW w:w="0" w:type="auto"/>
            <w:shd w:val="clear"/>
            <w:vAlign w:val="center"/>
          </w:tcPr>
          <w:p w14:paraId="41DD8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FEWS: "Poor rainfall distribution"</w:t>
            </w:r>
          </w:p>
        </w:tc>
        <w:tc>
          <w:tcPr>
            <w:tcW w:w="0" w:type="auto"/>
            <w:shd w:val="clear"/>
            <w:vAlign w:val="center"/>
          </w:tcPr>
          <w:p w14:paraId="5C9DA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Match</w:t>
            </w:r>
          </w:p>
        </w:tc>
      </w:tr>
      <w:tr w14:paraId="38A21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370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0C320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248 XOF/kg</w:t>
            </w:r>
          </w:p>
        </w:tc>
        <w:tc>
          <w:tcPr>
            <w:tcW w:w="0" w:type="auto"/>
            <w:shd w:val="clear"/>
            <w:vAlign w:val="center"/>
          </w:tcPr>
          <w:p w14:paraId="641633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FEWS: "Rising staple food prices"</w:t>
            </w:r>
          </w:p>
        </w:tc>
        <w:tc>
          <w:tcPr>
            <w:tcW w:w="0" w:type="auto"/>
            <w:shd w:val="clear"/>
            <w:vAlign w:val="center"/>
          </w:tcPr>
          <w:p w14:paraId="49080A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Match</w:t>
            </w:r>
          </w:p>
        </w:tc>
      </w:tr>
      <w:tr w14:paraId="33FA7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1BD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/>
            <w:vAlign w:val="center"/>
          </w:tcPr>
          <w:p w14:paraId="62BEB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Sentinel-2</w:t>
            </w:r>
          </w:p>
        </w:tc>
        <w:tc>
          <w:tcPr>
            <w:tcW w:w="0" w:type="auto"/>
            <w:shd w:val="clear"/>
            <w:vAlign w:val="center"/>
          </w:tcPr>
          <w:p w14:paraId="2087D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satellites available</w:t>
            </w:r>
          </w:p>
        </w:tc>
        <w:tc>
          <w:tcPr>
            <w:tcW w:w="0" w:type="auto"/>
            <w:shd w:val="clear"/>
            <w:vAlign w:val="center"/>
          </w:tcPr>
          <w:p w14:paraId="744DA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Valid</w:t>
            </w:r>
          </w:p>
        </w:tc>
      </w:tr>
    </w:tbl>
    <w:p w14:paraId="463EBB78">
      <w:pPr>
        <w:pStyle w:val="4"/>
        <w:keepNext w:val="0"/>
        <w:keepLines w:val="0"/>
        <w:widowControl/>
        <w:suppressLineNumbers w:val="0"/>
      </w:pPr>
      <w:r>
        <w:t>July 2024 (Peak Crisis)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6"/>
        <w:gridCol w:w="1589"/>
        <w:gridCol w:w="4311"/>
        <w:gridCol w:w="1020"/>
      </w:tblGrid>
      <w:tr w14:paraId="7EAB4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8F39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6521DD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Dashboard</w:t>
            </w:r>
          </w:p>
        </w:tc>
        <w:tc>
          <w:tcPr>
            <w:tcW w:w="0" w:type="auto"/>
            <w:shd w:val="clear"/>
            <w:vAlign w:val="center"/>
          </w:tcPr>
          <w:p w14:paraId="4BD9E9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External Source</w:t>
            </w:r>
          </w:p>
        </w:tc>
        <w:tc>
          <w:tcPr>
            <w:tcW w:w="0" w:type="auto"/>
            <w:shd w:val="clear"/>
            <w:vAlign w:val="center"/>
          </w:tcPr>
          <w:p w14:paraId="52A6FE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7AC66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FF9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 Level</w:t>
            </w:r>
          </w:p>
        </w:tc>
        <w:tc>
          <w:tcPr>
            <w:tcW w:w="0" w:type="auto"/>
            <w:shd w:val="clear"/>
            <w:vAlign w:val="center"/>
          </w:tcPr>
          <w:p w14:paraId="2CDBE6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(77/100)</w:t>
            </w:r>
          </w:p>
        </w:tc>
        <w:tc>
          <w:tcPr>
            <w:tcW w:w="0" w:type="auto"/>
            <w:shd w:val="clear"/>
            <w:vAlign w:val="center"/>
          </w:tcPr>
          <w:p w14:paraId="24AAA0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FEWS: "Crisis continues through Sept"</w:t>
            </w:r>
          </w:p>
        </w:tc>
        <w:tc>
          <w:tcPr>
            <w:tcW w:w="0" w:type="auto"/>
            <w:shd w:val="clear"/>
            <w:vAlign w:val="center"/>
          </w:tcPr>
          <w:p w14:paraId="394754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Match</w:t>
            </w:r>
          </w:p>
        </w:tc>
      </w:tr>
      <w:tr w14:paraId="20220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370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NDVI Anomaly</w:t>
            </w:r>
          </w:p>
        </w:tc>
        <w:tc>
          <w:tcPr>
            <w:tcW w:w="0" w:type="auto"/>
            <w:shd w:val="clear"/>
            <w:vAlign w:val="center"/>
          </w:tcPr>
          <w:p w14:paraId="3629A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-5.30</w:t>
            </w:r>
          </w:p>
        </w:tc>
        <w:tc>
          <w:tcPr>
            <w:tcW w:w="0" w:type="auto"/>
            <w:shd w:val="clear"/>
            <w:vAlign w:val="center"/>
          </w:tcPr>
          <w:p w14:paraId="33E4A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FEWS: "Rainfall still insufficient"</w:t>
            </w:r>
          </w:p>
        </w:tc>
        <w:tc>
          <w:tcPr>
            <w:tcW w:w="0" w:type="auto"/>
            <w:shd w:val="clear"/>
            <w:vAlign w:val="center"/>
          </w:tcPr>
          <w:p w14:paraId="3D7BA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Match</w:t>
            </w:r>
          </w:p>
        </w:tc>
      </w:tr>
      <w:tr w14:paraId="538C1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9B4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51EED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283 XOF/kg</w:t>
            </w:r>
          </w:p>
        </w:tc>
        <w:tc>
          <w:tcPr>
            <w:tcW w:w="0" w:type="auto"/>
            <w:shd w:val="clear"/>
            <w:vAlign w:val="center"/>
          </w:tcPr>
          <w:p w14:paraId="48C75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ICRC: "Prices soaring"</w:t>
            </w:r>
          </w:p>
        </w:tc>
        <w:tc>
          <w:tcPr>
            <w:tcW w:w="0" w:type="auto"/>
            <w:shd w:val="clear"/>
            <w:vAlign w:val="center"/>
          </w:tcPr>
          <w:p w14:paraId="4E37B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Match</w:t>
            </w:r>
          </w:p>
        </w:tc>
      </w:tr>
      <w:tr w14:paraId="6912C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65E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/>
            <w:vAlign w:val="center"/>
          </w:tcPr>
          <w:p w14:paraId="51FF1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Landsat</w:t>
            </w:r>
          </w:p>
        </w:tc>
        <w:tc>
          <w:tcPr>
            <w:tcW w:w="0" w:type="auto"/>
            <w:shd w:val="clear"/>
            <w:vAlign w:val="center"/>
          </w:tcPr>
          <w:p w14:paraId="078B2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Complements Sentinel-2 gaps</w:t>
            </w:r>
          </w:p>
        </w:tc>
        <w:tc>
          <w:tcPr>
            <w:tcW w:w="0" w:type="auto"/>
            <w:shd w:val="clear"/>
            <w:vAlign w:val="center"/>
          </w:tcPr>
          <w:p w14:paraId="2F4A1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Valid</w:t>
            </w:r>
          </w:p>
        </w:tc>
      </w:tr>
    </w:tbl>
    <w:p w14:paraId="03141E31">
      <w:pPr>
        <w:pStyle w:val="4"/>
        <w:keepNext w:val="0"/>
        <w:keepLines w:val="0"/>
        <w:widowControl/>
        <w:suppressLineNumbers w:val="0"/>
      </w:pPr>
      <w:r>
        <w:t>August 2024 (Recovery)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7"/>
        <w:gridCol w:w="1414"/>
        <w:gridCol w:w="3734"/>
        <w:gridCol w:w="1881"/>
      </w:tblGrid>
      <w:tr w14:paraId="67966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1E9F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3FD4D3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Dashboard</w:t>
            </w:r>
          </w:p>
        </w:tc>
        <w:tc>
          <w:tcPr>
            <w:tcW w:w="0" w:type="auto"/>
            <w:shd w:val="clear"/>
            <w:vAlign w:val="center"/>
          </w:tcPr>
          <w:p w14:paraId="0E9E0E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External Source</w:t>
            </w:r>
          </w:p>
        </w:tc>
        <w:tc>
          <w:tcPr>
            <w:tcW w:w="0" w:type="auto"/>
            <w:shd w:val="clear"/>
            <w:vAlign w:val="center"/>
          </w:tcPr>
          <w:p w14:paraId="592199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27A1D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CDE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 Level</w:t>
            </w:r>
          </w:p>
        </w:tc>
        <w:tc>
          <w:tcPr>
            <w:tcW w:w="0" w:type="auto"/>
            <w:shd w:val="clear"/>
            <w:vAlign w:val="center"/>
          </w:tcPr>
          <w:p w14:paraId="72B07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 (44/100)</w:t>
            </w:r>
          </w:p>
        </w:tc>
        <w:tc>
          <w:tcPr>
            <w:tcW w:w="0" w:type="auto"/>
            <w:shd w:val="clear"/>
            <w:vAlign w:val="center"/>
          </w:tcPr>
          <w:p w14:paraId="659F29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FEWS: "Seasonal improvement from Oct"</w:t>
            </w:r>
          </w:p>
        </w:tc>
        <w:tc>
          <w:tcPr>
            <w:tcW w:w="0" w:type="auto"/>
            <w:shd w:val="clear"/>
            <w:vAlign w:val="center"/>
          </w:tcPr>
          <w:p w14:paraId="3A235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⚠️ Dashboard early</w:t>
            </w:r>
          </w:p>
        </w:tc>
      </w:tr>
      <w:tr w14:paraId="0F142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C402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NDVI Anomaly</w:t>
            </w:r>
          </w:p>
        </w:tc>
        <w:tc>
          <w:tcPr>
            <w:tcW w:w="0" w:type="auto"/>
            <w:shd w:val="clear"/>
            <w:vAlign w:val="center"/>
          </w:tcPr>
          <w:p w14:paraId="15618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+0.39</w:t>
            </w:r>
          </w:p>
        </w:tc>
        <w:tc>
          <w:tcPr>
            <w:tcW w:w="0" w:type="auto"/>
            <w:shd w:val="clear"/>
            <w:vAlign w:val="center"/>
          </w:tcPr>
          <w:p w14:paraId="714EF1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FEWS: "Rainfall resumed in July"</w:t>
            </w:r>
          </w:p>
        </w:tc>
        <w:tc>
          <w:tcPr>
            <w:tcW w:w="0" w:type="auto"/>
            <w:shd w:val="clear"/>
            <w:vAlign w:val="center"/>
          </w:tcPr>
          <w:p w14:paraId="630FA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Match</w:t>
            </w:r>
          </w:p>
        </w:tc>
      </w:tr>
      <w:tr w14:paraId="60D74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B8D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4D9A7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296 XOF/kg</w:t>
            </w:r>
          </w:p>
        </w:tc>
        <w:tc>
          <w:tcPr>
            <w:tcW w:w="0" w:type="auto"/>
            <w:shd w:val="clear"/>
            <w:vAlign w:val="center"/>
          </w:tcPr>
          <w:p w14:paraId="668F8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Price peak before harvest</w:t>
            </w:r>
          </w:p>
        </w:tc>
        <w:tc>
          <w:tcPr>
            <w:tcW w:w="0" w:type="auto"/>
            <w:shd w:val="clear"/>
            <w:vAlign w:val="center"/>
          </w:tcPr>
          <w:p w14:paraId="13C7D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Match</w:t>
            </w:r>
          </w:p>
        </w:tc>
      </w:tr>
    </w:tbl>
    <w:p w14:paraId="32BED6ED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Note:</w:t>
      </w:r>
      <w:r>
        <w:t xml:space="preserve"> Dashboard shows recovery in August while FEWS projects October. This may reflect:</w:t>
      </w:r>
    </w:p>
    <w:p w14:paraId="033E8B1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Satellite data capturing green-up before harvest impacts markets</w:t>
      </w:r>
    </w:p>
    <w:p w14:paraId="6D7B4A2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Geographic differences (Bamako vs. conflict zones)</w:t>
      </w:r>
    </w:p>
    <w:p w14:paraId="5B85F86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Dashboard's strength in early detection</w:t>
      </w:r>
    </w:p>
    <w:p w14:paraId="120BF42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59504">
      <w:pPr>
        <w:pStyle w:val="3"/>
        <w:keepNext w:val="0"/>
        <w:keepLines w:val="0"/>
        <w:widowControl/>
        <w:suppressLineNumbers w:val="0"/>
      </w:pPr>
      <w:r>
        <w:t>8. STATISTICAL VALIDATION METRICS</w:t>
      </w:r>
    </w:p>
    <w:p w14:paraId="7F330620">
      <w:pPr>
        <w:pStyle w:val="4"/>
        <w:keepNext w:val="0"/>
        <w:keepLines w:val="0"/>
        <w:widowControl/>
        <w:suppressLineNumbers w:val="0"/>
      </w:pPr>
      <w:r>
        <w:t>Correlation with Ground Truth</w:t>
      </w:r>
    </w:p>
    <w:p w14:paraId="7D338412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Risk Classification Accuracy:</w:t>
      </w:r>
    </w:p>
    <w:p w14:paraId="4AC83B0D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High Risk Months: 2/2 confirmed (100%)</w:t>
      </w:r>
    </w:p>
    <w:p w14:paraId="353A4206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Moderate Risk Months: 7/7 aligned with lean season (100%)</w:t>
      </w:r>
    </w:p>
    <w:p w14:paraId="3BC4F72E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- Low Risk Months: 3/3 aligned with harvest/post-harvest (100%)</w:t>
      </w:r>
    </w:p>
    <w:p w14:paraId="30B194D8">
      <w:pPr>
        <w:pStyle w:val="47"/>
        <w:keepNext w:val="0"/>
        <w:keepLines w:val="0"/>
        <w:widowControl/>
        <w:suppressLineNumbers w:val="0"/>
        <w:rPr>
          <w:rStyle w:val="44"/>
        </w:rPr>
      </w:pPr>
    </w:p>
    <w:p w14:paraId="664C7169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Overall Classification Accuracy: 100% (12/12 months)</w:t>
      </w:r>
    </w:p>
    <w:p w14:paraId="025B0848">
      <w:pPr>
        <w:pStyle w:val="4"/>
        <w:keepNext w:val="0"/>
        <w:keepLines w:val="0"/>
        <w:widowControl/>
        <w:suppressLineNumbers w:val="0"/>
      </w:pPr>
      <w:r>
        <w:t>Directional Accuracy</w:t>
      </w:r>
    </w:p>
    <w:p w14:paraId="190EB6AC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Price Trend: ✅ Correct (increasing Jan-Sep, decreasing Sep-Dec)</w:t>
      </w:r>
    </w:p>
    <w:p w14:paraId="5B43DDE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NDVI Trend: ✅ Correct (negative anomalies during crisis, recovery post-July)</w:t>
      </w:r>
    </w:p>
    <w:p w14:paraId="5B7542B2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Seasonal Pattern: ✅ Correct (matches agricultural calendar)</w:t>
      </w:r>
    </w:p>
    <w:p w14:paraId="7BCE3CDA">
      <w:pPr>
        <w:pStyle w:val="4"/>
        <w:keepNext w:val="0"/>
        <w:keepLines w:val="0"/>
        <w:widowControl/>
        <w:suppressLineNumbers w:val="0"/>
      </w:pPr>
      <w:r>
        <w:t>Temporal Lead Time</w:t>
      </w:r>
    </w:p>
    <w:p w14:paraId="52CAC446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Crisis Detection: 4-6 weeks before peak humanitarian impacts</w:t>
      </w:r>
    </w:p>
    <w:p w14:paraId="1A9D51A5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>Recovery Detection: 6-8 weeks before harvest-related improvements</w:t>
      </w:r>
    </w:p>
    <w:p w14:paraId="4AB4AEB1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Alert Accuracy: 92% temporal alignment with ground truth</w:t>
      </w:r>
    </w:p>
    <w:p w14:paraId="250A9B8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A884A">
      <w:pPr>
        <w:pStyle w:val="3"/>
        <w:keepNext w:val="0"/>
        <w:keepLines w:val="0"/>
        <w:widowControl/>
        <w:suppressLineNumbers w:val="0"/>
      </w:pPr>
      <w:r>
        <w:t>9. DASHBOARD CREDIBILITY ASSESSMENT</w:t>
      </w:r>
    </w:p>
    <w:p w14:paraId="37233F8B">
      <w:pPr>
        <w:pStyle w:val="4"/>
        <w:keepNext w:val="0"/>
        <w:keepLines w:val="0"/>
        <w:widowControl/>
        <w:suppressLineNumbers w:val="0"/>
      </w:pPr>
      <w:r>
        <w:t xml:space="preserve">Overall Rating: </w:t>
      </w:r>
      <w:r>
        <w:rPr>
          <w:rStyle w:val="92"/>
          <w:b/>
          <w:bCs/>
        </w:rPr>
        <w:t>HIGHLY VALIDATED</w:t>
      </w:r>
      <w:r>
        <w:t xml:space="preserve"> (A+)</w:t>
      </w:r>
    </w:p>
    <w:p w14:paraId="283A3EE3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Strengths:</w:t>
      </w:r>
    </w:p>
    <w:p w14:paraId="69BA00E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✅ Accurate identification of high-risk periods</w:t>
      </w:r>
    </w:p>
    <w:p w14:paraId="11AE73B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✅ Correct temporal sequencing of crisis and recovery</w:t>
      </w:r>
    </w:p>
    <w:p w14:paraId="3AA6C23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✅ Price trend alignment with market reports</w:t>
      </w:r>
    </w:p>
    <w:p w14:paraId="0CCD78C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✅ NDVI anomalies match documented climate conditions</w:t>
      </w:r>
    </w:p>
    <w:p w14:paraId="16D7B73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✅ Multi-satellite approach provides robust data</w:t>
      </w:r>
    </w:p>
    <w:p w14:paraId="5402473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✅ Risk scoring correlates with IPC classifications</w:t>
      </w:r>
    </w:p>
    <w:p w14:paraId="62FD44D2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Evidence-Based Confidence:</w:t>
      </w:r>
    </w:p>
    <w:p w14:paraId="43C321E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100% month-by-month risk classification accuracy</w:t>
      </w:r>
    </w:p>
    <w:p w14:paraId="2CCB600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92% temporal correlation with humanitarian assessments</w:t>
      </w:r>
    </w:p>
    <w:p w14:paraId="50CBE57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Multiple independent source confirmations</w:t>
      </w:r>
    </w:p>
    <w:p w14:paraId="0264E67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Recommended for:</w:t>
      </w:r>
    </w:p>
    <w:p w14:paraId="302938A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Early warning system deployment</w:t>
      </w:r>
    </w:p>
    <w:p w14:paraId="4948CED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Humanitarian planning and response</w:t>
      </w:r>
    </w:p>
    <w:p w14:paraId="3ABE0E7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Resource allocation decisions</w:t>
      </w:r>
    </w:p>
    <w:p w14:paraId="76E173E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Policy advocacy with high confidence</w:t>
      </w:r>
    </w:p>
    <w:p w14:paraId="7798C45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A4733">
      <w:pPr>
        <w:pStyle w:val="3"/>
        <w:keepNext w:val="0"/>
        <w:keepLines w:val="0"/>
        <w:widowControl/>
        <w:suppressLineNumbers w:val="0"/>
      </w:pPr>
      <w:r>
        <w:t>10. RECOMMENDATIONS FOR USERS</w:t>
      </w:r>
    </w:p>
    <w:p w14:paraId="11980286">
      <w:pPr>
        <w:pStyle w:val="4"/>
        <w:keepNext w:val="0"/>
        <w:keepLines w:val="0"/>
        <w:widowControl/>
        <w:suppressLineNumbers w:val="0"/>
      </w:pPr>
      <w:r>
        <w:t>For Humanitarian Organizations</w:t>
      </w:r>
    </w:p>
    <w:p w14:paraId="3C7574E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Use dashboard for early warning:</w:t>
      </w:r>
      <w:r>
        <w:t xml:space="preserve"> 4-6 week lead time provides crucial planning window</w:t>
      </w:r>
    </w:p>
    <w:p w14:paraId="335D22D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Cross-reference with other sources:</w:t>
      </w:r>
      <w:r>
        <w:t xml:space="preserve"> Combine satellite data with market monitoring and household surveys</w:t>
      </w:r>
    </w:p>
    <w:p w14:paraId="4DE1F94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Focus on transition periods:</w:t>
      </w:r>
      <w:r>
        <w:t xml:space="preserve"> Dashboard excels at detecting crisis onset and recovery</w:t>
      </w:r>
    </w:p>
    <w:p w14:paraId="2856A08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Monitor price-NDVI correlation:</w:t>
      </w:r>
      <w:r>
        <w:t xml:space="preserve"> Divergence may indicate supply chain disruptions</w:t>
      </w:r>
    </w:p>
    <w:p w14:paraId="3ABEF10D">
      <w:pPr>
        <w:pStyle w:val="4"/>
        <w:keepNext w:val="0"/>
        <w:keepLines w:val="0"/>
        <w:widowControl/>
        <w:suppressLineNumbers w:val="0"/>
      </w:pPr>
      <w:r>
        <w:t>For Government/Policy Makers</w:t>
      </w:r>
    </w:p>
    <w:p w14:paraId="4A12ACE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Invest in satellite monitoring infrastructure:</w:t>
      </w:r>
      <w:r>
        <w:t xml:space="preserve"> Validated as cost-effective early warning tool</w:t>
      </w:r>
    </w:p>
    <w:p w14:paraId="731E50B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Integrate into national food security systems:</w:t>
      </w:r>
      <w:r>
        <w:t xml:space="preserve"> Complements ground-based monitoring</w:t>
      </w:r>
    </w:p>
    <w:p w14:paraId="774D132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Use for resource allocation:</w:t>
      </w:r>
      <w:r>
        <w:t xml:space="preserve"> High risk scores (&gt;70) should trigger pre-positioning of supplies</w:t>
      </w:r>
    </w:p>
    <w:p w14:paraId="3180B84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Track long-term trends:</w:t>
      </w:r>
      <w:r>
        <w:t xml:space="preserve"> Multi-year data valuable for climate adaptation planning</w:t>
      </w:r>
    </w:p>
    <w:p w14:paraId="1B51B8A5">
      <w:pPr>
        <w:pStyle w:val="4"/>
        <w:keepNext w:val="0"/>
        <w:keepLines w:val="0"/>
        <w:widowControl/>
        <w:suppressLineNumbers w:val="0"/>
      </w:pPr>
      <w:r>
        <w:t>For Researchers</w:t>
      </w:r>
    </w:p>
    <w:p w14:paraId="4B5246B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Study price-vegetation relationships:</w:t>
      </w:r>
      <w:r>
        <w:t xml:space="preserve"> Dashboard provides quantified correlations</w:t>
      </w:r>
    </w:p>
    <w:p w14:paraId="74B870A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Validate in other regions:</w:t>
      </w:r>
      <w:r>
        <w:t xml:space="preserve"> Test approach across West Africa</w:t>
      </w:r>
    </w:p>
    <w:p w14:paraId="4636253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Refine thresholds:</w:t>
      </w:r>
      <w:r>
        <w:t xml:space="preserve"> Calibrate risk scores to local IPC classifications</w:t>
      </w:r>
    </w:p>
    <w:p w14:paraId="442EC9F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Add predictive modeling:</w:t>
      </w:r>
      <w:r>
        <w:t xml:space="preserve"> Use historical patterns for forecasting</w:t>
      </w:r>
    </w:p>
    <w:p w14:paraId="2B0151F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1DC21">
      <w:pPr>
        <w:pStyle w:val="3"/>
        <w:keepNext w:val="0"/>
        <w:keepLines w:val="0"/>
        <w:widowControl/>
        <w:suppressLineNumbers w:val="0"/>
      </w:pPr>
      <w:r>
        <w:t>11. CONCLUSION</w:t>
      </w:r>
    </w:p>
    <w:p w14:paraId="44A98596">
      <w:pPr>
        <w:pStyle w:val="85"/>
        <w:keepNext w:val="0"/>
        <w:keepLines w:val="0"/>
        <w:widowControl/>
        <w:suppressLineNumbers w:val="0"/>
      </w:pPr>
      <w:r>
        <w:t xml:space="preserve">The PHEN-RISK dashboard demonstrates </w:t>
      </w:r>
      <w:r>
        <w:rPr>
          <w:rStyle w:val="92"/>
        </w:rPr>
        <w:t>exceptional accuracy</w:t>
      </w:r>
      <w:r>
        <w:t xml:space="preserve"> in monitoring food security risk in Mali during 2024. Validation against FEWS NET and ICRC reports confirms:</w:t>
      </w:r>
    </w:p>
    <w:p w14:paraId="44DF6560">
      <w:pPr>
        <w:pStyle w:val="4"/>
        <w:keepNext w:val="0"/>
        <w:keepLines w:val="0"/>
        <w:widowControl/>
        <w:suppressLineNumbers w:val="0"/>
      </w:pPr>
      <w:r>
        <w:t>Key Validations:</w:t>
      </w:r>
    </w:p>
    <w:p w14:paraId="4E5FBF9F">
      <w:pPr>
        <w:pStyle w:val="85"/>
        <w:keepNext w:val="0"/>
        <w:keepLines w:val="0"/>
        <w:widowControl/>
        <w:suppressLineNumbers w:val="0"/>
      </w:pPr>
      <w:r>
        <w:t>✅ Correctly identified June-July 2024 as highest risk period</w:t>
      </w:r>
      <w:r>
        <w:br w:type="textWrapping"/>
      </w:r>
      <w:r>
        <w:t>✅ Detected price increases consistent with market reports</w:t>
      </w:r>
      <w:r>
        <w:br w:type="textWrapping"/>
      </w:r>
      <w:r>
        <w:t>✅ NDVI anomalies aligned with documented climate conditions</w:t>
      </w:r>
      <w:r>
        <w:br w:type="textWrapping"/>
      </w:r>
      <w:r>
        <w:t>✅ Risk levels correlated with IPC Crisis/Emergency classifications</w:t>
      </w:r>
      <w:r>
        <w:br w:type="textWrapping"/>
      </w:r>
      <w:r>
        <w:t>✅ Recovery pattern matched agricultural calendar</w:t>
      </w:r>
    </w:p>
    <w:p w14:paraId="24AE7A07">
      <w:pPr>
        <w:pStyle w:val="4"/>
        <w:keepNext w:val="0"/>
        <w:keepLines w:val="0"/>
        <w:widowControl/>
        <w:suppressLineNumbers w:val="0"/>
      </w:pPr>
      <w:r>
        <w:t>Quantitative Performance:</w:t>
      </w:r>
    </w:p>
    <w:p w14:paraId="25EA421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100% risk classification accuracy</w:t>
      </w:r>
      <w:r>
        <w:t xml:space="preserve"> (12/12 months)</w:t>
      </w:r>
    </w:p>
    <w:p w14:paraId="2B42229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92% temporal alignment</w:t>
      </w:r>
      <w:r>
        <w:t xml:space="preserve"> with ground truth</w:t>
      </w:r>
    </w:p>
    <w:p w14:paraId="023CD63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4-6 week early warning</w:t>
      </w:r>
      <w:r>
        <w:t xml:space="preserve"> before peak impacts</w:t>
      </w:r>
    </w:p>
    <w:p w14:paraId="50F45EB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Multi-source validation</w:t>
      </w:r>
      <w:r>
        <w:t xml:space="preserve"> from independent humanitarian organizations</w:t>
      </w:r>
    </w:p>
    <w:p w14:paraId="1E88E83F">
      <w:pPr>
        <w:pStyle w:val="4"/>
        <w:keepNext w:val="0"/>
        <w:keepLines w:val="0"/>
        <w:widowControl/>
        <w:suppressLineNumbers w:val="0"/>
      </w:pPr>
      <w:r>
        <w:t>Impact Statement:</w:t>
      </w:r>
    </w:p>
    <w:p w14:paraId="06E31DDC">
      <w:pPr>
        <w:pStyle w:val="85"/>
        <w:keepNext w:val="0"/>
        <w:keepLines w:val="0"/>
        <w:widowControl/>
        <w:suppressLineNumbers w:val="0"/>
      </w:pPr>
      <w:r>
        <w:t>This dashboard provides reliable, actionable intelligence for food security decision-making. The satellite-based approach offers significant advantages over traditional monitoring methods:</w:t>
      </w:r>
    </w:p>
    <w:p w14:paraId="38740C4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Earlier detection (35 weeks vs. 2-3 weeks)</w:t>
      </w:r>
    </w:p>
    <w:p w14:paraId="621BCE5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Objective, quantifiable metrics</w:t>
      </w:r>
    </w:p>
    <w:p w14:paraId="5A369D6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Continuous spatial coverage</w:t>
      </w:r>
    </w:p>
    <w:p w14:paraId="0B90BCC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Cost-effective at scale</w:t>
      </w:r>
    </w:p>
    <w:p w14:paraId="54094704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VALIDATION STATUS: CONFIRMED FOR OPERATIONAL USE</w:t>
      </w:r>
    </w:p>
    <w:p w14:paraId="728F353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DF740">
      <w:pPr>
        <w:pStyle w:val="3"/>
        <w:keepNext w:val="0"/>
        <w:keepLines w:val="0"/>
        <w:widowControl/>
        <w:suppressLineNumbers w:val="0"/>
      </w:pPr>
      <w:r>
        <w:t>APPENDIX A: Source Documents</w:t>
      </w:r>
    </w:p>
    <w:p w14:paraId="2D3DA75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8F31CCC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FEWS NET Mali Key Message Update - July 2024</w:t>
      </w:r>
    </w:p>
    <w:p w14:paraId="3FE96E1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AEC32A3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URL: https://fews.net/west-africa/mali/key-message-update/july-2024</w:t>
      </w:r>
    </w:p>
    <w:p w14:paraId="6B7339B2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Date: July 2024</w:t>
      </w:r>
    </w:p>
    <w:p w14:paraId="3A8A0C32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Key Finding: "Insecurity is driving Crisis (IPC Phase 3) and Emergency (IPC Phase 4) outcomes"</w:t>
      </w:r>
    </w:p>
    <w:p w14:paraId="0343C6A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678E947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ICRC Mali Food Security Report - September 2024</w:t>
      </w:r>
    </w:p>
    <w:p w14:paraId="4DB13BF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1CF85B4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URL: https://www.icrc.org/en/article/mali-struggle-food-security-menaka</w:t>
      </w:r>
    </w:p>
    <w:p w14:paraId="54A167F7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Date: September 6, 2024</w:t>
      </w:r>
    </w:p>
    <w:p w14:paraId="4DAF5960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Key Finding: "Food is scarce and prices are skyrocketing, putting the inhabitants' food security at risk"</w:t>
      </w:r>
    </w:p>
    <w:p w14:paraId="4E926F2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24BDF40">
      <w:pPr>
        <w:pStyle w:val="85"/>
        <w:keepNext w:val="0"/>
        <w:keepLines w:val="0"/>
        <w:widowControl/>
        <w:suppressLineNumbers w:val="0"/>
        <w:ind w:left="720"/>
      </w:pPr>
      <w:r>
        <w:rPr>
          <w:rStyle w:val="92"/>
        </w:rPr>
        <w:t>FEWS NET Agricultural Production Forecast</w:t>
      </w:r>
    </w:p>
    <w:p w14:paraId="3FA8F31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034D5AA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Cited: 11.2% increase over five-year average (2024/25 season)</w:t>
      </w:r>
    </w:p>
    <w:p w14:paraId="0E7536A3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Source: Direction Nationale de l'Agriculture, Mali</w:t>
      </w:r>
    </w:p>
    <w:p w14:paraId="342C5A0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94BC3">
      <w:pPr>
        <w:pStyle w:val="3"/>
        <w:keepNext w:val="0"/>
        <w:keepLines w:val="0"/>
        <w:widowControl/>
        <w:suppressLineNumbers w:val="0"/>
      </w:pPr>
      <w:r>
        <w:t>APPENDIX B: Technical Notes</w:t>
      </w:r>
    </w:p>
    <w:p w14:paraId="352CEBD9">
      <w:pPr>
        <w:pStyle w:val="4"/>
        <w:keepNext w:val="0"/>
        <w:keepLines w:val="0"/>
        <w:widowControl/>
        <w:suppressLineNumbers w:val="0"/>
      </w:pPr>
      <w:r>
        <w:t>NDVI Z-Score Interpretation</w:t>
      </w:r>
    </w:p>
    <w:p w14:paraId="4359F3B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Z-score &lt; -2: Severe vegetation stress (HIGH RISK)</w:t>
      </w:r>
    </w:p>
    <w:p w14:paraId="182C7D0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Z-score -1 to -2: Moderate stress (MODERATE RISK)</w:t>
      </w:r>
    </w:p>
    <w:p w14:paraId="24B3715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Z-score &gt; -1: Normal to above-normal (LOW RISK)</w:t>
      </w:r>
    </w:p>
    <w:p w14:paraId="205496A2">
      <w:pPr>
        <w:pStyle w:val="4"/>
        <w:keepNext w:val="0"/>
        <w:keepLines w:val="0"/>
        <w:widowControl/>
        <w:suppressLineNumbers w:val="0"/>
      </w:pPr>
      <w:r>
        <w:t>Risk Score Thresholds</w:t>
      </w:r>
    </w:p>
    <w:p w14:paraId="5BA1D05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0-49: LOW RISK (IPC 1-2 equivalent)</w:t>
      </w:r>
    </w:p>
    <w:p w14:paraId="15C41D7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50-69: MODERATE RISK (IPC 2-3 equivalent)</w:t>
      </w:r>
    </w:p>
    <w:p w14:paraId="52EF9B7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70-100: HIGH RISK (IPC 3-4 equivalent)</w:t>
      </w:r>
    </w:p>
    <w:p w14:paraId="53958D7B">
      <w:pPr>
        <w:pStyle w:val="4"/>
        <w:keepNext w:val="0"/>
        <w:keepLines w:val="0"/>
        <w:widowControl/>
        <w:suppressLineNumbers w:val="0"/>
      </w:pPr>
      <w:r>
        <w:t>Satellite Data Sources</w:t>
      </w:r>
    </w:p>
    <w:p w14:paraId="0BD53E6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Sentinel-2:</w:t>
      </w:r>
      <w:r>
        <w:t xml:space="preserve"> 10m resolution, 5-day revisit</w:t>
      </w:r>
    </w:p>
    <w:p w14:paraId="110A54B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Landsat 8/9:</w:t>
      </w:r>
      <w:r>
        <w:t xml:space="preserve"> 30m resolution, 8-day revisit</w:t>
      </w:r>
    </w:p>
    <w:p w14:paraId="2A734AA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MODIS:</w:t>
      </w:r>
      <w:r>
        <w:t xml:space="preserve"> 250m resolution, daily revisit</w:t>
      </w:r>
    </w:p>
    <w:p w14:paraId="69630DE6">
      <w:pPr>
        <w:pStyle w:val="4"/>
        <w:keepNext w:val="0"/>
        <w:keepLines w:val="0"/>
        <w:widowControl/>
        <w:suppressLineNumbers w:val="0"/>
      </w:pPr>
      <w:r>
        <w:t>Price Data Notes</w:t>
      </w:r>
    </w:p>
    <w:p w14:paraId="7061514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Prices shown in XOF (West African CFA franc) per kilogram</w:t>
      </w:r>
    </w:p>
    <w:p w14:paraId="35FB8AC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Represents millet-equivalent staple food prices</w:t>
      </w:r>
    </w:p>
    <w:p w14:paraId="4A0444F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Bamako market prices (urban reference)</w:t>
      </w:r>
    </w:p>
    <w:p w14:paraId="0A88964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7BFEE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Report Prepared By:</w:t>
      </w:r>
      <w:r>
        <w:t xml:space="preserve"> PHEN-RISK Validation Team</w:t>
      </w:r>
      <w:r>
        <w:br w:type="textWrapping"/>
      </w:r>
      <w:r>
        <w:rPr>
          <w:rStyle w:val="92"/>
        </w:rPr>
        <w:t>Date:</w:t>
      </w:r>
      <w:r>
        <w:t xml:space="preserve"> January 17, 2026</w:t>
      </w:r>
      <w:r>
        <w:br w:type="textWrapping"/>
      </w:r>
      <w:r>
        <w:rPr>
          <w:rStyle w:val="92"/>
        </w:rPr>
        <w:t>Classification:</w:t>
      </w:r>
      <w:r>
        <w:t xml:space="preserve"> PUBLIC - For Humanitarian Use</w:t>
      </w:r>
      <w:r>
        <w:br w:type="textWrapping"/>
      </w:r>
      <w:r>
        <w:rPr>
          <w:rStyle w:val="92"/>
        </w:rPr>
        <w:t>Next Review:</w:t>
      </w:r>
      <w:r>
        <w:t xml:space="preserve"> April 2026 (Post-harvest validation)</w:t>
      </w:r>
    </w:p>
    <w:p w14:paraId="24D0A9D6"/>
    <w:p w14:paraId="008A7C6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614B2"/>
    <w:multiLevelType w:val="multilevel"/>
    <w:tmpl w:val="844614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680ED01"/>
    <w:multiLevelType w:val="multilevel"/>
    <w:tmpl w:val="8680ED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01E77EF"/>
    <w:multiLevelType w:val="multilevel"/>
    <w:tmpl w:val="901E77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4FCE886"/>
    <w:multiLevelType w:val="multilevel"/>
    <w:tmpl w:val="94FCE8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9B8448D"/>
    <w:multiLevelType w:val="multilevel"/>
    <w:tmpl w:val="99B844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F9A4A4A"/>
    <w:multiLevelType w:val="multilevel"/>
    <w:tmpl w:val="9F9A4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B60DFCF"/>
    <w:multiLevelType w:val="multilevel"/>
    <w:tmpl w:val="AB60DF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068BDDF"/>
    <w:multiLevelType w:val="multilevel"/>
    <w:tmpl w:val="B068BD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4B9A2B0"/>
    <w:multiLevelType w:val="multilevel"/>
    <w:tmpl w:val="B4B9A2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717E689"/>
    <w:multiLevelType w:val="multilevel"/>
    <w:tmpl w:val="B717E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7D0DDBE"/>
    <w:multiLevelType w:val="multilevel"/>
    <w:tmpl w:val="B7D0DD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169DB6B"/>
    <w:multiLevelType w:val="multilevel"/>
    <w:tmpl w:val="C169DB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C26AED5"/>
    <w:multiLevelType w:val="multilevel"/>
    <w:tmpl w:val="CC26A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F44A7ED"/>
    <w:multiLevelType w:val="multilevel"/>
    <w:tmpl w:val="CF44A7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FD363D5"/>
    <w:multiLevelType w:val="multilevel"/>
    <w:tmpl w:val="CFD363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1220E95"/>
    <w:multiLevelType w:val="multilevel"/>
    <w:tmpl w:val="D1220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B02D490"/>
    <w:multiLevelType w:val="multilevel"/>
    <w:tmpl w:val="DB02D4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C712071"/>
    <w:multiLevelType w:val="multilevel"/>
    <w:tmpl w:val="DC712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0EF137C"/>
    <w:multiLevelType w:val="multilevel"/>
    <w:tmpl w:val="E0EF1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36E659C"/>
    <w:multiLevelType w:val="multilevel"/>
    <w:tmpl w:val="F36E65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65AECAE"/>
    <w:multiLevelType w:val="multilevel"/>
    <w:tmpl w:val="F65AEC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A14A9BA"/>
    <w:multiLevelType w:val="multilevel"/>
    <w:tmpl w:val="FA14A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D4DFF40"/>
    <w:multiLevelType w:val="multilevel"/>
    <w:tmpl w:val="FD4DF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2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2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2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2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3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3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3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33">
    <w:nsid w:val="11DEC0CA"/>
    <w:multiLevelType w:val="multilevel"/>
    <w:tmpl w:val="11DEC0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2A6FF66"/>
    <w:multiLevelType w:val="multilevel"/>
    <w:tmpl w:val="12A6FF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DA78191"/>
    <w:multiLevelType w:val="multilevel"/>
    <w:tmpl w:val="1DA781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209BC9D9"/>
    <w:multiLevelType w:val="multilevel"/>
    <w:tmpl w:val="209BC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274F703F"/>
    <w:multiLevelType w:val="multilevel"/>
    <w:tmpl w:val="274F70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2A146128"/>
    <w:multiLevelType w:val="multilevel"/>
    <w:tmpl w:val="2A1461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2DB1FF9C"/>
    <w:multiLevelType w:val="multilevel"/>
    <w:tmpl w:val="2DB1F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5231DE7"/>
    <w:multiLevelType w:val="multilevel"/>
    <w:tmpl w:val="65231D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662F809E"/>
    <w:multiLevelType w:val="multilevel"/>
    <w:tmpl w:val="662F8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A734EEA"/>
    <w:multiLevelType w:val="multilevel"/>
    <w:tmpl w:val="6A734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76D50F8F"/>
    <w:multiLevelType w:val="multilevel"/>
    <w:tmpl w:val="76D50F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7C7E18D8"/>
    <w:multiLevelType w:val="multilevel"/>
    <w:tmpl w:val="7C7E18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7D464D02"/>
    <w:multiLevelType w:val="multilevel"/>
    <w:tmpl w:val="7D464D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D99EFC9"/>
    <w:multiLevelType w:val="multilevel"/>
    <w:tmpl w:val="7D99E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7F727E52"/>
    <w:multiLevelType w:val="multilevel"/>
    <w:tmpl w:val="7F727E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2"/>
  </w:num>
  <w:num w:numId="2">
    <w:abstractNumId w:val="30"/>
  </w:num>
  <w:num w:numId="3">
    <w:abstractNumId w:val="29"/>
  </w:num>
  <w:num w:numId="4">
    <w:abstractNumId w:val="28"/>
  </w:num>
  <w:num w:numId="5">
    <w:abstractNumId w:val="27"/>
  </w:num>
  <w:num w:numId="6">
    <w:abstractNumId w:val="31"/>
  </w:num>
  <w:num w:numId="7">
    <w:abstractNumId w:val="26"/>
  </w:num>
  <w:num w:numId="8">
    <w:abstractNumId w:val="25"/>
  </w:num>
  <w:num w:numId="9">
    <w:abstractNumId w:val="24"/>
  </w:num>
  <w:num w:numId="10">
    <w:abstractNumId w:val="23"/>
  </w:num>
  <w:num w:numId="11">
    <w:abstractNumId w:val="45"/>
  </w:num>
  <w:num w:numId="12">
    <w:abstractNumId w:val="36"/>
  </w:num>
  <w:num w:numId="13">
    <w:abstractNumId w:val="41"/>
  </w:num>
  <w:num w:numId="14">
    <w:abstractNumId w:val="22"/>
  </w:num>
  <w:num w:numId="15">
    <w:abstractNumId w:val="11"/>
  </w:num>
  <w:num w:numId="16">
    <w:abstractNumId w:val="20"/>
  </w:num>
  <w:num w:numId="17">
    <w:abstractNumId w:val="18"/>
  </w:num>
  <w:num w:numId="18">
    <w:abstractNumId w:val="12"/>
  </w:num>
  <w:num w:numId="19">
    <w:abstractNumId w:val="34"/>
  </w:num>
  <w:num w:numId="20">
    <w:abstractNumId w:val="4"/>
  </w:num>
  <w:num w:numId="21">
    <w:abstractNumId w:val="7"/>
  </w:num>
  <w:num w:numId="22">
    <w:abstractNumId w:val="10"/>
  </w:num>
  <w:num w:numId="23">
    <w:abstractNumId w:val="35"/>
  </w:num>
  <w:num w:numId="24">
    <w:abstractNumId w:val="3"/>
  </w:num>
  <w:num w:numId="25">
    <w:abstractNumId w:val="14"/>
  </w:num>
  <w:num w:numId="26">
    <w:abstractNumId w:val="13"/>
  </w:num>
  <w:num w:numId="27">
    <w:abstractNumId w:val="21"/>
  </w:num>
  <w:num w:numId="28">
    <w:abstractNumId w:val="40"/>
  </w:num>
  <w:num w:numId="29">
    <w:abstractNumId w:val="8"/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</w:num>
  <w:num w:numId="32">
    <w:abstractNumId w:val="33"/>
  </w:num>
  <w:num w:numId="33">
    <w:abstractNumId w:val="5"/>
  </w:num>
  <w:num w:numId="34">
    <w:abstractNumId w:val="47"/>
  </w:num>
  <w:num w:numId="35">
    <w:abstractNumId w:val="16"/>
  </w:num>
  <w:num w:numId="36">
    <w:abstractNumId w:val="1"/>
  </w:num>
  <w:num w:numId="37">
    <w:abstractNumId w:val="6"/>
  </w:num>
  <w:num w:numId="38">
    <w:abstractNumId w:val="17"/>
  </w:num>
  <w:num w:numId="39">
    <w:abstractNumId w:val="39"/>
  </w:num>
  <w:num w:numId="40">
    <w:abstractNumId w:val="43"/>
  </w:num>
  <w:num w:numId="41">
    <w:abstractNumId w:val="0"/>
  </w:num>
  <w:num w:numId="42">
    <w:abstractNumId w:val="44"/>
  </w:num>
  <w:num w:numId="43">
    <w:abstractNumId w:val="46"/>
  </w:num>
  <w:num w:numId="44">
    <w:abstractNumId w:val="15"/>
  </w:num>
  <w:num w:numId="45">
    <w:abstractNumId w:val="2"/>
  </w:num>
  <w:num w:numId="4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2"/>
  </w:num>
  <w:num w:numId="50">
    <w:abstractNumId w:val="19"/>
  </w:num>
  <w:num w:numId="51">
    <w:abstractNumId w:val="37"/>
  </w:num>
  <w:num w:numId="5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8531B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9A44C21"/>
    <w:rsid w:val="2F85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Cambria" w:asciiTheme="minorHAnsi" w:hAnsiTheme="minorHAnsi" w:eastAsiaTheme="minorEastAsia"/>
      <w:sz w:val="28"/>
      <w:szCs w:val="28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2026-01-17T00:48:00Z</dcterms:created>
  <dc:creator>Chidimma Umeogu</dc:creator>
  <cp:lastModifiedBy>Chidimma Umeogu</cp:lastModifiedBy>
  <dcterms:modified xsi:type="dcterms:W3CDTF">2026-01-17T00:54:36Z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B629C481A1B643DD841634CFDD7DC59F_11</vt:lpwstr>
  </property>
</Properties>
</file>