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438B0" w14:textId="106E5DF5" w:rsidR="003A4A67" w:rsidRPr="00B96792" w:rsidRDefault="003A4A67" w:rsidP="003A4A67">
      <w:pPr>
        <w:spacing w:line="480" w:lineRule="auto"/>
        <w:rPr>
          <w:rFonts w:ascii="Times" w:hAnsi="Times" w:cs="Arial"/>
        </w:rPr>
      </w:pPr>
      <w:bookmarkStart w:id="0" w:name="_GoBack"/>
      <w:bookmarkEnd w:id="0"/>
      <w:r w:rsidRPr="00B96792">
        <w:rPr>
          <w:rFonts w:ascii="Times" w:hAnsi="Times" w:cs="Arial"/>
          <w:b/>
        </w:rPr>
        <w:t>Tracking and forecasting community responses to climate perturbations in the California Current Ecosystem</w:t>
      </w:r>
      <w:r>
        <w:rPr>
          <w:rFonts w:ascii="Times" w:hAnsi="Times" w:cs="Arial"/>
        </w:rPr>
        <w:br/>
      </w:r>
      <w:r w:rsidRPr="00B96792">
        <w:rPr>
          <w:rFonts w:ascii="Times" w:hAnsi="Times" w:cs="Arial"/>
        </w:rPr>
        <w:t xml:space="preserve">Mary E. Hunsicker, Eric J. Ward, Michael A. Litzow, Sean C. Anderson, Chris J. Harvey, John C. Field, </w:t>
      </w:r>
      <w:proofErr w:type="spellStart"/>
      <w:r w:rsidRPr="00B96792">
        <w:rPr>
          <w:rFonts w:ascii="Times" w:hAnsi="Times" w:cs="Arial"/>
        </w:rPr>
        <w:t>Jin</w:t>
      </w:r>
      <w:proofErr w:type="spellEnd"/>
      <w:r w:rsidRPr="00B96792">
        <w:rPr>
          <w:rFonts w:ascii="Times" w:hAnsi="Times" w:cs="Arial"/>
        </w:rPr>
        <w:t xml:space="preserve"> Gao, Michael G. </w:t>
      </w:r>
      <w:proofErr w:type="spellStart"/>
      <w:r w:rsidRPr="00B96792">
        <w:rPr>
          <w:rFonts w:ascii="Times" w:hAnsi="Times" w:cs="Arial"/>
        </w:rPr>
        <w:t>Jacox</w:t>
      </w:r>
      <w:proofErr w:type="spellEnd"/>
      <w:r w:rsidRPr="00B96792">
        <w:rPr>
          <w:rFonts w:ascii="Times" w:hAnsi="Times" w:cs="Arial"/>
        </w:rPr>
        <w:t xml:space="preserve">, Sharon </w:t>
      </w:r>
      <w:proofErr w:type="spellStart"/>
      <w:r w:rsidRPr="00B96792">
        <w:rPr>
          <w:rFonts w:ascii="Times" w:hAnsi="Times" w:cs="Arial"/>
        </w:rPr>
        <w:t>Melin</w:t>
      </w:r>
      <w:proofErr w:type="spellEnd"/>
      <w:r w:rsidRPr="00B96792">
        <w:rPr>
          <w:rFonts w:ascii="Times" w:hAnsi="Times" w:cs="Arial"/>
        </w:rPr>
        <w:t>, Andrew</w:t>
      </w:r>
      <w:r w:rsidR="00B450FA">
        <w:rPr>
          <w:rFonts w:ascii="Times" w:hAnsi="Times" w:cs="Arial"/>
        </w:rPr>
        <w:t xml:space="preserve"> R. </w:t>
      </w:r>
      <w:r w:rsidRPr="00B96792">
        <w:rPr>
          <w:rFonts w:ascii="Times" w:hAnsi="Times" w:cs="Arial"/>
        </w:rPr>
        <w:t>Thompson</w:t>
      </w:r>
      <w:r w:rsidR="00B450FA">
        <w:rPr>
          <w:rFonts w:ascii="Times" w:hAnsi="Times" w:cs="Arial"/>
        </w:rPr>
        <w:t xml:space="preserve">. Pete </w:t>
      </w:r>
      <w:proofErr w:type="spellStart"/>
      <w:r w:rsidR="00B450FA">
        <w:rPr>
          <w:rFonts w:ascii="Times" w:hAnsi="Times" w:cs="Arial"/>
        </w:rPr>
        <w:t>Warzybok</w:t>
      </w:r>
      <w:proofErr w:type="spellEnd"/>
    </w:p>
    <w:p w14:paraId="739D8F6D" w14:textId="77777777" w:rsidR="003A4A67" w:rsidRDefault="003A4A67" w:rsidP="003A4A67">
      <w:pPr>
        <w:spacing w:line="480" w:lineRule="auto"/>
        <w:rPr>
          <w:rFonts w:ascii="Times" w:hAnsi="Times" w:cs="Arial"/>
        </w:rPr>
      </w:pPr>
    </w:p>
    <w:p w14:paraId="24546A8B" w14:textId="2E9A6190" w:rsidR="003A4A67" w:rsidRPr="00613AD3" w:rsidRDefault="003A4A67" w:rsidP="003A4A67">
      <w:pPr>
        <w:spacing w:line="480" w:lineRule="auto"/>
      </w:pPr>
      <w:r w:rsidRPr="003A4A67">
        <w:rPr>
          <w:rFonts w:ascii="Times" w:hAnsi="Times" w:cs="Arial"/>
          <w:b/>
          <w:bCs/>
        </w:rPr>
        <w:t>S1 Appendix: Standardization of time series from spatially resolved datasets.</w:t>
      </w:r>
      <w:r w:rsidRPr="003A4A67">
        <w:br/>
      </w:r>
      <w:r>
        <w:tab/>
      </w:r>
      <w:r w:rsidRPr="00635C47">
        <w:t xml:space="preserve">Datasets collected </w:t>
      </w:r>
      <w:r>
        <w:t xml:space="preserve">through </w:t>
      </w:r>
      <w:r w:rsidRPr="00635C47">
        <w:t>the Rockfish Recruitment and Ecosystem Assessment Survey (RREAS</w:t>
      </w:r>
      <w:r>
        <w:t>;</w:t>
      </w:r>
      <w:r w:rsidRPr="00635C47">
        <w:t xml:space="preserve"> pelagic juvenile fish and invertebrates</w:t>
      </w:r>
      <w:r>
        <w:t xml:space="preserve"> s</w:t>
      </w:r>
      <w:r w:rsidRPr="00635C47">
        <w:t>urvey) and the California Cooperative Oceanic Fisheries Investigations (</w:t>
      </w:r>
      <w:proofErr w:type="spellStart"/>
      <w:r w:rsidRPr="00635C47">
        <w:t>CalCOFI</w:t>
      </w:r>
      <w:proofErr w:type="spellEnd"/>
      <w:r w:rsidRPr="00635C47">
        <w:t>, ichthyoplankton survey) include spatial attributes and were standardized using Generalized Additive Models (GAM) to create a univariate time series for each species included in our analysis.</w:t>
      </w:r>
      <w:r>
        <w:br/>
      </w:r>
    </w:p>
    <w:p w14:paraId="558817E8" w14:textId="77777777" w:rsidR="003A4A67" w:rsidRPr="00613AD3" w:rsidRDefault="003A4A67" w:rsidP="003A4A67">
      <w:pPr>
        <w:spacing w:line="480" w:lineRule="auto"/>
        <w:rPr>
          <w:rFonts w:ascii="Times" w:hAnsi="Times" w:cs="Arial"/>
          <w:i/>
          <w:iCs/>
        </w:rPr>
      </w:pPr>
      <w:r>
        <w:rPr>
          <w:i/>
          <w:iCs/>
        </w:rPr>
        <w:t>RREAS</w:t>
      </w:r>
      <w:r w:rsidRPr="00613AD3">
        <w:rPr>
          <w:i/>
          <w:iCs/>
        </w:rPr>
        <w:t xml:space="preserve"> Survey</w:t>
      </w:r>
      <w:r>
        <w:rPr>
          <w:i/>
          <w:iCs/>
        </w:rPr>
        <w:t xml:space="preserve"> </w:t>
      </w:r>
    </w:p>
    <w:p w14:paraId="610A0F13" w14:textId="77777777" w:rsidR="003A4A67" w:rsidRDefault="003A4A67" w:rsidP="003A4A67">
      <w:pPr>
        <w:spacing w:line="480" w:lineRule="auto"/>
        <w:ind w:firstLine="720"/>
        <w:rPr>
          <w:color w:val="000000" w:themeColor="text1"/>
        </w:rPr>
      </w:pPr>
      <w:r w:rsidRPr="00E13695">
        <w:rPr>
          <w:color w:val="000000" w:themeColor="text1"/>
        </w:rPr>
        <w:t>Because many species in the RREAS survey were absent from a large number of observed trawls, we modeled species occurrence and abundance separately, using a delta</w:t>
      </w:r>
      <w:r>
        <w:rPr>
          <w:color w:val="000000" w:themeColor="text1"/>
        </w:rPr>
        <w:t xml:space="preserve"> </w:t>
      </w:r>
      <w:r w:rsidRPr="00E13695">
        <w:rPr>
          <w:color w:val="000000" w:themeColor="text1"/>
        </w:rPr>
        <w:t>GAM approach with</w:t>
      </w:r>
      <w:r>
        <w:rPr>
          <w:color w:val="000000" w:themeColor="text1"/>
        </w:rPr>
        <w:t xml:space="preserve"> two</w:t>
      </w:r>
      <w:r w:rsidRPr="00E13695">
        <w:rPr>
          <w:color w:val="000000" w:themeColor="text1"/>
        </w:rPr>
        <w:t xml:space="preserve"> sub</w:t>
      </w:r>
      <w:r>
        <w:rPr>
          <w:color w:val="000000" w:themeColor="text1"/>
        </w:rPr>
        <w:t>-</w:t>
      </w:r>
      <w:r w:rsidRPr="00E13695">
        <w:rPr>
          <w:color w:val="000000" w:themeColor="text1"/>
        </w:rPr>
        <w:t xml:space="preserve">models (Hastie 1990, </w:t>
      </w:r>
      <w:proofErr w:type="spellStart"/>
      <w:r w:rsidRPr="00E13695">
        <w:rPr>
          <w:color w:val="000000" w:themeColor="text1"/>
        </w:rPr>
        <w:t>Guissan</w:t>
      </w:r>
      <w:proofErr w:type="spellEnd"/>
      <w:r w:rsidRPr="00E13695">
        <w:rPr>
          <w:color w:val="000000" w:themeColor="text1"/>
        </w:rPr>
        <w:t xml:space="preserve"> 2002). </w:t>
      </w:r>
      <w:r w:rsidRPr="00E13695">
        <w:rPr>
          <w:color w:val="000000" w:themeColor="text1"/>
          <w:shd w:val="clear" w:color="auto" w:fill="FFFFFF"/>
        </w:rPr>
        <w:t>In the first sub-model</w:t>
      </w:r>
      <w:r>
        <w:rPr>
          <w:color w:val="000000" w:themeColor="text1"/>
          <w:shd w:val="clear" w:color="auto" w:fill="FFFFFF"/>
        </w:rPr>
        <w:t>, species</w:t>
      </w:r>
      <w:r w:rsidRPr="00E13695">
        <w:rPr>
          <w:color w:val="000000" w:themeColor="text1"/>
          <w:shd w:val="clear" w:color="auto" w:fill="FFFFFF"/>
        </w:rPr>
        <w:t xml:space="preserve"> occurrence</w:t>
      </w:r>
      <w:r>
        <w:rPr>
          <w:color w:val="000000" w:themeColor="text1"/>
          <w:shd w:val="clear" w:color="auto" w:fill="FFFFFF"/>
        </w:rPr>
        <w:t xml:space="preserve"> (</w:t>
      </w:r>
      <w:r w:rsidRPr="00E13695">
        <w:rPr>
          <w:color w:val="000000" w:themeColor="text1"/>
          <w:shd w:val="clear" w:color="auto" w:fill="FFFFFF"/>
        </w:rPr>
        <w:t>presence-absence</w:t>
      </w:r>
      <w:r>
        <w:rPr>
          <w:color w:val="000000" w:themeColor="text1"/>
          <w:shd w:val="clear" w:color="auto" w:fill="FFFFFF"/>
        </w:rPr>
        <w:t>)</w:t>
      </w:r>
      <w:r w:rsidRPr="00E13695">
        <w:rPr>
          <w:color w:val="000000" w:themeColor="text1"/>
          <w:shd w:val="clear" w:color="auto" w:fill="FFFFFF"/>
        </w:rPr>
        <w:t xml:space="preserve"> </w:t>
      </w:r>
      <w:r>
        <w:rPr>
          <w:color w:val="000000" w:themeColor="text1"/>
          <w:shd w:val="clear" w:color="auto" w:fill="FFFFFF"/>
        </w:rPr>
        <w:t>was</w:t>
      </w:r>
      <w:r w:rsidRPr="00E13695">
        <w:rPr>
          <w:color w:val="000000" w:themeColor="text1"/>
          <w:shd w:val="clear" w:color="auto" w:fill="FFFFFF"/>
        </w:rPr>
        <w:t xml:space="preserve"> modelled using </w:t>
      </w:r>
      <w:r>
        <w:rPr>
          <w:color w:val="000000" w:themeColor="text1"/>
          <w:shd w:val="clear" w:color="auto" w:fill="FFFFFF"/>
        </w:rPr>
        <w:t xml:space="preserve">a </w:t>
      </w:r>
      <w:r w:rsidRPr="00E13695">
        <w:rPr>
          <w:color w:val="000000" w:themeColor="text1"/>
        </w:rPr>
        <w:t>binomial GAM with a logit link. In the second model (‘positive model’), species abundance (count) conditional on the catch of at least one individual w</w:t>
      </w:r>
      <w:r>
        <w:rPr>
          <w:color w:val="000000" w:themeColor="text1"/>
        </w:rPr>
        <w:t>as</w:t>
      </w:r>
      <w:r w:rsidRPr="00E13695">
        <w:rPr>
          <w:color w:val="000000" w:themeColor="text1"/>
        </w:rPr>
        <w:t xml:space="preserve"> modelled using a Poisson GAM with </w:t>
      </w:r>
      <w:r>
        <w:rPr>
          <w:color w:val="000000" w:themeColor="text1"/>
        </w:rPr>
        <w:t xml:space="preserve">a </w:t>
      </w:r>
      <w:r w:rsidRPr="00E13695">
        <w:rPr>
          <w:color w:val="000000" w:themeColor="text1"/>
        </w:rPr>
        <w:t>log</w:t>
      </w:r>
      <w:r>
        <w:rPr>
          <w:color w:val="000000" w:themeColor="text1"/>
        </w:rPr>
        <w:t xml:space="preserve"> </w:t>
      </w:r>
      <w:r w:rsidRPr="00E13695">
        <w:rPr>
          <w:color w:val="000000" w:themeColor="text1"/>
        </w:rPr>
        <w:t xml:space="preserve">link. </w:t>
      </w:r>
      <w:r>
        <w:rPr>
          <w:color w:val="000000" w:themeColor="text1"/>
        </w:rPr>
        <w:t>The formulations of the two sub-models were analogous and as follows:</w:t>
      </w:r>
    </w:p>
    <w:p w14:paraId="59F1260A" w14:textId="77777777" w:rsidR="003A4A67" w:rsidRPr="00441D83" w:rsidRDefault="003A4A67" w:rsidP="003A4A67">
      <w:pPr>
        <w:spacing w:line="480" w:lineRule="auto"/>
        <w:ind w:firstLine="720"/>
        <w:rPr>
          <w:rFonts w:ascii="Times" w:hAnsi="Times"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yr</m:t>
              </m:r>
              <m:d>
                <m:dPr>
                  <m:ctrlPr>
                    <w:rPr>
                      <w:rFonts w:ascii="Cambria Math" w:hAnsi="Cambria Math" w:cs="Arial"/>
                      <w:i/>
                    </w:rPr>
                  </m:ctrlPr>
                </m:dPr>
                <m:e>
                  <m:r>
                    <w:rPr>
                      <w:rFonts w:ascii="Cambria Math" w:hAnsi="Cambria Math" w:cs="Arial"/>
                    </w:rPr>
                    <m:t>φ,λ</m:t>
                  </m:r>
                </m:e>
              </m:d>
              <m:r>
                <m:rPr>
                  <m:nor/>
                </m:rPr>
                <w:rPr>
                  <w:rFonts w:ascii="Cambria Math" w:hAnsi="Cambria Math" w:cs="Arial"/>
                </w:rPr>
                <m:t xml:space="preserve">  </m:t>
              </m:r>
            </m:sub>
          </m:sSub>
          <m:r>
            <m:rPr>
              <m:sty m:val="p"/>
            </m:rPr>
            <w:rPr>
              <w:rFonts w:ascii="Cambria Math" w:hAnsi="Cambria Math" w:cs="Arial"/>
            </w:rPr>
            <m:t>or</m:t>
          </m:r>
          <m:r>
            <w:rPr>
              <w:rFonts w:ascii="Cambria Math" w:hAnsi="Cambria Math" w:cs="Arial"/>
            </w:rPr>
            <m:t xml:space="preserve"> </m:t>
          </m:r>
          <m:sSub>
            <m:sSubPr>
              <m:ctrlPr>
                <w:rPr>
                  <w:rFonts w:ascii="Cambria Math" w:hAnsi="Cambria Math" w:cs="Arial"/>
                  <w:i/>
                </w:rPr>
              </m:ctrlPr>
            </m:sSubPr>
            <m:e>
              <m:r>
                <w:rPr>
                  <w:rFonts w:ascii="Cambria Math" w:hAnsi="Cambria Math" w:cs="Arial"/>
                </w:rPr>
                <m:t>C</m:t>
              </m:r>
            </m:e>
            <m:sub>
              <m:r>
                <w:rPr>
                  <w:rFonts w:ascii="Cambria Math" w:hAnsi="Cambria Math" w:cs="Arial"/>
                </w:rPr>
                <m:t>yr(φ,λ)</m:t>
              </m:r>
            </m:sub>
          </m:sSub>
          <m:r>
            <w:rPr>
              <w:rFonts w:ascii="Cambria Math" w:hAnsi="Cambria Math" w:cs="Arial"/>
            </w:rPr>
            <m:t>=yr+s</m:t>
          </m:r>
          <m:d>
            <m:dPr>
              <m:ctrlPr>
                <w:rPr>
                  <w:rFonts w:ascii="Cambria Math" w:hAnsi="Cambria Math" w:cs="Arial"/>
                  <w:i/>
                </w:rPr>
              </m:ctrlPr>
            </m:dPr>
            <m:e>
              <m:r>
                <w:rPr>
                  <w:rFonts w:ascii="Cambria Math" w:hAnsi="Cambria Math" w:cs="Arial"/>
                </w:rPr>
                <m:t>φ,λ</m:t>
              </m:r>
            </m:e>
          </m:d>
          <m:r>
            <w:rPr>
              <w:rFonts w:ascii="Cambria Math" w:hAnsi="Cambria Math" w:cs="Arial"/>
            </w:rPr>
            <m:t>+</m:t>
          </m:r>
          <m:sSub>
            <m:sSubPr>
              <m:ctrlPr>
                <w:rPr>
                  <w:rFonts w:ascii="Cambria Math" w:hAnsi="Cambria Math" w:cs="Arial"/>
                  <w:i/>
                </w:rPr>
              </m:ctrlPr>
            </m:sSubPr>
            <m:e>
              <m:r>
                <w:rPr>
                  <w:rFonts w:ascii="Cambria Math" w:hAnsi="Cambria Math" w:cs="Arial"/>
                </w:rPr>
                <m:t>jday</m:t>
              </m:r>
            </m:e>
            <m:sub>
              <m:r>
                <w:rPr>
                  <w:rFonts w:ascii="Cambria Math" w:hAnsi="Cambria Math" w:cs="Arial"/>
                </w:rPr>
                <m:t>yr(φ,λ)</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jday</m:t>
              </m:r>
            </m:e>
            <m:sub>
              <m:r>
                <w:rPr>
                  <w:rFonts w:ascii="Cambria Math" w:hAnsi="Cambria Math" w:cs="Arial"/>
                </w:rPr>
                <m:t>yr(φ,λ)</m:t>
              </m:r>
            </m:sub>
            <m:sup>
              <m:r>
                <w:rPr>
                  <w:rFonts w:ascii="Cambria Math" w:hAnsi="Cambria Math" w:cs="Arial"/>
                </w:rPr>
                <m:t>2</m:t>
              </m:r>
            </m:sup>
          </m:sSubSup>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yr(φ,λ)</m:t>
              </m:r>
            </m:sub>
          </m:sSub>
        </m:oMath>
      </m:oMathPara>
    </w:p>
    <w:p w14:paraId="134D3B2E" w14:textId="77777777" w:rsidR="003A4A67" w:rsidRPr="00F97A98" w:rsidRDefault="003A4A67" w:rsidP="003A4A67">
      <w:pPr>
        <w:spacing w:line="480" w:lineRule="auto"/>
      </w:pPr>
      <w:r>
        <w:lastRenderedPageBreak/>
        <w:t>w</w:t>
      </w:r>
      <w:r w:rsidRPr="00F97A98">
        <w:t>here</w:t>
      </w:r>
      <w:r>
        <w:t xml:space="preserve"> </w:t>
      </w:r>
      <w:r w:rsidRPr="00922187">
        <w:rPr>
          <w:i/>
          <w:iCs/>
        </w:rPr>
        <w:t>P</w:t>
      </w:r>
      <w:r>
        <w:rPr>
          <w:color w:val="000000" w:themeColor="text1"/>
        </w:rPr>
        <w:t xml:space="preserve">, </w:t>
      </w:r>
      <w:r w:rsidRPr="00F97A98">
        <w:rPr>
          <w:color w:val="000000" w:themeColor="text1"/>
        </w:rPr>
        <w:t xml:space="preserve">the </w:t>
      </w:r>
      <w:r w:rsidRPr="00F97A98">
        <w:t>probability of species</w:t>
      </w:r>
      <w:r>
        <w:t xml:space="preserve"> occurrence</w:t>
      </w:r>
      <w:r>
        <w:rPr>
          <w:i/>
          <w:iCs/>
        </w:rPr>
        <w:t xml:space="preserve">, </w:t>
      </w:r>
      <w:r>
        <w:t xml:space="preserve">or </w:t>
      </w:r>
      <w:r w:rsidRPr="00922187">
        <w:rPr>
          <w:i/>
          <w:iCs/>
        </w:rPr>
        <w:t>C</w:t>
      </w:r>
      <w:r>
        <w:t xml:space="preserve">, </w:t>
      </w:r>
      <w:r w:rsidRPr="00F97A98">
        <w:t xml:space="preserve">an estimate of species abundance </w:t>
      </w:r>
      <w:r>
        <w:t xml:space="preserve">when the </w:t>
      </w:r>
      <w:r w:rsidRPr="00F97A98">
        <w:t>species</w:t>
      </w:r>
      <w:r w:rsidRPr="00F97A98">
        <w:rPr>
          <w:i/>
          <w:iCs/>
        </w:rPr>
        <w:t xml:space="preserve"> </w:t>
      </w:r>
      <w:r w:rsidRPr="00F97A98">
        <w:t>is present</w:t>
      </w:r>
      <w:r>
        <w:t>, is a function of year (</w:t>
      </w:r>
      <w:proofErr w:type="spellStart"/>
      <w:r w:rsidRPr="001D3E87">
        <w:rPr>
          <w:i/>
          <w:iCs/>
        </w:rPr>
        <w:t>y</w:t>
      </w:r>
      <w:r>
        <w:rPr>
          <w:i/>
          <w:iCs/>
        </w:rPr>
        <w:t>r</w:t>
      </w:r>
      <w:proofErr w:type="spellEnd"/>
      <w:r>
        <w:rPr>
          <w:i/>
          <w:iCs/>
        </w:rPr>
        <w:t xml:space="preserve">, </w:t>
      </w:r>
      <w:r>
        <w:t xml:space="preserve">as factor), latitude </w:t>
      </w:r>
      <w:r w:rsidRPr="00F97A98">
        <w:t xml:space="preserve">(φ) </w:t>
      </w:r>
      <w:r>
        <w:t xml:space="preserve">and longitude </w:t>
      </w:r>
      <w:r w:rsidRPr="00F97A98">
        <w:t>(λ)</w:t>
      </w:r>
      <w:r>
        <w:t>, and Julian day (</w:t>
      </w:r>
      <w:proofErr w:type="spellStart"/>
      <w:r w:rsidRPr="001D3E87">
        <w:rPr>
          <w:i/>
          <w:iCs/>
        </w:rPr>
        <w:t>jday</w:t>
      </w:r>
      <w:proofErr w:type="spellEnd"/>
      <w:r>
        <w:t>). A two-dimensional s</w:t>
      </w:r>
      <w:r w:rsidRPr="00F97A98">
        <w:t>moothing function</w:t>
      </w:r>
      <w:r>
        <w:t xml:space="preserve"> is </w:t>
      </w:r>
      <w:r w:rsidRPr="00F97A98">
        <w:t xml:space="preserve">denoted by </w:t>
      </w:r>
      <w:r w:rsidRPr="00DF5F2D">
        <w:rPr>
          <w:i/>
          <w:iCs/>
        </w:rPr>
        <w:t>s</w:t>
      </w:r>
      <w:r>
        <w:t xml:space="preserve"> and </w:t>
      </w:r>
      <m:oMath>
        <m:r>
          <w:rPr>
            <w:rFonts w:ascii="Cambria Math" w:hAnsi="Cambria Math"/>
          </w:rPr>
          <m:t>ε</m:t>
        </m:r>
      </m:oMath>
      <w:r>
        <w:t xml:space="preserve"> indicates an error term. </w:t>
      </w:r>
    </w:p>
    <w:p w14:paraId="14E41C9E" w14:textId="77777777" w:rsidR="003A4A67" w:rsidRDefault="003A4A67" w:rsidP="003A4A67">
      <w:pPr>
        <w:spacing w:line="480" w:lineRule="auto"/>
        <w:ind w:firstLine="720"/>
        <w:rPr>
          <w:color w:val="000000" w:themeColor="text1"/>
        </w:rPr>
      </w:pPr>
      <w:r>
        <w:rPr>
          <w:color w:val="000000" w:themeColor="text1"/>
        </w:rPr>
        <w:t>Using the fitted GAMs for each species, we generated predictions of overall abundance of individual species. First, we created spatial occurrence and abundance distribution profiles by creating a grid of all combinations of model explanatory variables: geographic coordinates (latitude and longitude), Julian day, and year. We restricted the range of geographic coordinates to 20 values within the upper 0.8 and lower 0.2 quantiles of the data set, and bounded the range of Julian days to the upper 0.9 and lower 0.1 quantiles. This was done to avoid edge effects that can result in unrealistic predictions. All unique sampling years were included in the grid. Next, the probability of occurrence and estimates of abundance were predicted for each combination of the explanatory variables, and then the predictions from</w:t>
      </w:r>
      <w:r w:rsidRPr="00E13695">
        <w:rPr>
          <w:color w:val="000000" w:themeColor="text1"/>
        </w:rPr>
        <w:t xml:space="preserve"> the two sub-models</w:t>
      </w:r>
      <w:r>
        <w:rPr>
          <w:color w:val="000000" w:themeColor="text1"/>
        </w:rPr>
        <w:t xml:space="preserve"> were multiplied to determine the overall abundance of individual species. Lastly, we calculated the mean standardized abundance of each species in each year from the prediction grid to generate the univariate time series of species abundance used in our study analyses.</w:t>
      </w:r>
    </w:p>
    <w:p w14:paraId="0E2AA920" w14:textId="77777777" w:rsidR="003A4A67" w:rsidRDefault="003A4A67" w:rsidP="003A4A67">
      <w:pPr>
        <w:spacing w:line="480" w:lineRule="auto"/>
        <w:rPr>
          <w:color w:val="000000" w:themeColor="text1"/>
        </w:rPr>
      </w:pPr>
    </w:p>
    <w:p w14:paraId="15A6EE4B" w14:textId="77777777" w:rsidR="003A4A67" w:rsidRPr="002E69AD" w:rsidRDefault="003A4A67" w:rsidP="003A4A67">
      <w:pPr>
        <w:spacing w:line="480" w:lineRule="auto"/>
        <w:rPr>
          <w:i/>
          <w:iCs/>
          <w:color w:val="000000" w:themeColor="text1"/>
        </w:rPr>
      </w:pPr>
      <w:proofErr w:type="spellStart"/>
      <w:r w:rsidRPr="002E69AD">
        <w:rPr>
          <w:i/>
          <w:iCs/>
          <w:color w:val="000000" w:themeColor="text1"/>
        </w:rPr>
        <w:t>CalCOFI</w:t>
      </w:r>
      <w:proofErr w:type="spellEnd"/>
      <w:r w:rsidRPr="002E69AD">
        <w:rPr>
          <w:i/>
          <w:iCs/>
          <w:color w:val="000000" w:themeColor="text1"/>
        </w:rPr>
        <w:t xml:space="preserve"> survey</w:t>
      </w:r>
    </w:p>
    <w:p w14:paraId="40107987" w14:textId="77777777" w:rsidR="003A4A67" w:rsidRDefault="003A4A67" w:rsidP="003A4A67">
      <w:pPr>
        <w:spacing w:line="480" w:lineRule="auto"/>
        <w:rPr>
          <w:color w:val="222222"/>
          <w:shd w:val="clear" w:color="auto" w:fill="FFFFFF"/>
        </w:rPr>
      </w:pPr>
      <w:r>
        <w:rPr>
          <w:color w:val="222222"/>
          <w:shd w:val="clear" w:color="auto" w:fill="FFFFFF"/>
        </w:rPr>
        <w:t xml:space="preserve">The </w:t>
      </w:r>
      <w:proofErr w:type="spellStart"/>
      <w:r>
        <w:rPr>
          <w:color w:val="222222"/>
          <w:shd w:val="clear" w:color="auto" w:fill="FFFFFF"/>
        </w:rPr>
        <w:t>CalCOFI</w:t>
      </w:r>
      <w:proofErr w:type="spellEnd"/>
      <w:r>
        <w:rPr>
          <w:color w:val="222222"/>
          <w:shd w:val="clear" w:color="auto" w:fill="FFFFFF"/>
        </w:rPr>
        <w:t xml:space="preserve"> time series of ichthyoplankton densities were </w:t>
      </w:r>
      <w:r w:rsidRPr="00635C47">
        <w:rPr>
          <w:color w:val="222222"/>
          <w:shd w:val="clear" w:color="auto" w:fill="FFFFFF"/>
        </w:rPr>
        <w:t xml:space="preserve">standardized using </w:t>
      </w:r>
      <w:r>
        <w:rPr>
          <w:color w:val="222222"/>
          <w:shd w:val="clear" w:color="auto" w:fill="FFFFFF"/>
        </w:rPr>
        <w:t>a Tweedie GAM (power parameter fixed at 1.25) (Tweedie 1984, Dunn ad Smyth 2002). The model formulation was as follows:</w:t>
      </w:r>
    </w:p>
    <w:p w14:paraId="5313186B" w14:textId="77777777" w:rsidR="003A4A67" w:rsidRPr="00441D83" w:rsidRDefault="003A4A67" w:rsidP="003A4A67">
      <w:pPr>
        <w:spacing w:line="480" w:lineRule="auto"/>
        <w:rPr>
          <w:rFonts w:ascii="Times" w:hAnsi="Times" w:cs="Arial"/>
        </w:rPr>
      </w:pPr>
      <m:oMathPara>
        <m:oMath>
          <m:sSub>
            <m:sSubPr>
              <m:ctrlPr>
                <w:rPr>
                  <w:rFonts w:ascii="Cambria Math" w:hAnsi="Cambria Math" w:cs="Arial"/>
                  <w:i/>
                </w:rPr>
              </m:ctrlPr>
            </m:sSubPr>
            <m:e>
              <m:r>
                <w:rPr>
                  <w:rFonts w:ascii="Cambria Math" w:hAnsi="Cambria Math" w:cs="Arial"/>
                </w:rPr>
                <m:t>D</m:t>
              </m:r>
            </m:e>
            <m:sub>
              <m:r>
                <w:rPr>
                  <w:rFonts w:ascii="Cambria Math" w:hAnsi="Cambria Math" w:cs="Arial"/>
                </w:rPr>
                <m:t>yr(φ,λ)</m:t>
              </m:r>
            </m:sub>
          </m:sSub>
          <m:r>
            <w:rPr>
              <w:rFonts w:ascii="Cambria Math" w:hAnsi="Cambria Math" w:cs="Arial"/>
            </w:rPr>
            <m:t>=yr+season+s</m:t>
          </m:r>
          <m:d>
            <m:dPr>
              <m:ctrlPr>
                <w:rPr>
                  <w:rFonts w:ascii="Cambria Math" w:hAnsi="Cambria Math" w:cs="Arial"/>
                  <w:i/>
                </w:rPr>
              </m:ctrlPr>
            </m:dPr>
            <m:e>
              <m:r>
                <w:rPr>
                  <w:rFonts w:ascii="Cambria Math" w:hAnsi="Cambria Math" w:cs="Arial"/>
                </w:rPr>
                <m:t>φ,λ</m:t>
              </m:r>
            </m:e>
          </m:d>
          <m:r>
            <w:rPr>
              <w:rFonts w:ascii="Cambria Math" w:hAnsi="Cambria Math" w:cs="Arial"/>
            </w:rPr>
            <m:t>∙yr+</m:t>
          </m:r>
          <m:sSub>
            <m:sSubPr>
              <m:ctrlPr>
                <w:rPr>
                  <w:rFonts w:ascii="Cambria Math" w:hAnsi="Cambria Math" w:cs="Arial"/>
                  <w:i/>
                </w:rPr>
              </m:ctrlPr>
            </m:sSubPr>
            <m:e>
              <m:r>
                <w:rPr>
                  <w:rFonts w:ascii="Cambria Math" w:hAnsi="Cambria Math" w:cs="Arial"/>
                </w:rPr>
                <m:t>ε</m:t>
              </m:r>
            </m:e>
            <m:sub>
              <m:r>
                <w:rPr>
                  <w:rFonts w:ascii="Cambria Math" w:hAnsi="Cambria Math" w:cs="Arial"/>
                </w:rPr>
                <m:t>yr(φ,λ)</m:t>
              </m:r>
            </m:sub>
          </m:sSub>
        </m:oMath>
      </m:oMathPara>
    </w:p>
    <w:p w14:paraId="1E9C9BB0" w14:textId="77777777" w:rsidR="003A4A67" w:rsidRDefault="003A4A67" w:rsidP="003A4A67">
      <w:pPr>
        <w:spacing w:line="480" w:lineRule="auto"/>
      </w:pPr>
      <w:r>
        <w:rPr>
          <w:color w:val="222222"/>
          <w:shd w:val="clear" w:color="auto" w:fill="FFFFFF"/>
        </w:rPr>
        <w:lastRenderedPageBreak/>
        <w:t>where species density (</w:t>
      </w:r>
      <w:r w:rsidRPr="001248C8">
        <w:rPr>
          <w:i/>
          <w:iCs/>
          <w:color w:val="222222"/>
          <w:shd w:val="clear" w:color="auto" w:fill="FFFFFF"/>
        </w:rPr>
        <w:t>D</w:t>
      </w:r>
      <w:r>
        <w:rPr>
          <w:color w:val="222222"/>
          <w:shd w:val="clear" w:color="auto" w:fill="FFFFFF"/>
        </w:rPr>
        <w:t>) is a function of year (</w:t>
      </w:r>
      <w:proofErr w:type="spellStart"/>
      <w:r w:rsidRPr="001248C8">
        <w:rPr>
          <w:i/>
          <w:iCs/>
          <w:color w:val="222222"/>
          <w:shd w:val="clear" w:color="auto" w:fill="FFFFFF"/>
        </w:rPr>
        <w:t>yr</w:t>
      </w:r>
      <w:proofErr w:type="spellEnd"/>
      <w:r>
        <w:rPr>
          <w:color w:val="222222"/>
          <w:shd w:val="clear" w:color="auto" w:fill="FFFFFF"/>
        </w:rPr>
        <w:t>), season (spring, summer), and latitude (</w:t>
      </w:r>
      <m:oMath>
        <m:r>
          <w:rPr>
            <w:rFonts w:ascii="Cambria Math" w:hAnsi="Cambria Math" w:cs="Arial"/>
          </w:rPr>
          <m:t>φ</m:t>
        </m:r>
      </m:oMath>
      <w:r>
        <w:rPr>
          <w:color w:val="222222"/>
          <w:shd w:val="clear" w:color="auto" w:fill="FFFFFF"/>
        </w:rPr>
        <w:t>) and longitude (</w:t>
      </w:r>
      <m:oMath>
        <m:r>
          <w:rPr>
            <w:rFonts w:ascii="Cambria Math" w:hAnsi="Cambria Math" w:cs="Arial"/>
          </w:rPr>
          <m:t>λ)</m:t>
        </m:r>
      </m:oMath>
      <w:r>
        <w:t xml:space="preserve">. </w:t>
      </w:r>
      <w:r w:rsidRPr="00B417C6">
        <w:t>The</w:t>
      </w:r>
      <w:r>
        <w:rPr>
          <w:i/>
          <w:iCs/>
        </w:rPr>
        <w:t xml:space="preserve"> </w:t>
      </w:r>
      <w:r>
        <w:t>two-dimensional s</w:t>
      </w:r>
      <w:r w:rsidRPr="00F97A98">
        <w:t>moothing function</w:t>
      </w:r>
      <w:r>
        <w:t xml:space="preserve"> and error term are indicated by s and </w:t>
      </w:r>
      <m:oMath>
        <m:r>
          <w:rPr>
            <w:rFonts w:ascii="Cambria Math" w:hAnsi="Cambria Math"/>
          </w:rPr>
          <m:t>ε</m:t>
        </m:r>
      </m:oMath>
      <w:r>
        <w:t>, respectively.</w:t>
      </w:r>
    </w:p>
    <w:p w14:paraId="790D681B" w14:textId="77777777" w:rsidR="003A4A67" w:rsidRDefault="003A4A67" w:rsidP="003A4A67">
      <w:pPr>
        <w:spacing w:line="480" w:lineRule="auto"/>
        <w:ind w:firstLine="720"/>
        <w:rPr>
          <w:color w:val="000000" w:themeColor="text1"/>
        </w:rPr>
      </w:pPr>
      <w:r>
        <w:t xml:space="preserve">Similar to above, we used the </w:t>
      </w:r>
      <w:r>
        <w:rPr>
          <w:color w:val="000000" w:themeColor="text1"/>
        </w:rPr>
        <w:t xml:space="preserve">fitted GAMs for each species to generate predictions of species densities. </w:t>
      </w:r>
      <w:r>
        <w:t xml:space="preserve">We first created a spatial abundance distribution profile by creating a grid of different combinations of the model covariates. Here we restricted the range of geographic coordinates (latitude and longitude) to those from sampling stations that were sampled </w:t>
      </w:r>
      <m:oMath>
        <m:r>
          <w:rPr>
            <w:rFonts w:ascii="Cambria Math" w:hAnsi="Cambria Math"/>
          </w:rPr>
          <m:t>≥</m:t>
        </m:r>
      </m:oMath>
      <w:r>
        <w:t xml:space="preserve"> 20 years. We included all sampling years in the grid and limited the season to spring only. Species densities were then predicted for each combination of the model covariates, and the univariate time series of species abundance was generated by calculating the mean </w:t>
      </w:r>
      <w:r>
        <w:rPr>
          <w:color w:val="000000" w:themeColor="text1"/>
        </w:rPr>
        <w:t>standardized density of each species in each year from the prediction grid.</w:t>
      </w:r>
    </w:p>
    <w:p w14:paraId="125FC45B" w14:textId="77777777" w:rsidR="003A4A67" w:rsidRPr="00190B26" w:rsidRDefault="003A4A67" w:rsidP="003A4A67">
      <w:pPr>
        <w:spacing w:line="480" w:lineRule="auto"/>
        <w:ind w:firstLine="720"/>
        <w:rPr>
          <w:color w:val="000000" w:themeColor="text1"/>
        </w:rPr>
      </w:pPr>
      <w:r>
        <w:rPr>
          <w:color w:val="000000" w:themeColor="text1"/>
        </w:rPr>
        <w:t>The delta GAMs and Tweedie GAMs</w:t>
      </w:r>
      <w:r w:rsidRPr="00190B26">
        <w:rPr>
          <w:color w:val="000000" w:themeColor="text1"/>
        </w:rPr>
        <w:t xml:space="preserve"> were run using </w:t>
      </w:r>
      <w:r w:rsidRPr="00190B26">
        <w:rPr>
          <w:color w:val="000000" w:themeColor="text1"/>
          <w:spacing w:val="3"/>
          <w:shd w:val="clear" w:color="auto" w:fill="FFFFFF"/>
        </w:rPr>
        <w:t>the </w:t>
      </w:r>
      <w:r>
        <w:rPr>
          <w:color w:val="000000" w:themeColor="text1"/>
          <w:spacing w:val="3"/>
          <w:shd w:val="clear" w:color="auto" w:fill="FFFFFF"/>
        </w:rPr>
        <w:t>‘</w:t>
      </w:r>
      <w:proofErr w:type="spellStart"/>
      <w:r w:rsidRPr="00190B26">
        <w:rPr>
          <w:color w:val="000000" w:themeColor="text1"/>
          <w:spacing w:val="3"/>
          <w:bdr w:val="none" w:sz="0" w:space="0" w:color="auto" w:frame="1"/>
        </w:rPr>
        <w:t>mgcv</w:t>
      </w:r>
      <w:proofErr w:type="spellEnd"/>
      <w:r>
        <w:rPr>
          <w:color w:val="000000" w:themeColor="text1"/>
          <w:spacing w:val="3"/>
          <w:bdr w:val="none" w:sz="0" w:space="0" w:color="auto" w:frame="1"/>
        </w:rPr>
        <w:t>’</w:t>
      </w:r>
      <w:r w:rsidRPr="00190B26">
        <w:rPr>
          <w:color w:val="000000" w:themeColor="text1"/>
          <w:spacing w:val="3"/>
          <w:bdr w:val="none" w:sz="0" w:space="0" w:color="auto" w:frame="1"/>
        </w:rPr>
        <w:t xml:space="preserve"> package (v1.8-34; Wood</w:t>
      </w:r>
      <w:r>
        <w:rPr>
          <w:color w:val="000000" w:themeColor="text1"/>
          <w:spacing w:val="3"/>
          <w:bdr w:val="none" w:sz="0" w:space="0" w:color="auto" w:frame="1"/>
        </w:rPr>
        <w:t xml:space="preserve"> </w:t>
      </w:r>
      <w:r w:rsidRPr="00190B26">
        <w:rPr>
          <w:color w:val="000000" w:themeColor="text1"/>
          <w:spacing w:val="3"/>
          <w:bdr w:val="none" w:sz="0" w:space="0" w:color="auto" w:frame="1"/>
        </w:rPr>
        <w:t>2011</w:t>
      </w:r>
      <w:r>
        <w:rPr>
          <w:color w:val="000000" w:themeColor="text1"/>
          <w:spacing w:val="3"/>
          <w:bdr w:val="none" w:sz="0" w:space="0" w:color="auto" w:frame="1"/>
        </w:rPr>
        <w:t>, 2017</w:t>
      </w:r>
      <w:r w:rsidRPr="00190B26">
        <w:rPr>
          <w:color w:val="000000" w:themeColor="text1"/>
          <w:spacing w:val="3"/>
          <w:bdr w:val="none" w:sz="0" w:space="0" w:color="auto" w:frame="1"/>
        </w:rPr>
        <w:t>)</w:t>
      </w:r>
      <w:r w:rsidRPr="00190B26">
        <w:rPr>
          <w:color w:val="000000" w:themeColor="text1"/>
          <w:spacing w:val="3"/>
          <w:shd w:val="clear" w:color="auto" w:fill="FFFFFF"/>
        </w:rPr>
        <w:t xml:space="preserve"> </w:t>
      </w:r>
      <w:r w:rsidRPr="00190B26">
        <w:rPr>
          <w:color w:val="000000" w:themeColor="text1"/>
        </w:rPr>
        <w:t>in R.</w:t>
      </w:r>
      <w:r>
        <w:rPr>
          <w:color w:val="000000" w:themeColor="text1"/>
        </w:rPr>
        <w:t xml:space="preserve"> </w:t>
      </w:r>
    </w:p>
    <w:p w14:paraId="7EFC83F0" w14:textId="77777777" w:rsidR="003A4A67" w:rsidRDefault="003A4A67" w:rsidP="003A4A67">
      <w:pPr>
        <w:spacing w:line="480" w:lineRule="auto"/>
        <w:rPr>
          <w:i/>
          <w:iCs/>
        </w:rPr>
      </w:pPr>
    </w:p>
    <w:p w14:paraId="385E86D3" w14:textId="77777777" w:rsidR="003A4A67" w:rsidRPr="001861EF" w:rsidRDefault="003A4A67" w:rsidP="003A4A67">
      <w:pPr>
        <w:rPr>
          <w:i/>
          <w:iCs/>
        </w:rPr>
      </w:pPr>
      <w:r w:rsidRPr="001861EF">
        <w:rPr>
          <w:i/>
          <w:iCs/>
        </w:rPr>
        <w:t>References</w:t>
      </w:r>
    </w:p>
    <w:p w14:paraId="1D671137" w14:textId="77777777" w:rsidR="003A4A67" w:rsidRDefault="003A4A67" w:rsidP="003A4A67">
      <w:pPr>
        <w:pStyle w:val="NormalWeb"/>
        <w:spacing w:line="480" w:lineRule="auto"/>
        <w:ind w:left="720" w:hanging="720"/>
      </w:pPr>
      <w:r>
        <w:t>Dunn PK, Smyth GK. Series evaluation of Tweedie exponential dispersion model densities. Statistics and Computing 2005; 15: 267-280.</w:t>
      </w:r>
    </w:p>
    <w:p w14:paraId="160C262D" w14:textId="77777777" w:rsidR="003A4A67" w:rsidRDefault="003A4A67" w:rsidP="003A4A67">
      <w:pPr>
        <w:pStyle w:val="NormalWeb"/>
        <w:spacing w:line="480" w:lineRule="auto"/>
        <w:ind w:left="720" w:hanging="720"/>
      </w:pPr>
      <w:proofErr w:type="spellStart"/>
      <w:r w:rsidRPr="002E69AD">
        <w:t>Guisan</w:t>
      </w:r>
      <w:proofErr w:type="spellEnd"/>
      <w:r w:rsidRPr="002E69AD">
        <w:t xml:space="preserve"> A, Edwards TC, Hastie T</w:t>
      </w:r>
      <w:r>
        <w:t xml:space="preserve">. </w:t>
      </w:r>
      <w:r w:rsidRPr="002E69AD">
        <w:t>Generalized linear and generalized additive models in studies of species distributions: setting the scene. Ecol</w:t>
      </w:r>
      <w:r>
        <w:t xml:space="preserve">. </w:t>
      </w:r>
      <w:r w:rsidRPr="002E69AD">
        <w:t>Modell</w:t>
      </w:r>
      <w:r>
        <w:t>.</w:t>
      </w:r>
      <w:r w:rsidRPr="002E69AD">
        <w:t xml:space="preserve"> </w:t>
      </w:r>
      <w:r>
        <w:t xml:space="preserve">2002; </w:t>
      </w:r>
      <w:r w:rsidRPr="002E69AD">
        <w:t>157: 89–100.</w:t>
      </w:r>
    </w:p>
    <w:p w14:paraId="6B2152DA" w14:textId="77777777" w:rsidR="003A4A67" w:rsidRDefault="003A4A67" w:rsidP="003A4A67">
      <w:pPr>
        <w:pStyle w:val="NormalWeb"/>
        <w:spacing w:line="480" w:lineRule="auto"/>
        <w:ind w:left="720" w:hanging="720"/>
      </w:pPr>
      <w:r w:rsidRPr="002E69AD">
        <w:t xml:space="preserve">Hastie T, </w:t>
      </w:r>
      <w:proofErr w:type="spellStart"/>
      <w:r w:rsidRPr="002E69AD">
        <w:t>Tibshirani</w:t>
      </w:r>
      <w:proofErr w:type="spellEnd"/>
      <w:r w:rsidRPr="002E69AD">
        <w:t xml:space="preserve"> R. Generalized additive models. London: Chapman and Hall; 1990.</w:t>
      </w:r>
    </w:p>
    <w:p w14:paraId="78747279" w14:textId="77777777" w:rsidR="003A4A67" w:rsidRDefault="003A4A67" w:rsidP="003A4A67">
      <w:pPr>
        <w:pStyle w:val="NormalWeb"/>
        <w:spacing w:line="480" w:lineRule="auto"/>
        <w:ind w:left="720" w:hanging="720"/>
      </w:pPr>
      <w:r>
        <w:t xml:space="preserve">Tweedie MCK. An index which distinguishes between some important exponential families. Statistics: Applications and New Directions. Calcutta: Indian Statistical Institute. </w:t>
      </w:r>
      <w:r>
        <w:lastRenderedPageBreak/>
        <w:t xml:space="preserve">Proceedings of the Indian Statistical Institute Golden Jubilee International Conference (Eds. J. K. Ghosh and J. Roy) 1984; pp. 579-604. </w:t>
      </w:r>
    </w:p>
    <w:p w14:paraId="265880C6" w14:textId="77777777" w:rsidR="003A4A67" w:rsidRDefault="003A4A67" w:rsidP="003A4A67">
      <w:pPr>
        <w:pStyle w:val="NormalWeb"/>
        <w:spacing w:line="480" w:lineRule="auto"/>
        <w:ind w:left="720" w:hanging="720"/>
      </w:pPr>
      <w:r>
        <w:t>Wood SN. Generalized Additive Models: An Introduction with R (2nd edition). Chapman and Hall/CRC; 2017.</w:t>
      </w:r>
    </w:p>
    <w:p w14:paraId="2C50E64D" w14:textId="77777777" w:rsidR="003A4A67" w:rsidRPr="00722C88" w:rsidRDefault="003A4A67" w:rsidP="003A4A67">
      <w:pPr>
        <w:pStyle w:val="NormalWeb"/>
        <w:spacing w:line="480" w:lineRule="auto"/>
        <w:ind w:left="720" w:hanging="720"/>
      </w:pPr>
      <w:r>
        <w:t>Wood SN. Fast stable restricted maximum likelihood and marginal likelihood estimation of semiparametric generalized linear models. Journal of the Royal Statistical Society (B) 2011; 73:3 -36.</w:t>
      </w:r>
    </w:p>
    <w:sectPr w:rsidR="003A4A67" w:rsidRPr="00722C88" w:rsidSect="00DC4EF4">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7025D" w14:textId="77777777" w:rsidR="009C1A53" w:rsidRDefault="009C1A53" w:rsidP="003A4A67">
      <w:r>
        <w:separator/>
      </w:r>
    </w:p>
  </w:endnote>
  <w:endnote w:type="continuationSeparator" w:id="0">
    <w:p w14:paraId="69E96E62" w14:textId="77777777" w:rsidR="009C1A53" w:rsidRDefault="009C1A53" w:rsidP="003A4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5873131"/>
      <w:docPartObj>
        <w:docPartGallery w:val="Page Numbers (Bottom of Page)"/>
        <w:docPartUnique/>
      </w:docPartObj>
    </w:sdtPr>
    <w:sdtContent>
      <w:p w14:paraId="0389B407" w14:textId="35BFAECD" w:rsidR="003A4A67" w:rsidRDefault="003A4A67" w:rsidP="00524CA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363485" w14:textId="77777777" w:rsidR="003A4A67" w:rsidRDefault="003A4A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3241609"/>
      <w:docPartObj>
        <w:docPartGallery w:val="Page Numbers (Bottom of Page)"/>
        <w:docPartUnique/>
      </w:docPartObj>
    </w:sdtPr>
    <w:sdtContent>
      <w:p w14:paraId="65CC717B" w14:textId="7936B1B2" w:rsidR="003A4A67" w:rsidRDefault="003A4A67" w:rsidP="00524CA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702872" w14:textId="77777777" w:rsidR="003A4A67" w:rsidRDefault="003A4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96817" w14:textId="77777777" w:rsidR="009C1A53" w:rsidRDefault="009C1A53" w:rsidP="003A4A67">
      <w:r>
        <w:separator/>
      </w:r>
    </w:p>
  </w:footnote>
  <w:footnote w:type="continuationSeparator" w:id="0">
    <w:p w14:paraId="2966471B" w14:textId="77777777" w:rsidR="009C1A53" w:rsidRDefault="009C1A53" w:rsidP="003A4A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A67"/>
    <w:rsid w:val="00040334"/>
    <w:rsid w:val="0005136F"/>
    <w:rsid w:val="000715B7"/>
    <w:rsid w:val="00093CD9"/>
    <w:rsid w:val="000F3490"/>
    <w:rsid w:val="00132814"/>
    <w:rsid w:val="00144D4B"/>
    <w:rsid w:val="00183132"/>
    <w:rsid w:val="001A1D4A"/>
    <w:rsid w:val="001B2C40"/>
    <w:rsid w:val="001B357E"/>
    <w:rsid w:val="001E37EC"/>
    <w:rsid w:val="00212B29"/>
    <w:rsid w:val="00243EAF"/>
    <w:rsid w:val="00260599"/>
    <w:rsid w:val="00262FE1"/>
    <w:rsid w:val="002A32C1"/>
    <w:rsid w:val="002A7214"/>
    <w:rsid w:val="002B5E28"/>
    <w:rsid w:val="002B60BC"/>
    <w:rsid w:val="002F1332"/>
    <w:rsid w:val="0031134E"/>
    <w:rsid w:val="00321353"/>
    <w:rsid w:val="00333092"/>
    <w:rsid w:val="0034235E"/>
    <w:rsid w:val="00344731"/>
    <w:rsid w:val="00366416"/>
    <w:rsid w:val="00376E44"/>
    <w:rsid w:val="00385C43"/>
    <w:rsid w:val="003A4A67"/>
    <w:rsid w:val="003E0CA0"/>
    <w:rsid w:val="003E2B73"/>
    <w:rsid w:val="003F15C5"/>
    <w:rsid w:val="00402345"/>
    <w:rsid w:val="00405F19"/>
    <w:rsid w:val="00406310"/>
    <w:rsid w:val="004075A8"/>
    <w:rsid w:val="00412B1A"/>
    <w:rsid w:val="004238B0"/>
    <w:rsid w:val="0044440B"/>
    <w:rsid w:val="00467D1A"/>
    <w:rsid w:val="004956DA"/>
    <w:rsid w:val="004D65E4"/>
    <w:rsid w:val="004F111F"/>
    <w:rsid w:val="004F291F"/>
    <w:rsid w:val="004F490A"/>
    <w:rsid w:val="00513E9B"/>
    <w:rsid w:val="0057132C"/>
    <w:rsid w:val="005A1AD1"/>
    <w:rsid w:val="00631AA6"/>
    <w:rsid w:val="00640C1B"/>
    <w:rsid w:val="0067678B"/>
    <w:rsid w:val="00682073"/>
    <w:rsid w:val="006B6EFA"/>
    <w:rsid w:val="006E3CCA"/>
    <w:rsid w:val="00731E66"/>
    <w:rsid w:val="007540CD"/>
    <w:rsid w:val="00763809"/>
    <w:rsid w:val="00793FB7"/>
    <w:rsid w:val="007C2B7D"/>
    <w:rsid w:val="007D27D1"/>
    <w:rsid w:val="007D66B1"/>
    <w:rsid w:val="007F2EB0"/>
    <w:rsid w:val="007F6282"/>
    <w:rsid w:val="007F738C"/>
    <w:rsid w:val="00806F35"/>
    <w:rsid w:val="008427D9"/>
    <w:rsid w:val="00884A0E"/>
    <w:rsid w:val="00897EAA"/>
    <w:rsid w:val="008C1E44"/>
    <w:rsid w:val="008C25DF"/>
    <w:rsid w:val="008C45F4"/>
    <w:rsid w:val="008D159A"/>
    <w:rsid w:val="0094467F"/>
    <w:rsid w:val="00962745"/>
    <w:rsid w:val="00980EAA"/>
    <w:rsid w:val="009A0D04"/>
    <w:rsid w:val="009A713D"/>
    <w:rsid w:val="009C1A53"/>
    <w:rsid w:val="009C6AC3"/>
    <w:rsid w:val="009E2226"/>
    <w:rsid w:val="00A01DAA"/>
    <w:rsid w:val="00A106C3"/>
    <w:rsid w:val="00A7162E"/>
    <w:rsid w:val="00A8748A"/>
    <w:rsid w:val="00A9224E"/>
    <w:rsid w:val="00AC037A"/>
    <w:rsid w:val="00B03579"/>
    <w:rsid w:val="00B36FB4"/>
    <w:rsid w:val="00B450FA"/>
    <w:rsid w:val="00B56F4D"/>
    <w:rsid w:val="00B701BD"/>
    <w:rsid w:val="00B70D18"/>
    <w:rsid w:val="00BA556B"/>
    <w:rsid w:val="00BF3677"/>
    <w:rsid w:val="00BF69AF"/>
    <w:rsid w:val="00C319A4"/>
    <w:rsid w:val="00C42D4B"/>
    <w:rsid w:val="00C43A80"/>
    <w:rsid w:val="00C679B9"/>
    <w:rsid w:val="00C71C02"/>
    <w:rsid w:val="00CC450A"/>
    <w:rsid w:val="00D01303"/>
    <w:rsid w:val="00D04853"/>
    <w:rsid w:val="00D072EB"/>
    <w:rsid w:val="00D15824"/>
    <w:rsid w:val="00D35C00"/>
    <w:rsid w:val="00D374D2"/>
    <w:rsid w:val="00D47C5A"/>
    <w:rsid w:val="00D51993"/>
    <w:rsid w:val="00D56472"/>
    <w:rsid w:val="00D6232B"/>
    <w:rsid w:val="00D81344"/>
    <w:rsid w:val="00D94758"/>
    <w:rsid w:val="00DA7A0C"/>
    <w:rsid w:val="00DC4E80"/>
    <w:rsid w:val="00DC4EF4"/>
    <w:rsid w:val="00DD776D"/>
    <w:rsid w:val="00DF2661"/>
    <w:rsid w:val="00E348A3"/>
    <w:rsid w:val="00E43143"/>
    <w:rsid w:val="00E46C8A"/>
    <w:rsid w:val="00E6060E"/>
    <w:rsid w:val="00E96191"/>
    <w:rsid w:val="00EB17BE"/>
    <w:rsid w:val="00ED7969"/>
    <w:rsid w:val="00EE6154"/>
    <w:rsid w:val="00F03301"/>
    <w:rsid w:val="00F32217"/>
    <w:rsid w:val="00F435CD"/>
    <w:rsid w:val="00F76753"/>
    <w:rsid w:val="00FD4767"/>
    <w:rsid w:val="00FF7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460F2"/>
  <w14:defaultImageDpi w14:val="32767"/>
  <w15:chartTrackingRefBased/>
  <w15:docId w15:val="{DFEFB80A-3A34-024B-8CC1-A3B6A439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A4A6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4A67"/>
    <w:pPr>
      <w:spacing w:before="100" w:beforeAutospacing="1" w:after="100" w:afterAutospacing="1"/>
    </w:pPr>
  </w:style>
  <w:style w:type="paragraph" w:styleId="Footer">
    <w:name w:val="footer"/>
    <w:basedOn w:val="Normal"/>
    <w:link w:val="FooterChar"/>
    <w:uiPriority w:val="99"/>
    <w:unhideWhenUsed/>
    <w:rsid w:val="003A4A67"/>
    <w:pPr>
      <w:tabs>
        <w:tab w:val="center" w:pos="4680"/>
        <w:tab w:val="right" w:pos="9360"/>
      </w:tabs>
    </w:pPr>
  </w:style>
  <w:style w:type="character" w:customStyle="1" w:styleId="FooterChar">
    <w:name w:val="Footer Char"/>
    <w:basedOn w:val="DefaultParagraphFont"/>
    <w:link w:val="Footer"/>
    <w:uiPriority w:val="99"/>
    <w:rsid w:val="003A4A67"/>
    <w:rPr>
      <w:rFonts w:ascii="Times New Roman" w:eastAsia="Times New Roman" w:hAnsi="Times New Roman" w:cs="Times New Roman"/>
    </w:rPr>
  </w:style>
  <w:style w:type="character" w:styleId="PageNumber">
    <w:name w:val="page number"/>
    <w:basedOn w:val="DefaultParagraphFont"/>
    <w:uiPriority w:val="99"/>
    <w:semiHidden/>
    <w:unhideWhenUsed/>
    <w:rsid w:val="003A4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Hunsicker</dc:creator>
  <cp:keywords/>
  <dc:description/>
  <cp:lastModifiedBy>Mary Hunsicker</cp:lastModifiedBy>
  <cp:revision>3</cp:revision>
  <cp:lastPrinted>2022-01-10T05:30:00Z</cp:lastPrinted>
  <dcterms:created xsi:type="dcterms:W3CDTF">2022-01-10T05:28:00Z</dcterms:created>
  <dcterms:modified xsi:type="dcterms:W3CDTF">2022-01-10T05:32:00Z</dcterms:modified>
</cp:coreProperties>
</file>