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  <Override PartName="/word/media/rId50.png" ContentType="image/png"/>
  <Override PartName="/word/media/rId47.png" ContentType="image/png"/>
  <Override PartName="/word/media/rId6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Biotic</w:t>
      </w:r>
      <w:r>
        <w:t xml:space="preserve"> </w:t>
      </w:r>
      <w:r>
        <w:t xml:space="preserve">Interaction</w:t>
      </w:r>
      <w:r>
        <w:t xml:space="preserve"> </w:t>
      </w:r>
      <w:r>
        <w:t xml:space="preserve">Detection</w:t>
      </w:r>
      <w:r>
        <w:t xml:space="preserve"> </w:t>
      </w:r>
      <w:r>
        <w:t xml:space="preserve">from</w:t>
      </w:r>
      <w:r>
        <w:t xml:space="preserve"> </w:t>
      </w:r>
      <w:r>
        <w:t xml:space="preserve">Scientific</w:t>
      </w:r>
      <w:r>
        <w:t xml:space="preserve"> </w:t>
      </w:r>
      <w:r>
        <w:t xml:space="preserve">Literature:</w:t>
      </w:r>
      <w:r>
        <w:br/>
      </w:r>
      <w:r>
        <w:t xml:space="preserve">Knowledge</w:t>
      </w:r>
      <w:r>
        <w:t xml:space="preserve"> </w:t>
      </w:r>
      <w:r>
        <w:t xml:space="preserve">Distillation</w:t>
      </w:r>
      <w:r>
        <w:t xml:space="preserve"> </w:t>
      </w:r>
      <w:r>
        <w:t xml:space="preserve">and</w:t>
      </w:r>
      <w:r>
        <w:t xml:space="preserve"> </w:t>
      </w:r>
      <w:r>
        <w:t xml:space="preserve">Multi-task</w:t>
      </w:r>
      <w:r>
        <w:t xml:space="preserve"> </w:t>
      </w:r>
      <w:r>
        <w:t xml:space="preserve">Learning</w:t>
      </w:r>
      <w:r>
        <w:br/>
      </w:r>
      <w:r>
        <w:t xml:space="preserve">with</w:t>
      </w:r>
      <w:r>
        <w:t xml:space="preserve"> </w:t>
      </w:r>
      <w:r>
        <w:t xml:space="preserve">Named</w:t>
      </w:r>
      <w:r>
        <w:t xml:space="preserve"> </w:t>
      </w:r>
      <w:r>
        <w:t xml:space="preserve">Entity</w:t>
      </w:r>
      <w:r>
        <w:t xml:space="preserve"> </w:t>
      </w:r>
      <w:r>
        <w:t xml:space="preserve">Recognition</w:t>
      </w:r>
    </w:p>
    <w:p>
      <w:pPr>
        <w:pStyle w:val="Author"/>
      </w:pPr>
      <w:r>
        <w:t xml:space="preserve">Anonymous</w:t>
      </w:r>
    </w:p>
    <w:p>
      <w:pPr>
        <w:pStyle w:val="Heading1"/>
      </w:pPr>
      <w:bookmarkStart w:id="20" w:name="sec:intro"/>
      <w:r>
        <w:t xml:space="preserve">Introduction</w:t>
      </w:r>
      <w:bookmarkEnd w:id="20"/>
    </w:p>
    <w:p>
      <w:pPr>
        <w:pStyle w:val="FirstParagraph"/>
      </w:pPr>
      <w:r>
        <w:t xml:space="preserve">Species interactions shape ecosystem structure, drive disease dynamics,</w:t>
      </w:r>
      <w:r>
        <w:t xml:space="preserve"> </w:t>
      </w:r>
      <w:r>
        <w:t xml:space="preserve">and determine the response of ecological communities to perturbation.</w:t>
      </w:r>
      <w:r>
        <w:t xml:space="preserve"> </w:t>
      </w:r>
      <w:r>
        <w:t xml:space="preserve">Cataloguing these interactions requires synthesising knowledge distributed</w:t>
      </w:r>
      <w:r>
        <w:t xml:space="preserve"> </w:t>
      </w:r>
      <w:r>
        <w:t xml:space="preserve">across millions of scientific publications.</w:t>
      </w:r>
      <w:r>
        <w:t xml:space="preserve"> </w:t>
      </w:r>
      <w:r>
        <w:t xml:space="preserve">The Global Biotic Interactions database (GloBI;</w:t>
      </w:r>
      <w:r>
        <w:t xml:space="preserve"> </w:t>
      </w:r>
      <w:r>
        <w:t xml:space="preserve">Poelen, Simons, and Mungall (2014)</w:t>
      </w:r>
      <w:r>
        <w:t xml:space="preserve">)</w:t>
      </w:r>
      <w:r>
        <w:t xml:space="preserve"> </w:t>
      </w:r>
      <w:r>
        <w:t xml:space="preserve">aggregates over 13 million structured interaction records from more than 700</w:t>
      </w:r>
      <w:r>
        <w:t xml:space="preserve"> </w:t>
      </w:r>
      <w:r>
        <w:t xml:space="preserve">data sources, yet covers only a fraction of the interaction types documented</w:t>
      </w:r>
      <w:r>
        <w:t xml:space="preserve"> </w:t>
      </w:r>
      <w:r>
        <w:t xml:space="preserve">across the biodiversity literature.</w:t>
      </w:r>
      <w:r>
        <w:t xml:space="preserve"> </w:t>
      </w:r>
      <w:r>
        <w:t xml:space="preserve">The SIBiLS platform</w:t>
      </w:r>
      <w:r>
        <w:t xml:space="preserve"> </w:t>
      </w:r>
      <w:r>
        <w:t xml:space="preserve">(Gobeill et al. 2020)</w:t>
      </w:r>
      <w:r>
        <w:t xml:space="preserve">, the Swiss Institute of</w:t>
      </w:r>
      <w:r>
        <w:t xml:space="preserve"> </w:t>
      </w:r>
      <w:r>
        <w:t xml:space="preserve">Bioinformatics Literature Services, provides federated semantic search over</w:t>
      </w:r>
      <w:r>
        <w:t xml:space="preserve"> </w:t>
      </w:r>
      <w:r>
        <w:t xml:space="preserve">Biodiversity PMC</w:t>
      </w:r>
      <w:r>
        <w:t xml:space="preserve"> </w:t>
      </w:r>
      <w:r>
        <w:t xml:space="preserve">(Pasche et al. 2023)</w:t>
      </w:r>
      <w:r>
        <w:t xml:space="preserve">, a curated corpus of over</w:t>
      </w:r>
      <w:r>
        <w:t xml:space="preserve"> </w:t>
      </w:r>
      <w:r>
        <w:t xml:space="preserve">80 million biomedical and biodiversity documents encompassing both</w:t>
      </w:r>
      <w:r>
        <w:t xml:space="preserve"> </w:t>
      </w:r>
      <w:r>
        <w:t xml:space="preserve">PubMed Central and MEDLINE content.</w:t>
      </w:r>
      <w:r>
        <w:t xml:space="preserve"> </w:t>
      </w:r>
      <w:r>
        <w:t xml:space="preserve">BiotXplorer</w:t>
      </w:r>
      <w:r>
        <w:t xml:space="preserve"> </w:t>
      </w:r>
      <w:r>
        <w:t xml:space="preserve">(Ruch et al. 2024)</w:t>
      </w:r>
      <w:r>
        <w:t xml:space="preserve">, built on this infrastructure,</w:t>
      </w:r>
      <w:r>
        <w:t xml:space="preserve"> </w:t>
      </w:r>
      <w:r>
        <w:t xml:space="preserve">is a semantic search and navigation tool for biotic interactions in this</w:t>
      </w:r>
      <w:r>
        <w:t xml:space="preserve"> </w:t>
      </w:r>
      <w:r>
        <w:t xml:space="preserve">corpus, indexing a substantially broader range of interaction types than</w:t>
      </w:r>
      <w:r>
        <w:t xml:space="preserve"> </w:t>
      </w:r>
      <w:r>
        <w:t xml:space="preserve">those currently represented in GloBI.</w:t>
      </w:r>
    </w:p>
    <w:p>
      <w:pPr>
        <w:pStyle w:val="BodyText"/>
      </w:pPr>
      <w:r>
        <w:t xml:space="preserve">Automated information extraction from scientific text has a well-established</w:t>
      </w:r>
      <w:r>
        <w:t xml:space="preserve"> </w:t>
      </w:r>
      <w:r>
        <w:t xml:space="preserve">tradition in the biomedical domain.</w:t>
      </w:r>
      <w:r>
        <w:t xml:space="preserve"> </w:t>
      </w:r>
      <w:r>
        <w:t xml:space="preserve">Named entity recognition (NER) and relation classification methods have been</w:t>
      </w:r>
      <w:r>
        <w:t xml:space="preserve"> </w:t>
      </w:r>
      <w:r>
        <w:t xml:space="preserve">applied to protein–protein interactions</w:t>
      </w:r>
      <w:r>
        <w:t xml:space="preserve"> </w:t>
      </w:r>
      <w:r>
        <w:t xml:space="preserve">(Bunescu et al. 2005)</w:t>
      </w:r>
      <w:r>
        <w:t xml:space="preserve">,</w:t>
      </w:r>
      <w:r>
        <w:t xml:space="preserve"> </w:t>
      </w:r>
      <w:r>
        <w:t xml:space="preserve">drug–drug interactions</w:t>
      </w:r>
      <w:r>
        <w:t xml:space="preserve"> </w:t>
      </w:r>
      <w:r>
        <w:t xml:space="preserve">(Lim et al. 2018)</w:t>
      </w:r>
      <w:r>
        <w:t xml:space="preserve">, and gene–disease associations,</w:t>
      </w:r>
      <w:r>
        <w:t xml:space="preserve"> </w:t>
      </w:r>
      <w:r>
        <w:t xml:space="preserve">with deep learning substantially improving entity detection accuracy</w:t>
      </w:r>
      <w:r>
        <w:t xml:space="preserve"> </w:t>
      </w:r>
      <w:r>
        <w:t xml:space="preserve">(Habibi et al. 2017)</w:t>
      </w:r>
      <w:r>
        <w:t xml:space="preserve">.</w:t>
      </w:r>
      <w:r>
        <w:t xml:space="preserve"> </w:t>
      </w:r>
      <w:r>
        <w:t xml:space="preserve">A widely used strategy for generating labelled training data at scale is</w:t>
      </w:r>
      <w:r>
        <w:t xml:space="preserve"> </w:t>
      </w:r>
      <w:r>
        <w:t xml:space="preserve">distant supervision: known interaction databases are aligned with text to</w:t>
      </w:r>
      <w:r>
        <w:t xml:space="preserve"> </w:t>
      </w:r>
      <w:r>
        <w:t xml:space="preserve">produce labels automatically, without exhaustive manual annotation</w:t>
      </w:r>
      <w:r>
        <w:t xml:space="preserve"> </w:t>
      </w:r>
      <w:r>
        <w:t xml:space="preserve">(Mintz et al. 2009)</w:t>
      </w:r>
      <w:r>
        <w:t xml:space="preserve">.</w:t>
      </w:r>
      <w:r>
        <w:t xml:space="preserve"> </w:t>
      </w:r>
      <w:r>
        <w:t xml:space="preserve">These approaches are predominantly designed for molecular and clinical</w:t>
      </w:r>
      <w:r>
        <w:t xml:space="preserve"> </w:t>
      </w:r>
      <w:r>
        <w:t xml:space="preserve">literature; ecological interaction types (predation, parasitism, pollination,</w:t>
      </w:r>
      <w:r>
        <w:t xml:space="preserve"> </w:t>
      </w:r>
      <w:r>
        <w:t xml:space="preserve">herbivory, mutualism) span a broader taxonomic scope and a more heterogeneous</w:t>
      </w:r>
      <w:r>
        <w:t xml:space="preserve"> </w:t>
      </w:r>
      <w:r>
        <w:t xml:space="preserve">publication landscape, with direct consequences for model generalisation</w:t>
      </w:r>
      <w:r>
        <w:t xml:space="preserve"> </w:t>
      </w:r>
      <w:r>
        <w:t xml:space="preserve">(Badenes-Pérez, Ponce-Gordo, and Cano-Maque 2020)</w:t>
      </w:r>
      <w:r>
        <w:t xml:space="preserve">.</w:t>
      </w:r>
    </w:p>
    <w:p>
      <w:pPr>
        <w:pStyle w:val="BodyText"/>
      </w:pPr>
      <w:r>
        <w:t xml:space="preserve">A particular challenge in literature-based interaction mining is the</w:t>
      </w:r>
      <w:r>
        <w:t xml:space="preserve"> </w:t>
      </w:r>
      <w:r>
        <w:t xml:space="preserve">co-occurrence problem: a sentence may mention two organism names and an</w:t>
      </w:r>
      <w:r>
        <w:t xml:space="preserve"> </w:t>
      </w:r>
      <w:r>
        <w:t xml:space="preserve">interaction term together without actually describing an interaction between</w:t>
      </w:r>
      <w:r>
        <w:t xml:space="preserve"> </w:t>
      </w:r>
      <w:r>
        <w:t xml:space="preserve">them.</w:t>
      </w:r>
      <w:r>
        <w:t xml:space="preserve"> </w:t>
      </w:r>
      <w:r>
        <w:t xml:space="preserve">Co-occurrence-based retrieval achieves high recall but suffers from</w:t>
      </w:r>
      <w:r>
        <w:t xml:space="preserve"> </w:t>
      </w:r>
      <w:r>
        <w:t xml:space="preserve">substantial false-positive rates</w:t>
      </w:r>
      <w:r>
        <w:t xml:space="preserve"> </w:t>
      </w:r>
      <w:r>
        <w:t xml:space="preserve">(Bunescu et al. 2005)</w:t>
      </w:r>
      <w:r>
        <w:t xml:space="preserve">;</w:t>
      </w:r>
      <w:r>
        <w:t xml:space="preserve"> </w:t>
      </w:r>
      <w:r>
        <w:t xml:space="preserve">sentence-level classifiers that discriminate true interactions from</w:t>
      </w:r>
      <w:r>
        <w:t xml:space="preserve"> </w:t>
      </w:r>
      <w:r>
        <w:t xml:space="preserve">co-occurrence artefacts are a standard component of text-mining pipelines</w:t>
      </w:r>
      <w:r>
        <w:t xml:space="preserve"> </w:t>
      </w:r>
      <w:r>
        <w:t xml:space="preserve">for biomedical relation extraction.</w:t>
      </w:r>
      <w:r>
        <w:t xml:space="preserve"> </w:t>
      </w:r>
      <w:r>
        <w:t xml:space="preserve">At the downstream end, structured interaction triples extracted from text</w:t>
      </w:r>
      <w:r>
        <w:t xml:space="preserve"> </w:t>
      </w:r>
      <w:r>
        <w:t xml:space="preserve">can populate biodiversity knowledge graphs supporting species-level reasoning</w:t>
      </w:r>
      <w:r>
        <w:t xml:space="preserve"> </w:t>
      </w:r>
      <w:r>
        <w:t xml:space="preserve">about disease spread, food web dynamics, and conservation planning</w:t>
      </w:r>
      <w:r>
        <w:t xml:space="preserve"> </w:t>
      </w:r>
      <w:r>
        <w:t xml:space="preserve">(Chen, Zhang, and Zhang 2023; Poisot et al. 2021)</w:t>
      </w:r>
      <w:r>
        <w:t xml:space="preserve">.</w:t>
      </w:r>
      <w:r>
        <w:t xml:space="preserve"> </w:t>
      </w:r>
      <w:r>
        <w:t xml:space="preserve">Despite this potential, knowledge gaps in ecological interaction networks</w:t>
      </w:r>
      <w:r>
        <w:t xml:space="preserve"> </w:t>
      </w:r>
      <w:r>
        <w:t xml:space="preserve">remain large, particularly for field-observed interactions published in</w:t>
      </w:r>
      <w:r>
        <w:t xml:space="preserve"> </w:t>
      </w:r>
      <w:r>
        <w:t xml:space="preserve">ecology journals outside the PubMed index</w:t>
      </w:r>
      <w:r>
        <w:t xml:space="preserve"> </w:t>
      </w:r>
      <w:r>
        <w:t xml:space="preserve">(Poisot et al. 2021)</w:t>
      </w:r>
      <w:r>
        <w:t xml:space="preserve">.</w:t>
      </w:r>
    </w:p>
    <w:p>
      <w:pPr>
        <w:pStyle w:val="BodyText"/>
      </w:pPr>
      <w:r>
        <w:t xml:space="preserve">We address this gap with three primary contributions:</w:t>
      </w:r>
    </w:p>
    <w:p>
      <w:pPr>
        <w:numPr>
          <w:ilvl w:val="0"/>
          <w:numId w:val="1001"/>
        </w:numPr>
      </w:pPr>
      <w:r>
        <w:t xml:space="preserve">A two-stage teacher chain combining large-LLM binary annotation</w:t>
      </w:r>
      <w:r>
        <w:t xml:space="preserve"> </w:t>
      </w:r>
      <w:r>
        <w:t xml:space="preserve">with ensemble-based soft probability distillation, yielding a</w:t>
      </w:r>
      <w:r>
        <w:t xml:space="preserve"> </w:t>
      </w:r>
      <w:r>
        <w:t xml:space="preserve">44K-sentence training corpus with calibrated labels.</w:t>
      </w:r>
    </w:p>
    <w:p>
      <w:pPr>
        <w:numPr>
          <w:ilvl w:val="0"/>
          <w:numId w:val="1001"/>
        </w:numPr>
      </w:pPr>
      <w:r>
        <w:t xml:space="preserve">A multi-task BiomedBERT architecture with automatic NER auxiliary</w:t>
      </w:r>
      <w:r>
        <w:t xml:space="preserve"> </w:t>
      </w:r>
      <w:r>
        <w:t xml:space="preserve">supervision, trained in two phases to prime the shared encoder.</w:t>
      </w:r>
    </w:p>
    <w:p>
      <w:pPr>
        <w:numPr>
          <w:ilvl w:val="0"/>
          <w:numId w:val="1001"/>
        </w:numPr>
      </w:pPr>
      <w:r>
        <w:t xml:space="preserve">A quantitative distribution mismatch analysis identifying the</w:t>
      </w:r>
      <w:r>
        <w:t xml:space="preserve"> </w:t>
      </w:r>
      <w:r>
        <w:t xml:space="preserve">interaction types responsible for the current performance ceiling and</w:t>
      </w:r>
      <w:r>
        <w:t xml:space="preserve"> </w:t>
      </w:r>
      <w:r>
        <w:t xml:space="preserve">guiding future data collection.</w:t>
      </w:r>
    </w:p>
    <w:p>
      <w:pPr>
        <w:pStyle w:val="Heading1"/>
      </w:pPr>
      <w:bookmarkStart w:id="21" w:name="sec:methods"/>
      <w:r>
        <w:t xml:space="preserve">Methods</w:t>
      </w:r>
      <w:bookmarkEnd w:id="21"/>
    </w:p>
    <w:p>
      <w:pPr>
        <w:pStyle w:val="Heading2"/>
      </w:pPr>
      <w:bookmarkStart w:id="22" w:name="task-definition"/>
      <w:r>
        <w:t xml:space="preserve">Task Definition</w:t>
      </w:r>
      <w:bookmarkEnd w:id="22"/>
    </w:p>
    <w:p>
      <w:pPr>
        <w:pStyle w:val="FirstParagraph"/>
      </w:pPr>
      <w:r>
        <w:t xml:space="preserve">Given a sentence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 scientific literature, predict</w:t>
      </w:r>
      <w:r>
        <w:t xml:space="preserve"> </w:t>
      </w:r>
      <m:oMath>
        <m:r>
          <m:t>y</m:t>
        </m:r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  <m:r>
          <m:t>=</m:t>
        </m:r>
        <m:r>
          <m:t>1</m:t>
        </m:r>
      </m:oMath>
      <w:r>
        <w:t xml:space="preserve"> </w:t>
      </w:r>
      <w:r>
        <w:t xml:space="preserve">indicates that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describes a biotic interaction between two</w:t>
      </w:r>
      <w:r>
        <w:t xml:space="preserve"> </w:t>
      </w:r>
      <w:r>
        <w:t xml:space="preserve">or more named organisms. Interaction types in scope: predation, parasitism,</w:t>
      </w:r>
      <w:r>
        <w:t xml:space="preserve"> </w:t>
      </w:r>
      <w:r>
        <w:t xml:space="preserve">pathogen infection, pollination, herbivory, mutualism, symbiosis, seed</w:t>
      </w:r>
      <w:r>
        <w:t xml:space="preserve"> </w:t>
      </w:r>
      <w:r>
        <w:t xml:space="preserve">dispersal, competition, and vector-borne transmission.</w:t>
      </w:r>
    </w:p>
    <w:p>
      <w:pPr>
        <w:pStyle w:val="Heading2"/>
      </w:pPr>
      <w:bookmarkStart w:id="23" w:name="sec:data"/>
      <w:r>
        <w:t xml:space="preserve">Training Corpus Construction</w:t>
      </w:r>
      <w:bookmarkEnd w:id="23"/>
    </w:p>
    <w:p>
      <w:pPr>
        <w:pStyle w:val="Heading4"/>
      </w:pPr>
      <w:bookmarkStart w:id="24" w:name="sentence-sources."/>
      <w:r>
        <w:t xml:space="preserve">Sentence sources.</w:t>
      </w:r>
      <w:bookmarkEnd w:id="24"/>
    </w:p>
    <w:p>
      <w:pPr>
        <w:pStyle w:val="FirstParagraph"/>
      </w:pPr>
      <w:r>
        <w:t xml:space="preserve">Two sentence origins are combined into a single 44,178-sentence corpus.</w:t>
      </w:r>
    </w:p>
    <w:p>
      <w:pPr>
        <w:pStyle w:val="BodyText"/>
      </w:pPr>
      <w:r>
        <w:rPr>
          <w:i/>
        </w:rPr>
        <w:t xml:space="preserve">Template-derived sentences (synthetic).</w:t>
      </w:r>
      <w:r>
        <w:t xml:space="preserve"> </w:t>
      </w:r>
      <w:r>
        <w:t xml:space="preserve">Structured triples from GloBI (e.g. </w:t>
      </w:r>
      <w:r>
        <w:rPr>
          <w:i/>
        </w:rPr>
        <w:t xml:space="preserve">parasitizes(Anisakis simplex,</w:t>
      </w:r>
      <w:r>
        <w:rPr>
          <w:i/>
        </w:rPr>
        <w:t xml:space="preserve"> </w:t>
      </w:r>
      <w:r>
        <w:rPr>
          <w:i/>
        </w:rPr>
        <w:t xml:space="preserve">Gadus morhua)</w:t>
      </w:r>
      <w:r>
        <w:t xml:space="preserve">) are injected into hand-written sentence templates covering</w:t>
      </w:r>
      <w:r>
        <w:t xml:space="preserve"> </w:t>
      </w:r>
      <w:r>
        <w:t xml:space="preserve">nine interaction categories. Every positive sentence was individually</w:t>
      </w:r>
      <w:r>
        <w:t xml:space="preserve"> </w:t>
      </w:r>
      <w:r>
        <w:t xml:space="preserve">validated by a large language model to remove formulaic or linguistically</w:t>
      </w:r>
      <w:r>
        <w:t xml:space="preserve"> </w:t>
      </w:r>
      <w:r>
        <w:t xml:space="preserve">implausible candidates, yielding 25,081 clean sentences (7,251 positive).</w:t>
      </w:r>
    </w:p>
    <w:p>
      <w:pPr>
        <w:pStyle w:val="BodyText"/>
      </w:pPr>
      <w:r>
        <w:rPr>
          <w:i/>
        </w:rPr>
        <w:t xml:space="preserve">PMC-harvested sentences (real).</w:t>
      </w:r>
      <w:r>
        <w:t xml:space="preserve"> </w:t>
      </w:r>
      <w:r>
        <w:t xml:space="preserve">Articles co-mentioning known GloBI species pairs were queried from</w:t>
      </w:r>
      <w:r>
        <w:t xml:space="preserve"> </w:t>
      </w:r>
      <w:r>
        <w:t xml:space="preserve">Biodiversity PMC</w:t>
      </w:r>
      <w:r>
        <w:t xml:space="preserve"> </w:t>
      </w:r>
      <w:r>
        <w:t xml:space="preserve">(Pasche et al. 2023)</w:t>
      </w:r>
      <w:r>
        <w:t xml:space="preserve"> </w:t>
      </w:r>
      <w:r>
        <w:t xml:space="preserve">(</w:t>
      </w:r>
      <m:oMath>
        <m:r>
          <m:t>≈</m:t>
        </m:r>
      </m:oMath>
      <w:r>
        <w:t xml:space="preserve">39K sentences in</w:t>
      </w:r>
      <w:r>
        <w:t xml:space="preserve"> </w:t>
      </w:r>
      <w:r>
        <w:t xml:space="preserve">total, queried both by species co-occurrence and by interaction category</w:t>
      </w:r>
      <w:r>
        <w:t xml:space="preserve"> </w:t>
      </w:r>
      <w:r>
        <w:t xml:space="preserve">via the SIBiLS API</w:t>
      </w:r>
      <w:r>
        <w:t xml:space="preserve"> </w:t>
      </w:r>
      <w:r>
        <w:t xml:space="preserve">(Gobeill et al. 2020)</w:t>
      </w:r>
      <w:r>
        <w:t xml:space="preserve">).</w:t>
      </w:r>
      <w:r>
        <w:t xml:space="preserve"> </w:t>
      </w:r>
      <w:r>
        <w:t xml:space="preserve">Co-occurrence sentences were extracted and labeled by a local Qwen3.5-122B</w:t>
      </w:r>
      <w:r>
        <w:t xml:space="preserve"> </w:t>
      </w:r>
      <w:r>
        <w:t xml:space="preserve">model using the prompt: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Does this sentence describe a biotic interaction between two named</w:t>
      </w:r>
      <w:r>
        <w:rPr>
          <w:i/>
        </w:rPr>
        <w:t xml:space="preserve"> </w:t>
      </w:r>
      <w:r>
        <w:rPr>
          <w:i/>
        </w:rPr>
        <w:t xml:space="preserve">organisms? Answer yes or no only.</w:t>
      </w:r>
      <w:r>
        <w:rPr>
          <w:i/>
        </w:rPr>
        <w:t xml:space="preserve">”</w:t>
      </w:r>
      <w:r>
        <w:t xml:space="preserve"> </w:t>
      </w:r>
      <w:r>
        <w:t xml:space="preserve">Of 44,178 harvested sentences, 4,065 (9.2%) were accepted as positives.</w:t>
      </w:r>
    </w:p>
    <w:p>
      <w:pPr>
        <w:pStyle w:val="Heading4"/>
      </w:pPr>
      <w:bookmarkStart w:id="25" w:name="soft-label-generation."/>
      <w:r>
        <w:t xml:space="preserve">Soft label generation.</w:t>
      </w:r>
      <w:bookmarkEnd w:id="25"/>
    </w:p>
    <w:p>
      <w:pPr>
        <w:pStyle w:val="FirstParagraph"/>
      </w:pPr>
      <w:r>
        <w:t xml:space="preserve">The accepted 44,178 sentences were re-scored by the trained BiomedBERT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FLAN-T5-base ensemble, producing a soft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ensemble</m:t>
            </m:r>
          </m:sub>
        </m:sSub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per sentence. These soft labels constitute</w:t>
      </w:r>
      <w:r>
        <w:t xml:space="preserve"> </w:t>
      </w:r>
      <w:r>
        <w:t xml:space="preserve">the distillation teacher signal (Section </w:t>
      </w:r>
      <w:hyperlink w:anchor="sec:distillation">
        <w:r>
          <w:rPr>
            <w:rStyle w:val="Hyperlink"/>
          </w:rPr>
          <w:t xml:space="preserve">2.4</w:t>
        </w:r>
      </w:hyperlink>
      <w:r>
        <w:t xml:space="preserve">).</w:t>
      </w:r>
      <w:r>
        <w:t xml:space="preserve"> </w:t>
      </w:r>
      <w:r>
        <w:t xml:space="preserve">Figure </w:t>
      </w:r>
      <w:hyperlink w:anchor="fig:version_f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test F1 across training data</w:t>
      </w:r>
      <w:r>
        <w:t xml:space="preserve"> </w:t>
      </w:r>
      <w:r>
        <w:t xml:space="preserve">configurations.</w:t>
      </w:r>
    </w:p>
    <w:p>
      <w:pPr>
        <w:pStyle w:val="CaptionedFigure"/>
      </w:pPr>
      <w:bookmarkStart w:id="27" w:name="fig:version_f1"/>
      <w:r>
        <w:drawing>
          <wp:inline>
            <wp:extent cx="5334000" cy="2623328"/>
            <wp:effectExtent b="0" l="0" r="0" t="0"/>
            <wp:docPr descr="Test F1 across training data configurations. The rightmost bar (Qwen YES/NO labeling with ensemble soft labels) achieves the best result." title="" id="1" name="Picture"/>
            <a:graphic>
              <a:graphicData uri="http://schemas.openxmlformats.org/drawingml/2006/picture">
                <pic:pic>
                  <pic:nvPicPr>
                    <pic:cNvPr descr="fig_01_version_f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Test F1 across training data configurations. The rightmost bar</w:t>
      </w:r>
      <w:r>
        <w:t xml:space="preserve"> </w:t>
      </w:r>
      <w:r>
        <w:t xml:space="preserve">(Qwen YES/NO labeling with ensemble soft labels) achieves the best result.</w:t>
      </w:r>
    </w:p>
    <w:p>
      <w:pPr>
        <w:pStyle w:val="Heading2"/>
      </w:pPr>
      <w:bookmarkStart w:id="28" w:name="sec:architectures"/>
      <w:r>
        <w:t xml:space="preserve">Model Architecture Evolution</w:t>
      </w:r>
      <w:bookmarkEnd w:id="28"/>
    </w:p>
    <w:p>
      <w:pPr>
        <w:pStyle w:val="FirstParagraph"/>
      </w:pPr>
      <w:r>
        <w:t xml:space="preserve">We evaluated five approaches in order of increasing complexity.</w:t>
      </w:r>
    </w:p>
    <w:p>
      <w:pPr>
        <w:pStyle w:val="Heading4"/>
      </w:pPr>
      <w:bookmarkStart w:id="29" w:name="classical-baselines."/>
      <w:r>
        <w:t xml:space="preserve">Classical baselines.</w:t>
      </w:r>
      <w:bookmarkEnd w:id="29"/>
    </w:p>
    <w:p>
      <w:pPr>
        <w:pStyle w:val="FirstParagraph"/>
      </w:pPr>
      <w:r>
        <w:t xml:space="preserve">SVM and Random Forest on TF-IDF features achieved F1 </w:t>
      </w:r>
      <m:oMath>
        <m:r>
          <m:t>≈</m:t>
        </m:r>
      </m:oMath>
      <w:r>
        <w:t xml:space="preserve"> 0.62,</w:t>
      </w:r>
      <w:r>
        <w:t xml:space="preserve"> </w:t>
      </w:r>
      <w:r>
        <w:t xml:space="preserve">establishing the need for contextual representations.</w:t>
      </w:r>
    </w:p>
    <w:p>
      <w:pPr>
        <w:pStyle w:val="Heading4"/>
      </w:pPr>
      <w:bookmarkStart w:id="30" w:name="fine-tuned-biomedbert."/>
      <w:r>
        <w:t xml:space="preserve">Fine-tuned BiomedBERT.</w:t>
      </w:r>
      <w:bookmarkEnd w:id="30"/>
    </w:p>
    <w:p>
      <w:pPr>
        <w:pStyle w:val="FirstParagraph"/>
      </w:pPr>
      <w:r>
        <w:t xml:space="preserve">We use the BiomedBERT model</w:t>
      </w:r>
      <w:r>
        <w:t xml:space="preserve"> </w:t>
      </w:r>
      <w:r>
        <w:t xml:space="preserve">(Gu et al. 2021)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microsoft/BiomedNLP-BiomedBERT-base-uncased-abstract-fulltext</w:t>
        </w:r>
      </w:hyperlink>
      <w:r>
        <w:t xml:space="preserve">),</w:t>
      </w:r>
      <w:r>
        <w:t xml:space="preserve"> </w:t>
      </w:r>
      <w:r>
        <w:t xml:space="preserve">a BERT-base model (110M parameters, 12 transformer</w:t>
      </w:r>
      <w:r>
        <w:t xml:space="preserve"> </w:t>
      </w:r>
      <w:r>
        <w:t xml:space="preserve">layers, 768-dimensional hidden states) pre-trained from scratch on PubMed</w:t>
      </w:r>
      <w:r>
        <w:t xml:space="preserve"> </w:t>
      </w:r>
      <w:r>
        <w:t xml:space="preserve">abstracts and PubMed Central full-text articles. A linear classification</w:t>
      </w:r>
      <w:r>
        <w:t xml:space="preserve"> </w:t>
      </w:r>
      <w:r>
        <w:t xml:space="preserve">head on the [CLS] token representation is fine-tuned using 5-fold</w:t>
      </w:r>
      <w:r>
        <w:t xml:space="preserve"> </w:t>
      </w:r>
      <w:r>
        <w:t xml:space="preserve">cross-validation, AdamW optimiser (</w:t>
      </w:r>
      <m:oMath>
        <m:r>
          <m:t>η</m:t>
        </m:r>
        <m:r>
          <m:t>=</m:t>
        </m:r>
        <m:r>
          <m:t>2</m:t>
        </m:r>
        <m:r>
          <m:t>×</m:t>
        </m:r>
        <m:sSup>
          <m:e>
            <m:r>
              <m:t>10</m:t>
            </m:r>
          </m:e>
          <m:sup>
            <m:r>
              <m:t>−</m:t>
            </m:r>
            <m:r>
              <m:t>5</m:t>
            </m:r>
          </m:sup>
        </m:sSup>
      </m:oMath>
      <w:r>
        <w:t xml:space="preserve">, weight</w:t>
      </w:r>
      <w:r>
        <w:t xml:space="preserve"> </w:t>
      </w:r>
      <w:r>
        <w:t xml:space="preserve">decay = 0.01), and threshold optimisation on the validation split.</w:t>
      </w:r>
      <w:r>
        <w:t xml:space="preserve"> </w:t>
      </w:r>
      <w:r>
        <w:t xml:space="preserve">BiomedBERT trained on the template-derived corpus achieves F1 = 0.788.</w:t>
      </w:r>
    </w:p>
    <w:p>
      <w:pPr>
        <w:pStyle w:val="Heading4"/>
      </w:pPr>
      <w:bookmarkStart w:id="32" w:name="biomedbert-times-flan-t5-base-ensemble."/>
      <w:r>
        <w:t xml:space="preserve">BiomedBERT </w:t>
      </w:r>
      <m:oMath>
        <m:r>
          <m:t>×</m:t>
        </m:r>
      </m:oMath>
      <w:r>
        <w:t xml:space="preserve"> FLAN-T5-base ensemble.</w:t>
      </w:r>
      <w:bookmarkEnd w:id="32"/>
    </w:p>
    <w:p>
      <w:pPr>
        <w:pStyle w:val="FirstParagraph"/>
      </w:pPr>
      <w:r>
        <w:t xml:space="preserve">FLAN-T5-base</w:t>
      </w:r>
      <w:r>
        <w:t xml:space="preserve"> </w:t>
      </w:r>
      <w:r>
        <w:t xml:space="preserve">(Chung et al. 2022)</w:t>
      </w:r>
      <w:r>
        <w:t xml:space="preserve">, a sequence-to-sequence model trained</w:t>
      </w:r>
      <w:r>
        <w:t xml:space="preserve"> </w:t>
      </w:r>
      <w:r>
        <w:t xml:space="preserve">with instruction tuning, was fine-tuned as a binary classifier by prompting</w:t>
      </w:r>
      <w:r>
        <w:t xml:space="preserve"> </w:t>
      </w:r>
      <w:r>
        <w:t xml:space="preserve">for a yes/no answer and scoring the first generated token. The geometric</w:t>
      </w:r>
      <w:r>
        <w:t xml:space="preserve"> </w:t>
      </w:r>
      <w:r>
        <w:t xml:space="preserve">mean of BiomedBERT and FLAN-T5-base predicted probabilities, with joint</w:t>
      </w:r>
      <w:r>
        <w:t xml:space="preserve"> </w:t>
      </w:r>
      <w:r>
        <w:t xml:space="preserve">threshold optimisation, achieves F1 = 0.865. The gain is attributable to</w:t>
      </w:r>
      <w:r>
        <w:t xml:space="preserve"> </w:t>
      </w:r>
      <w:r>
        <w:t xml:space="preserve">model complementarity: BiomedBERT handles precise, template-like language</w:t>
      </w:r>
      <w:r>
        <w:t xml:space="preserve"> </w:t>
      </w:r>
      <w:r>
        <w:t xml:space="preserve">while FLAN-T5-base generalises better to paraphrased ecological sentences.</w:t>
      </w:r>
    </w:p>
    <w:p>
      <w:pPr>
        <w:pStyle w:val="BodyText"/>
      </w:pPr>
      <w:r>
        <w:t xml:space="preserve">The two subsequent stages, knowledge distillation and multi-task NER, are</w:t>
      </w:r>
      <w:r>
        <w:t xml:space="preserve"> </w:t>
      </w:r>
      <w:r>
        <w:t xml:space="preserve">described in Sections </w:t>
      </w:r>
      <w:hyperlink w:anchor="sec:distillation">
        <w:r>
          <w:rPr>
            <w:rStyle w:val="Hyperlink"/>
          </w:rPr>
          <w:t xml:space="preserve">2.4</w:t>
        </w:r>
      </w:hyperlink>
      <w:r>
        <w:t xml:space="preserve"> </w:t>
      </w:r>
      <w:r>
        <w:t xml:space="preserve">and </w:t>
      </w:r>
      <w:hyperlink w:anchor="sec:multitask">
        <w:r>
          <w:rPr>
            <w:rStyle w:val="Hyperlink"/>
          </w:rPr>
          <w:t xml:space="preserve">2.5</w:t>
        </w:r>
      </w:hyperlink>
      <w:r>
        <w:t xml:space="preserve"> </w:t>
      </w:r>
      <w:r>
        <w:t xml:space="preserve">respectively. Figure </w:t>
      </w:r>
      <w:hyperlink w:anchor="fig:model_evolution">
        <w:r>
          <w:rPr>
            <w:rStyle w:val="Hyperlink"/>
          </w:rPr>
          <w:t xml:space="preserve">[fig:model_evolution]</w:t>
        </w:r>
      </w:hyperlink>
      <w:r>
        <w:t xml:space="preserve"> </w:t>
      </w:r>
      <w:r>
        <w:t xml:space="preserve">summarises the F1 progression</w:t>
      </w:r>
      <w:r>
        <w:t xml:space="preserve"> </w:t>
      </w:r>
      <w:r>
        <w:t xml:space="preserve">across architecture stages.</w:t>
      </w:r>
    </w:p>
    <w:p>
      <w:pPr>
        <w:pStyle w:val="BodyText"/>
      </w:pPr>
      <w:r>
        <w:drawing>
          <wp:inline>
            <wp:extent cx="5334000" cy="2381298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_02_model_evol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sec:distillation"/>
      <w:r>
        <w:t xml:space="preserve">Knowledge Distillation</w:t>
      </w:r>
      <w:bookmarkEnd w:id="34"/>
    </w:p>
    <w:p>
      <w:pPr>
        <w:pStyle w:val="FirstParagraph"/>
      </w:pPr>
      <w:r>
        <w:t xml:space="preserve">Knowledge distillation</w:t>
      </w:r>
      <w:r>
        <w:t xml:space="preserve"> </w:t>
      </w:r>
      <w:r>
        <w:t xml:space="preserve">(Hinton, Vinyals, and Dean 2015)</w:t>
      </w:r>
      <w:r>
        <w:t xml:space="preserve"> </w:t>
      </w:r>
      <w:r>
        <w:t xml:space="preserve">transfers calibrated</w:t>
      </w:r>
      <w:r>
        <w:t xml:space="preserve"> </w:t>
      </w:r>
      <w:r>
        <w:t xml:space="preserve">uncertainty from a teacher to a student by training on soft probability</w:t>
      </w:r>
      <w:r>
        <w:t xml:space="preserve"> </w:t>
      </w:r>
      <w:r>
        <w:t xml:space="preserve">distributions rather than hard labels</w:t>
      </w:r>
      <w:r>
        <w:t xml:space="preserve"> </w:t>
      </w:r>
      <w:r>
        <w:t xml:space="preserve">(Buciluă, Caruana, and Niculescu-Mizil 2006)</w:t>
      </w:r>
      <w:r>
        <w:t xml:space="preserve">.</w:t>
      </w:r>
      <w:r>
        <w:t xml:space="preserve"> </w:t>
      </w:r>
      <w:r>
        <w:t xml:space="preserve">A teacher score of 0.7 instructs the student that a sentence is</w:t>
      </w:r>
      <w:r>
        <w:t xml:space="preserve"> </w:t>
      </w:r>
      <w:r>
        <w:rPr>
          <w:i/>
        </w:rPr>
        <w:t xml:space="preserve">probably</w:t>
      </w:r>
      <w:r>
        <w:t xml:space="preserve"> </w:t>
      </w:r>
      <w:r>
        <w:t xml:space="preserve">positive but not certain; the student is penalised for</w:t>
      </w:r>
      <w:r>
        <w:t xml:space="preserve"> </w:t>
      </w:r>
      <w:r>
        <w:t xml:space="preserve">predicting 0.4, not merely for predicting the wrong class. This</w:t>
      </w:r>
      <w:r>
        <w:t xml:space="preserve"> </w:t>
      </w:r>
      <w:r>
        <w:t xml:space="preserve">information transfer is especially valuable for borderline sentences.</w:t>
      </w:r>
    </w:p>
    <w:p>
      <w:pPr>
        <w:pStyle w:val="Heading4"/>
      </w:pPr>
      <w:bookmarkStart w:id="35" w:name="training-objective."/>
      <w:r>
        <w:t xml:space="preserve">Training objective.</w:t>
      </w:r>
      <w:bookmarkEnd w:id="35"/>
    </w:p>
    <w:p>
      <w:pPr>
        <w:pStyle w:val="FirstParagraph"/>
      </w:pPr>
      <w:r>
        <w:t xml:space="preserve">The student BiomedBERT is trained using KL divergence against the ensemble</w:t>
      </w:r>
      <w:r>
        <w:t xml:space="preserve"> </w:t>
      </w:r>
      <w:r>
        <w:t xml:space="preserve">teacher: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KL</m:t>
              </m:r>
            </m:sub>
          </m:sSub>
          <m: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σ</m:t>
              </m:r>
              <m:r>
                <m:t>(</m:t>
              </m:r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s</m:t>
                  </m:r>
                </m:sub>
              </m:sSub>
              <m:r>
                <m:t>/</m:t>
              </m:r>
              <m:r>
                <m:t>T</m:t>
              </m:r>
              <m:r>
                <m:t>)</m:t>
              </m:r>
              <m:r>
                <m:t> </m:t>
              </m:r>
              <m:r>
                <m:t>∥</m:t>
              </m:r>
              <m:r>
                <m:t> </m:t>
              </m:r>
              <m:r>
                <m:t>σ</m:t>
              </m:r>
              <m:r>
                <m:t>(</m:t>
              </m:r>
              <m:sSub>
                <m:e>
                  <m:r>
                    <m:rPr>
                      <m:sty m:val="b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  <m:r>
                <m:t>/</m:t>
              </m:r>
              <m:r>
                <m:t>T</m:t>
              </m:r>
              <m: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temperature,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student</w:t>
      </w:r>
      <w:r>
        <w:t xml:space="preserve"> </w:t>
      </w:r>
      <w:r>
        <w:t xml:space="preserve">and teacher logits,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denotes the softmax function.</w:t>
      </w:r>
      <w:r>
        <w:t xml:space="preserve"> </w:t>
      </w:r>
      <w:r>
        <w:t xml:space="preserve">Rows without soft labels use hard cross-entropy. The combined loss is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t>=</m:t>
        </m:r>
        <m:r>
          <m:t>α</m:t>
        </m:r>
        <m:r>
          <m:t>⋅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KL</m:t>
            </m:r>
          </m:sub>
        </m:sSub>
        <m:r>
          <m:t>+</m:t>
        </m:r>
        <m:r>
          <m:t>(</m:t>
        </m:r>
        <m:r>
          <m:t>1</m:t>
        </m:r>
        <m:r>
          <m:t>−</m:t>
        </m:r>
        <m:r>
          <m:t>α</m:t>
        </m:r>
        <m:r>
          <m:t>)</m:t>
        </m:r>
        <m:r>
          <m:t>⋅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CE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Optimal hyperparameters (</w:t>
      </w:r>
      <m:oMath>
        <m:r>
          <m:t>T</m:t>
        </m:r>
        <m: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) were identified by</w:t>
      </w:r>
      <w:r>
        <w:t xml:space="preserve"> </w:t>
      </w:r>
      <w:r>
        <w:t xml:space="preserve">grid search over six student configurations (Appendix </w:t>
      </w:r>
      <w:hyperlink w:anchor="app:distillation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Temperature</w:t>
      </w:r>
      <w:r>
        <w:t xml:space="preserve"> </w:t>
      </w:r>
      <m:oMath>
        <m:r>
          <m:t>T</m:t>
        </m:r>
        <m:r>
          <m:t>=</m:t>
        </m:r>
        <m:r>
          <m:t>2</m:t>
        </m:r>
      </m:oMath>
      <w:r>
        <w:t xml:space="preserve"> </w:t>
      </w:r>
      <w:r>
        <w:t xml:space="preserve">spreads the teacher distribution sufficiently to</w:t>
      </w:r>
      <w:r>
        <w:t xml:space="preserve"> </w:t>
      </w:r>
      <w:r>
        <w:t xml:space="preserve">transfer calibrated uncertainty without over-smoothing. The best-performing</w:t>
      </w:r>
      <w:r>
        <w:t xml:space="preserve"> </w:t>
      </w:r>
      <w:r>
        <w:t xml:space="preserve">student achieves F1 = 0.808, a gain of +0.020 over the single-task</w:t>
      </w:r>
      <w:r>
        <w:t xml:space="preserve"> </w:t>
      </w:r>
      <w:r>
        <w:t xml:space="preserve">BiomedBERT baseline.</w:t>
      </w:r>
    </w:p>
    <w:p>
      <w:pPr>
        <w:pStyle w:val="Heading2"/>
      </w:pPr>
      <w:bookmarkStart w:id="36" w:name="sec:multitask"/>
      <w:r>
        <w:t xml:space="preserve">Multi-task BiomedBERT with NER Auxiliary Task</w:t>
      </w:r>
      <w:bookmarkEnd w:id="36"/>
    </w:p>
    <w:p>
      <w:pPr>
        <w:pStyle w:val="Heading4"/>
      </w:pPr>
      <w:bookmarkStart w:id="37" w:name="architecture."/>
      <w:r>
        <w:t xml:space="preserve">Architecture.</w:t>
      </w:r>
      <w:bookmarkEnd w:id="37"/>
    </w:p>
    <w:p>
      <w:pPr>
        <w:pStyle w:val="FirstParagraph"/>
      </w:pPr>
      <w:r>
        <w:t xml:space="preserve">The BiomedBERT encoder is extended with two linear output heads that share</w:t>
      </w:r>
      <w:r>
        <w:t xml:space="preserve"> </w:t>
      </w:r>
      <w:r>
        <w:t xml:space="preserve">all encoder weights:</w:t>
      </w:r>
    </w:p>
    <w:p>
      <w:pPr>
        <w:numPr>
          <w:ilvl w:val="0"/>
          <w:numId w:val="1002"/>
        </w:numPr>
      </w:pPr>
      <w:r>
        <w:rPr>
          <w:b/>
        </w:rPr>
        <w:t xml:space="preserve">Classification head</w:t>
      </w:r>
      <w:r>
        <w:t xml:space="preserve">: reads the [CLS] token vector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  <m: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), produces</w:t>
      </w:r>
      <w:r>
        <w:t xml:space="preserve"> </w:t>
      </w:r>
      <m:oMath>
        <m:r>
          <m:t>P</m:t>
        </m:r>
        <m:r>
          <m:t>(</m:t>
        </m:r>
        <m:r>
          <m:rPr>
            <m:nor/>
            <m:sty m:val="p"/>
          </m:rPr>
          <m:t>interaction</m:t>
        </m:r>
        <m: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NER head</w:t>
      </w:r>
      <w:r>
        <w:t xml:space="preserve">: reads every token vector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768</m:t>
            </m:r>
          </m:sup>
        </m:sSup>
        <m: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|</m:t>
            </m:r>
            <m:r>
              <m:rPr>
                <m:sty m:val="p"/>
                <m:scr m:val="script"/>
              </m:rPr>
              <m:t>L</m:t>
            </m:r>
            <m:r>
              <m:t>|</m:t>
            </m:r>
          </m:sup>
        </m:sSup>
      </m:oMath>
      <w:r>
        <w:t xml:space="preserve">), produces BIO label logits.</w:t>
      </w:r>
    </w:p>
    <w:p>
      <w:pPr>
        <w:pStyle w:val="Heading4"/>
      </w:pPr>
      <w:bookmarkStart w:id="38" w:name="ner-label-scheme."/>
      <w:r>
        <w:t xml:space="preserve">NER label scheme.</w:t>
      </w:r>
      <w:bookmarkEnd w:id="38"/>
    </w:p>
    <w:p>
      <w:pPr>
        <w:pStyle w:val="FirstParagraph"/>
      </w:pPr>
      <w:r>
        <w:t xml:space="preserve">A gazetteer is a curated lookup dictionary of known entity names used for</w:t>
      </w:r>
      <w:r>
        <w:t xml:space="preserve"> </w:t>
      </w:r>
      <w:r>
        <w:t xml:space="preserve">efficient dictionary-based recognition. We index</w:t>
      </w:r>
      <w:r>
        <w:t xml:space="preserve"> </w:t>
      </w:r>
      <m:oMath>
        <m:r>
          <m:t>≈</m:t>
        </m:r>
      </m:oMath>
      <w:r>
        <w:t xml:space="preserve">4.2 million</w:t>
      </w:r>
      <w:r>
        <w:t xml:space="preserve"> </w:t>
      </w:r>
      <w:r>
        <w:t xml:space="preserve">binomial species names plus 21K common names, matched against text via</w:t>
      </w:r>
      <w:r>
        <w:t xml:space="preserve"> </w:t>
      </w:r>
      <w:r>
        <w:t xml:space="preserve">Aho-Corasick automata</w:t>
      </w:r>
      <w:r>
        <w:t xml:space="preserve"> </w:t>
      </w:r>
      <w:r>
        <w:t xml:space="preserve">(Aho and Corasick 1975)</w:t>
      </w:r>
      <w:r>
        <w:t xml:space="preserve"> </w:t>
      </w:r>
      <w:r>
        <w:t xml:space="preserve">for exact string lookup.</w:t>
      </w:r>
    </w:p>
    <w:p>
      <w:pPr>
        <w:pStyle w:val="BodyText"/>
      </w:pPr>
      <w:r>
        <w:t xml:space="preserve">We use the</w:t>
      </w:r>
      <w:r>
        <w:t xml:space="preserve"> </w:t>
      </w:r>
      <w:r>
        <w:rPr>
          <w:rStyle w:val="VerbatimChar"/>
        </w:rPr>
        <w:t xml:space="preserve">full_typed</w:t>
      </w:r>
      <w:r>
        <w:t xml:space="preserve"> </w:t>
      </w:r>
      <w:r>
        <w:t xml:space="preserve">scheme with</w:t>
      </w:r>
      <w:r>
        <w:t xml:space="preserve"> </w:t>
      </w:r>
      <m:oMath>
        <m:r>
          <m:t>|</m:t>
        </m:r>
        <m:r>
          <m:rPr>
            <m:sty m:val="p"/>
            <m:scr m:val="script"/>
          </m:rPr>
          <m:t>L</m:t>
        </m:r>
        <m:r>
          <m:t>|</m:t>
        </m:r>
        <m:r>
          <m:t>=</m:t>
        </m:r>
        <m:r>
          <m:t>9</m:t>
        </m:r>
      </m:oMath>
      <w:r>
        <w:t xml:space="preserve"> </w:t>
      </w:r>
      <w:r>
        <w:t xml:space="preserve">labels: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(background),</w:t>
      </w:r>
      <w:r>
        <w:t xml:space="preserve"> </w:t>
      </w:r>
      <w:r>
        <w:rPr>
          <w:rStyle w:val="VerbatimChar"/>
        </w:rPr>
        <w:t xml:space="preserve">B/I-HOST</w:t>
      </w:r>
      <w:r>
        <w:t xml:space="preserve"> </w:t>
      </w:r>
      <w:r>
        <w:t xml:space="preserve">(hosting organism),</w:t>
      </w:r>
      <w:r>
        <w:t xml:space="preserve"> </w:t>
      </w:r>
      <w:r>
        <w:rPr>
          <w:rStyle w:val="VerbatimChar"/>
        </w:rPr>
        <w:t xml:space="preserve">B/I-PATHOGEN</w:t>
      </w:r>
      <w:r>
        <w:t xml:space="preserve"> </w:t>
      </w:r>
      <w:r>
        <w:t xml:space="preserve">(infecting or parasitic agent),</w:t>
      </w:r>
      <w:r>
        <w:t xml:space="preserve"> </w:t>
      </w:r>
      <w:r>
        <w:rPr>
          <w:rStyle w:val="VerbatimChar"/>
        </w:rPr>
        <w:t xml:space="preserve">B/I-SPECIES</w:t>
      </w:r>
      <w:r>
        <w:t xml:space="preserve"> </w:t>
      </w:r>
      <w:r>
        <w:t xml:space="preserve">(ambiguous role in symmetric interactions),</w:t>
      </w:r>
      <w:r>
        <w:t xml:space="preserve"> </w:t>
      </w:r>
      <w:r>
        <w:rPr>
          <w:rStyle w:val="VerbatimChar"/>
        </w:rPr>
        <w:t xml:space="preserve">B/I-INT</w:t>
      </w:r>
      <w:r>
        <w:t xml:space="preserve"> </w:t>
      </w:r>
      <w:r>
        <w:t xml:space="preserve">(interaction verb or phrase).</w:t>
      </w:r>
      <w:r>
        <w:t xml:space="preserve"> </w:t>
      </w:r>
      <w:r>
        <w:t xml:space="preserve">In addition to species gazetteers, labeling relies on an interaction lexicon</w:t>
      </w:r>
      <w:r>
        <w:t xml:space="preserve"> </w:t>
      </w:r>
      <w:r>
        <w:t xml:space="preserve">developed within SIBiLS</w:t>
      </w:r>
      <w:r>
        <w:t xml:space="preserve"> </w:t>
      </w:r>
      <w:r>
        <w:t xml:space="preserve">(Gobeill et al. 2020)</w:t>
      </w:r>
      <w:r>
        <w:t xml:space="preserve">, containing 591 terms derived</w:t>
      </w:r>
      <w:r>
        <w:t xml:space="preserve"> </w:t>
      </w:r>
      <w:r>
        <w:t xml:space="preserve">from the GloBI relation ontology (ROBI), covering all interaction types indexed</w:t>
      </w:r>
      <w:r>
        <w:t xml:space="preserve"> </w:t>
      </w:r>
      <w:r>
        <w:t xml:space="preserve">by BiotXplorer, supplemented by 50 biomedical terms for pathogen-host vocabulary</w:t>
      </w:r>
      <w:r>
        <w:t xml:space="preserve"> </w:t>
      </w:r>
      <w:r>
        <w:t xml:space="preserve">not represented in ROBI.</w:t>
      </w:r>
      <w:r>
        <w:t xml:space="preserve"> </w:t>
      </w:r>
      <w:r>
        <w:t xml:space="preserve">Gold species annotations from training metadata override gazetteer lookup when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Table </w:t>
      </w:r>
      <w:hyperlink w:anchor="tab:ner_schemes">
        <w:r>
          <w:rPr>
            <w:rStyle w:val="Hyperlink"/>
          </w:rPr>
          <w:t xml:space="preserve">[tab:ner_schemes]</w:t>
        </w:r>
      </w:hyperlink>
      <w:r>
        <w:t xml:space="preserve"> </w:t>
      </w:r>
      <w:r>
        <w:t xml:space="preserve">compares the four label schemes evaluated.</w:t>
      </w:r>
      <w:r>
        <w:t xml:space="preserve"> </w:t>
      </w:r>
      <w:r>
        <w:t xml:space="preserve">The HOST/PATHOGEN distinction encodes the direction of the relation: who acts</w:t>
      </w:r>
      <w:r>
        <w:t xml:space="preserve"> </w:t>
      </w:r>
      <w:r>
        <w:t xml:space="preserve">and who is acted upon. This directional labelling is motivated by the downstream</w:t>
      </w:r>
      <w:r>
        <w:t xml:space="preserve"> </w:t>
      </w:r>
      <w:r>
        <w:t xml:space="preserve">KG construction task, where edge direction is semantically significant.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# labels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Label 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Best test F1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O, B/I-SPECIES</w:t>
            </w:r>
          </w:p>
        </w:tc>
        <w:tc>
          <w:p>
            <w:pPr>
              <w:pStyle w:val="Compact"/>
              <w:jc w:val="center"/>
            </w:pPr>
            <w:r>
              <w:t xml:space="preserve">0.841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typed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O, B/I-HOST, B/I-PATHOGEN</w:t>
            </w:r>
          </w:p>
        </w:tc>
        <w:tc>
          <w:p>
            <w:pPr>
              <w:pStyle w:val="Compact"/>
              <w:jc w:val="center"/>
            </w:pPr>
            <w:r>
              <w:t xml:space="preserve">0.852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O, B/I-SPECIES, B/I-INT</w:t>
            </w:r>
          </w:p>
        </w:tc>
        <w:tc>
          <w:p>
            <w:pPr>
              <w:pStyle w:val="Compact"/>
              <w:jc w:val="center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O, B/I-HOST, B/I-PATHOGEN, B/I-SPECIES, B/I-INT</w:t>
            </w:r>
          </w:p>
        </w:tc>
        <w:tc>
          <w:p>
            <w:pPr>
              <w:pStyle w:val="Compact"/>
              <w:jc w:val="center"/>
            </w:pPr>
            <w:r>
              <w:t xml:space="preserve">0.868</w:t>
            </w:r>
          </w:p>
        </w:tc>
      </w:tr>
    </w:tbl>
    <w:p>
      <w:pPr>
        <w:pStyle w:val="Heading4"/>
      </w:pPr>
      <w:bookmarkStart w:id="39" w:name="two-phase-training."/>
      <w:r>
        <w:t xml:space="preserve">Two-phase training.</w:t>
      </w:r>
      <w:bookmarkEnd w:id="39"/>
    </w:p>
    <w:p>
      <w:pPr>
        <w:pStyle w:val="FirstParagraph"/>
      </w:pPr>
      <w:r>
        <w:t xml:space="preserve">Training proceeds in two phases designed to avoid interference between</w:t>
      </w:r>
      <w:r>
        <w:t xml:space="preserve"> </w:t>
      </w:r>
      <w:r>
        <w:t xml:space="preserve">the NER and classification objectives</w:t>
      </w:r>
      <w:r>
        <w:t xml:space="preserve"> </w:t>
      </w:r>
      <w:r>
        <w:t xml:space="preserve">(Liu et al. 2019)</w:t>
      </w:r>
      <w:r>
        <w:t xml:space="preserve">:</w:t>
      </w:r>
    </w:p>
    <w:p>
      <w:pPr>
        <w:pStyle w:val="DefinitionTerm"/>
      </w:pPr>
      <w:r>
        <w:t xml:space="preserve">Phase 1: NER pre-train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NER</m:t>
            </m:r>
          </m:sub>
        </m:sSub>
      </m:oMath>
      <w:r>
        <w:t xml:space="preserve"> </w:t>
      </w:r>
      <w:r>
        <w:t xml:space="preserve">epochs).</w:t>
      </w:r>
    </w:p>
    <w:p>
      <w:pPr>
        <w:pStyle w:val="Definition"/>
      </w:pPr>
      <w:r>
        <w:t xml:space="preserve">The classification head is frozen. Only the encoder and NER head receive</w:t>
      </w:r>
      <w:r>
        <w:t xml:space="preserve"> </w:t>
      </w:r>
      <w:r>
        <w:t xml:space="preserve">gradient updates from token-level cross-entropy loss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NER</m:t>
            </m:r>
          </m:sub>
        </m:sSub>
      </m:oMath>
      <w:r>
        <w:t xml:space="preserve">.</w:t>
      </w:r>
      <w:r>
        <w:t xml:space="preserve"> </w:t>
      </w:r>
      <w:r>
        <w:t xml:space="preserve">This phase primes the shared encoder to locate species names and</w:t>
      </w:r>
      <w:r>
        <w:t xml:space="preserve"> </w:t>
      </w:r>
      <w:r>
        <w:t xml:space="preserve">interaction verbs before the classification signal is introduced.</w:t>
      </w:r>
    </w:p>
    <w:p>
      <w:pPr>
        <w:pStyle w:val="DefinitionTerm"/>
      </w:pPr>
      <w:r>
        <w:t xml:space="preserve">Phase 2: Joint training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joint</m:t>
            </m:r>
          </m:sub>
        </m:sSub>
      </m:oMath>
      <w:r>
        <w:t xml:space="preserve"> </w:t>
      </w:r>
      <w:r>
        <w:t xml:space="preserve">epochs).</w:t>
      </w:r>
    </w:p>
    <w:p>
      <w:pPr>
        <w:pStyle w:val="Definition"/>
      </w:pPr>
      <w:r>
        <w:t xml:space="preserve">All parameters are unfrozen. Combined loss:</w:t>
      </w:r>
    </w:p>
    <w:p>
      <w:pPr>
        <w:pStyle w:val="Definition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t>=</m:t>
          </m:r>
          <m:r>
            <m:t>α</m:t>
          </m:r>
          <m: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cls</m:t>
              </m:r>
            </m:sub>
          </m:sSub>
          <m:r>
            <m:t>+</m:t>
          </m:r>
          <m:r>
            <m:t>(</m:t>
          </m:r>
          <m:r>
            <m:t>1</m:t>
          </m:r>
          <m:r>
            <m:t>−</m:t>
          </m:r>
          <m:r>
            <m:t>α</m:t>
          </m:r>
          <m:r>
            <m:t>)</m:t>
          </m:r>
          <m: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NER</m:t>
              </m:r>
            </m:sub>
          </m:sSub>
        </m:oMath>
      </m:oMathPara>
    </w:p>
    <w:p>
      <w:pPr>
        <w:pStyle w:val="Definition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cls</m:t>
            </m:r>
          </m:sub>
        </m:sSub>
      </m:oMath>
      <w:r>
        <w:t xml:space="preserve"> </w:t>
      </w:r>
      <w:r>
        <w:t xml:space="preserve">is soft KL divergence against ensemble</w:t>
      </w:r>
      <w:r>
        <w:t xml:space="preserve"> </w:t>
      </w:r>
      <w:r>
        <w:t xml:space="preserve">soft labels when available, and hard CE otherwise.</w:t>
      </w:r>
    </w:p>
    <w:p>
      <w:pPr>
        <w:pStyle w:val="FirstParagraph"/>
      </w:pPr>
      <w:r>
        <w:t xml:space="preserve">We find that initialising Phase 1 from the best fine-tuned BiomedBERT</w:t>
      </w:r>
      <w:r>
        <w:t xml:space="preserve"> </w:t>
      </w:r>
      <w:r>
        <w:t xml:space="preserve">checkpoint degrades performance (F1 = 0.862 vs. cold-start 0.868):</w:t>
      </w:r>
      <w:r>
        <w:t xml:space="preserve"> </w:t>
      </w:r>
      <w:r>
        <w:t xml:space="preserve">NER gradient updates disrupt the task-specific representations built during</w:t>
      </w:r>
      <w:r>
        <w:t xml:space="preserve"> </w:t>
      </w:r>
      <w:r>
        <w:t xml:space="preserve">classification fine-tuning, and the subsequent joint phase does not fully</w:t>
      </w:r>
      <w:r>
        <w:t xml:space="preserve"> </w:t>
      </w:r>
      <w:r>
        <w:t xml:space="preserve">recover them. Cold-starting from the pretrained BiomedBERT weights is</w:t>
      </w:r>
      <w:r>
        <w:t xml:space="preserve"> </w:t>
      </w:r>
      <w:r>
        <w:t xml:space="preserve">therefore preferred.</w:t>
      </w:r>
    </w:p>
    <w:p>
      <w:pPr>
        <w:pStyle w:val="Heading2"/>
      </w:pPr>
      <w:bookmarkStart w:id="40" w:name="sec:eval"/>
      <w:r>
        <w:t xml:space="preserve">Evaluation Protocol</w:t>
      </w:r>
      <w:bookmarkEnd w:id="40"/>
    </w:p>
    <w:p>
      <w:pPr>
        <w:pStyle w:val="FirstParagraph"/>
      </w:pPr>
      <w:r>
        <w:t xml:space="preserve">All models are evaluated on a 100-sentence test set (48 positive)</w:t>
      </w:r>
      <w:r>
        <w:t xml:space="preserve"> </w:t>
      </w:r>
      <w:r>
        <w:t xml:space="preserve">drawn from ecological literature, curated with relaxed annotation criteria</w:t>
      </w:r>
      <w:r>
        <w:t xml:space="preserve"> </w:t>
      </w:r>
      <w:r>
        <w:t xml:space="preserve">(any biotic interaction type accepted). The set has no overlap with</w:t>
      </w:r>
      <w:r>
        <w:t xml:space="preserve"> </w:t>
      </w:r>
      <w:r>
        <w:t xml:space="preserve">training data. We report precision, recall, and F1-score.</w:t>
      </w:r>
    </w:p>
    <w:p>
      <w:pPr>
        <w:pStyle w:val="BodyText"/>
      </w:pPr>
      <w:r>
        <w:t xml:space="preserve">Bootstrap confidence intervals are estimated with 10,000 resamples</w:t>
      </w:r>
      <w:r>
        <w:t xml:space="preserve"> </w:t>
      </w:r>
      <w:r>
        <w:t xml:space="preserve">(Efron and Tibshirani 1993)</w:t>
      </w:r>
      <w:r>
        <w:t xml:space="preserve">.</w:t>
      </w:r>
      <w:r>
        <w:t xml:space="preserve"> </w:t>
      </w:r>
      <w:r>
        <w:t xml:space="preserve">Pairwise significance is assessed using McNemar’s test</w:t>
      </w:r>
      <w:r>
        <w:t xml:space="preserve"> </w:t>
      </w:r>
      <w:r>
        <w:t xml:space="preserve">(McNemar 1947)</w:t>
      </w:r>
      <w:r>
        <w:t xml:space="preserve"> </w:t>
      </w:r>
      <w:r>
        <w:t xml:space="preserve">with continuity correction. For each model,</w:t>
      </w:r>
      <w:r>
        <w:t xml:space="preserve"> </w:t>
      </w:r>
      <w:r>
        <w:t xml:space="preserve">the decision threshold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optimised on the validation split</w:t>
      </w:r>
      <w:r>
        <w:t xml:space="preserve"> </w:t>
      </w:r>
      <w:r>
        <w:t xml:space="preserve">by sweeping</w:t>
      </w:r>
      <w:r>
        <w:t xml:space="preserve"> </w:t>
      </w:r>
      <m:oMath>
        <m:r>
          <m:t>τ</m:t>
        </m:r>
        <m:r>
          <m:t>∈</m:t>
        </m:r>
        <m:r>
          <m:t>[</m:t>
        </m:r>
        <m:r>
          <m:t>0.05</m:t>
        </m:r>
        <m:r>
          <m:t>,</m:t>
        </m:r>
        <m:r>
          <m:t>0.95</m:t>
        </m:r>
        <m:r>
          <m:t>]</m:t>
        </m:r>
      </m:oMath>
      <w:r>
        <w:t xml:space="preserve"> </w:t>
      </w:r>
      <w:r>
        <w:t xml:space="preserve">and selecting the value</w:t>
      </w:r>
      <w:r>
        <w:t xml:space="preserve"> </w:t>
      </w:r>
      <w:r>
        <w:t xml:space="preserve">maximising F1.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Multi-task BiomedBERT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full_typed</w:t>
            </w:r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=0.5, 2 NER ep)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0.868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0.793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 arch., hard cross-entropy (soft label ablation)</w:t>
            </w:r>
          </w:p>
        </w:tc>
        <w:tc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Distilled student (BiomedBERT,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=2,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=0.5)</w:t>
            </w:r>
          </w:p>
        </w:tc>
        <w:tc>
          <w:p>
            <w:pPr>
              <w:pStyle w:val="Compact"/>
              <w:jc w:val="right"/>
            </w:pPr>
            <w:r>
              <w:t xml:space="preserve">0.808</w:t>
            </w:r>
          </w:p>
        </w:tc>
        <w:tc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Ensemble BiomedBERT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FLAN-T5-base</w:t>
            </w:r>
          </w:p>
        </w:tc>
        <w:tc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Fine-tuned BiomedBERT (single-task baseline)</w:t>
            </w:r>
          </w:p>
        </w:tc>
        <w:tc>
          <w:p>
            <w:pPr>
              <w:pStyle w:val="Compact"/>
              <w:jc w:val="right"/>
            </w:pPr>
            <w:r>
              <w:t xml:space="preserve">0.788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Heading1"/>
      </w:pPr>
      <w:bookmarkStart w:id="41" w:name="sec:results"/>
      <w:r>
        <w:t xml:space="preserve">Results</w:t>
      </w:r>
      <w:bookmarkEnd w:id="41"/>
    </w:p>
    <w:p>
      <w:pPr>
        <w:pStyle w:val="Heading2"/>
      </w:pPr>
      <w:bookmarkStart w:id="42" w:name="multi-task-configuration-analysis"/>
      <w:r>
        <w:t xml:space="preserve">Multi-task Configuration Analysis</w:t>
      </w:r>
      <w:bookmarkEnd w:id="42"/>
    </w:p>
    <w:p>
      <w:pPr>
        <w:pStyle w:val="FirstParagraph"/>
      </w:pPr>
      <w:r>
        <w:t xml:space="preserve">Table </w:t>
      </w:r>
      <w:hyperlink w:anchor="tab:ablation">
        <w:r>
          <w:rPr>
            <w:rStyle w:val="Hyperlink"/>
          </w:rPr>
          <w:t xml:space="preserve">[tab:ablation]</w:t>
        </w:r>
      </w:hyperlink>
      <w:r>
        <w:t xml:space="preserve"> </w:t>
      </w:r>
      <w:r>
        <w:t xml:space="preserve">compares the best multi-task configuration against</w:t>
      </w:r>
      <w:r>
        <w:t xml:space="preserve"> </w:t>
      </w:r>
      <w:r>
        <w:t xml:space="preserve">key baselines; the full sweep over all NER schemes,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values, and</w:t>
      </w:r>
      <w:r>
        <w:t xml:space="preserve"> </w:t>
      </w:r>
      <w:r>
        <w:t xml:space="preserve">pre-training epochs is given in Appendix </w:t>
      </w:r>
      <w:hyperlink w:anchor="app:fullablation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Three consistent findings emerge from the analysis:</w:t>
      </w:r>
    </w:p>
    <w:p>
      <w:pPr>
        <w:pStyle w:val="Heading4"/>
      </w:pPr>
      <w:bookmarkStart w:id="43" w:name="X82617bcde200a8bc009f2568fa7a04b2fec1587"/>
      <w:r>
        <w:t xml:space="preserve">1. Soft labels are the largest single lever (+0.052 F1).</w:t>
      </w:r>
      <w:bookmarkEnd w:id="43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hardce</w:t>
      </w:r>
      <w:r>
        <w:t xml:space="preserve"> </w:t>
      </w:r>
      <w:r>
        <w:t xml:space="preserve">configuration uses the same architecture and data</w:t>
      </w:r>
      <w:r>
        <w:t xml:space="preserve"> </w:t>
      </w:r>
      <w:r>
        <w:t xml:space="preserve">with hard cross-entropy labels and achieves F1 = 0.816. The soft-KL variant</w:t>
      </w:r>
      <w:r>
        <w:t xml:space="preserve"> </w:t>
      </w:r>
      <w:r>
        <w:t xml:space="preserve">reaches 0.868: a difference of +0.052 F1, which is larger than any</w:t>
      </w:r>
      <w:r>
        <w:t xml:space="preserve"> </w:t>
      </w:r>
      <w:r>
        <w:t xml:space="preserve">architectural change, including the multi-task NER head (+0.021).</w:t>
      </w:r>
    </w:p>
    <w:p>
      <w:pPr>
        <w:pStyle w:val="Heading4"/>
      </w:pPr>
      <w:bookmarkStart w:id="44" w:name="ner-pre-training-is-necessary."/>
      <w:r>
        <w:t xml:space="preserve">2. NER pre-training is necessary.</w:t>
      </w:r>
      <w:bookmarkEnd w:id="44"/>
    </w:p>
    <w:p>
      <w:pPr>
        <w:pStyle w:val="FirstParagraph"/>
      </w:pPr>
      <w:r>
        <w:t xml:space="preserve">Adding 2 NER pre-training epochs improves</w:t>
      </w:r>
      <w:r>
        <w:t xml:space="preserve"> </w:t>
      </w:r>
      <w:r>
        <w:rPr>
          <w:rStyle w:val="VerbatimChar"/>
        </w:rPr>
        <w:t xml:space="preserve">full_typed</w:t>
      </w:r>
      <w:r>
        <w:t xml:space="preserve"> </w:t>
      </w:r>
      <w:r>
        <w:t xml:space="preserve">from 0.847</w:t>
      </w:r>
      <w:r>
        <w:t xml:space="preserve"> </w:t>
      </w:r>
      <w:r>
        <w:t xml:space="preserve">to 0.868. Extending joint training beyond 3 epochs causes performance to</w:t>
      </w:r>
      <w:r>
        <w:t xml:space="preserve"> </w:t>
      </w:r>
      <w:r>
        <w:t xml:space="preserve">degrade (F1 = 0.816), confirming that a short joint phase after encoder</w:t>
      </w:r>
      <w:r>
        <w:t xml:space="preserve"> </w:t>
      </w:r>
      <w:r>
        <w:t xml:space="preserve">priming is optimal.</w:t>
      </w:r>
    </w:p>
    <w:p>
      <w:pPr>
        <w:pStyle w:val="Heading4"/>
      </w:pPr>
      <w:bookmarkStart w:id="45" w:name="richer-ner-schemes-perform-better."/>
      <w:r>
        <w:t xml:space="preserve">3. Richer NER schemes perform better.</w:t>
      </w:r>
      <w:bookmarkEnd w:id="45"/>
    </w:p>
    <w:p>
      <w:pPr>
        <w:pStyle w:val="FirstParagraph"/>
      </w:pPr>
      <w:r>
        <w:t xml:space="preserve">Performance increases consistently from basic (0.841) through typed (0.852)</w:t>
      </w:r>
      <w:r>
        <w:t xml:space="preserve"> </w:t>
      </w:r>
      <w:r>
        <w:t xml:space="preserve">and full (0.854) to full_typed (0.868 with pre-training). The HOST/PATHOGEN</w:t>
      </w:r>
      <w:r>
        <w:t xml:space="preserve"> </w:t>
      </w:r>
      <w:r>
        <w:t xml:space="preserve">distinction provides directional supervision that builds richer encoder</w:t>
      </w:r>
      <w:r>
        <w:t xml:space="preserve"> </w:t>
      </w:r>
      <w:r>
        <w:t xml:space="preserve">representations than undifferentiated species tagging.</w:t>
      </w:r>
    </w:p>
    <w:p>
      <w:pPr>
        <w:pStyle w:val="Heading2"/>
      </w:pPr>
      <w:bookmarkStart w:id="46" w:name="statistical-significance"/>
      <w:r>
        <w:t xml:space="preserve">Statistical Significance</w:t>
      </w:r>
      <w:bookmarkEnd w:id="46"/>
    </w:p>
    <w:p>
      <w:pPr>
        <w:pStyle w:val="FirstParagraph"/>
      </w:pPr>
      <w:r>
        <w:t xml:space="preserve">McNemar’s test</w:t>
      </w:r>
      <w:r>
        <w:t xml:space="preserve"> </w:t>
      </w:r>
      <w:r>
        <w:t xml:space="preserve">(McNemar 1947)</w:t>
      </w:r>
      <w:r>
        <w:t xml:space="preserve"> </w:t>
      </w:r>
      <w:r>
        <w:t xml:space="preserve">is appropriate for this comparison</w:t>
      </w:r>
      <w:r>
        <w:t xml:space="preserve"> </w:t>
      </w:r>
      <w:r>
        <w:t xml:space="preserve">because predictions are binary (correct or incorrect per sentence), the</w:t>
      </w:r>
      <w:r>
        <w:t xml:space="preserve"> </w:t>
      </w:r>
      <w:r>
        <w:t xml:space="preserve">models are evaluated on the same test examples (paired observations), and</w:t>
      </w:r>
      <w:r>
        <w:t xml:space="preserve"> </w:t>
      </w:r>
      <w:r>
        <w:t xml:space="preserve">the test specifically targets prediction disagreements rather than assuming</w:t>
      </w:r>
      <w:r>
        <w:t xml:space="preserve"> </w:t>
      </w:r>
      <w:r>
        <w:t xml:space="preserve">a continuous performance metric. Under the null hypothesis that two models</w:t>
      </w:r>
      <w:r>
        <w:t xml:space="preserve"> </w:t>
      </w:r>
      <w:r>
        <w:t xml:space="preserve">commit errors on the same sentences, the reported</w:t>
      </w:r>
      <w:r>
        <w:t xml:space="preserve"> </w:t>
      </w:r>
      <m:oMath>
        <m:r>
          <m:t>p</m:t>
        </m:r>
      </m:oMath>
      <w:r>
        <w:t xml:space="preserve">-value is the probability</w:t>
      </w:r>
      <w:r>
        <w:t xml:space="preserve"> </w:t>
      </w:r>
      <w:r>
        <w:t xml:space="preserve">of observing prediction disagreements as extreme as those measured.</w:t>
      </w:r>
    </w:p>
    <w:p>
      <w:pPr>
        <w:pStyle w:val="BodyText"/>
      </w:pPr>
      <w:r>
        <w:t xml:space="preserve">Figure </w:t>
      </w:r>
      <w:hyperlink w:anchor="fig:c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95% bootstrap confidence intervals on the test set.</w:t>
      </w:r>
    </w:p>
    <w:p>
      <w:pPr>
        <w:pStyle w:val="CaptionedFigure"/>
      </w:pPr>
      <w:bookmarkStart w:id="48" w:name="fig:ci"/>
      <w:r>
        <w:drawing>
          <wp:inline>
            <wp:extent cx="5334000" cy="3810000"/>
            <wp:effectExtent b="0" l="0" r="0" t="0"/>
            <wp:docPr descr="Bootstrap 95% confidence intervals for three models on the test set (n=100, 48 positives). The significance annotation refers to McNemar’s test between the multi-task model and the single-task baseline (p=0.016)." title="" id="1" name="Picture"/>
            <a:graphic>
              <a:graphicData uri="http://schemas.openxmlformats.org/drawingml/2006/picture">
                <pic:pic>
                  <pic:nvPicPr>
                    <pic:cNvPr descr="fig_manuscript_c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Bootstrap 95% confidence intervals for three models on the</w:t>
      </w:r>
      <w:r>
        <w:t xml:space="preserve"> </w:t>
      </w:r>
      <w:r>
        <w:t xml:space="preserve">test set (n=100, 48 positives). The significance annotation refers to</w:t>
      </w:r>
      <w:r>
        <w:t xml:space="preserve"> </w:t>
      </w:r>
      <w:r>
        <w:t xml:space="preserve">McNemar’s test between the multi-task model and the single-task baseline</w:t>
      </w:r>
      <w:r>
        <w:t xml:space="preserve"> </w:t>
      </w:r>
      <w:r>
        <w:t xml:space="preserve">(</w:t>
      </w:r>
      <m:oMath>
        <m:r>
          <m:t>p</m:t>
        </m:r>
        <m:r>
          <m:t>=</m:t>
        </m:r>
        <m:r>
          <m:t>0.016</m:t>
        </m:r>
      </m:oMath>
      <w:r>
        <w:t xml:space="preserve">).</w:t>
      </w:r>
    </w:p>
    <w:p>
      <w:pPr>
        <w:pStyle w:val="BodyText"/>
      </w:pPr>
      <w:r>
        <w:t xml:space="preserve">The multi-task model significantly outperforms the single-task BiomedBERT</w:t>
      </w:r>
      <w:r>
        <w:t xml:space="preserve"> </w:t>
      </w:r>
      <w:r>
        <w:t xml:space="preserve">baseline (</w:t>
      </w:r>
      <m:oMath>
        <m:r>
          <m:t>p</m:t>
        </m:r>
        <m:r>
          <m:t>=</m:t>
        </m:r>
        <m:r>
          <m:t>0.016</m:t>
        </m:r>
      </m:oMath>
      <w:r>
        <w:t xml:space="preserve">): under the null hypothesis that both models commit the</w:t>
      </w:r>
      <w:r>
        <w:t xml:space="preserve"> </w:t>
      </w:r>
      <w:r>
        <w:t xml:space="preserve">same prediction errors, the probability of observing prediction disagreements</w:t>
      </w:r>
      <w:r>
        <w:t xml:space="preserve"> </w:t>
      </w:r>
      <w:r>
        <w:t xml:space="preserve">as extreme as those measured is 1.6%.</w:t>
      </w:r>
      <w:r>
        <w:t xml:space="preserve"> </w:t>
      </w:r>
      <w:r>
        <w:t xml:space="preserve">The margin over the distilled student is not individually significant</w:t>
      </w:r>
      <w:r>
        <w:t xml:space="preserve"> </w:t>
      </w:r>
      <w:r>
        <w:t xml:space="preserve">(</w:t>
      </w:r>
      <m:oMath>
        <m:r>
          <m:t>p</m:t>
        </m:r>
        <m:r>
          <m:t>=</m:t>
        </m:r>
        <m:r>
          <m:t>0.149</m:t>
        </m:r>
      </m:oMath>
      <w:r>
        <w:t xml:space="preserve">, 12 prediction disagreements), reflecting the limited statistical</w:t>
      </w:r>
      <w:r>
        <w:t xml:space="preserve"> </w:t>
      </w:r>
      <w:r>
        <w:t xml:space="preserve">power of a 100-sentence test set. The 95% confidence intervals span</w:t>
      </w:r>
      <w:r>
        <w:t xml:space="preserve"> </w:t>
      </w:r>
      <w:r>
        <w:t xml:space="preserve">approximately</w:t>
      </w:r>
      <w:r>
        <w:t xml:space="preserve"> </w:t>
      </w:r>
      <m:oMath>
        <m:r>
          <m:t>±</m:t>
        </m:r>
      </m:oMath>
      <w:r>
        <w:t xml:space="preserve">0.06–0.07 F1; a test set of 500–1000 sentences would</w:t>
      </w:r>
      <w:r>
        <w:t xml:space="preserve"> </w:t>
      </w:r>
      <w:r>
        <w:t xml:space="preserve">substantially narrow these intervals.</w:t>
      </w:r>
    </w:p>
    <w:p>
      <w:pPr>
        <w:pStyle w:val="BodyText"/>
      </w:pPr>
      <w:r>
        <w:t xml:space="preserve">Threshold sensitivity and operating-point trade-offs are analysed in</w:t>
      </w:r>
      <w:r>
        <w:t xml:space="preserve"> </w:t>
      </w:r>
      <w:r>
        <w:t xml:space="preserve">Appendix </w:t>
      </w:r>
      <w:hyperlink w:anchor="app:threshold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Heading2"/>
      </w:pPr>
      <w:bookmarkStart w:id="49" w:name="distribution-mismatch"/>
      <w:r>
        <w:t xml:space="preserve">Distribution Mismatch</w:t>
      </w:r>
      <w:bookmarkEnd w:id="49"/>
    </w:p>
    <w:p>
      <w:pPr>
        <w:pStyle w:val="FirstParagraph"/>
      </w:pPr>
      <w:r>
        <w:t xml:space="preserve">Figure </w:t>
      </w:r>
      <w:hyperlink w:anchor="fig:distribution">
        <w:r>
          <w:rPr>
            <w:rStyle w:val="Hyperlink"/>
          </w:rPr>
          <w:t xml:space="preserve">[fig:distribution]</w:t>
        </w:r>
      </w:hyperlink>
      <w:r>
        <w:t xml:space="preserve"> </w:t>
      </w:r>
      <w:r>
        <w:t xml:space="preserve">reveals a structural mismatch between</w:t>
      </w:r>
      <w:r>
        <w:t xml:space="preserve"> </w:t>
      </w:r>
      <w:r>
        <w:t xml:space="preserve">training and test interaction type distributions.</w:t>
      </w:r>
      <w:r>
        <w:t xml:space="preserve"> </w:t>
      </w:r>
      <w:r>
        <w:t xml:space="preserve">The training corpus, harvested from PubMed-indexed articles, is dominated by</w:t>
      </w:r>
      <w:r>
        <w:t xml:space="preserve"> </w:t>
      </w:r>
      <w:r>
        <w:t xml:space="preserve">predation (42%), herbivory (22%), and pollination (22%) sentences sourced</w:t>
      </w:r>
      <w:r>
        <w:t xml:space="preserve"> </w:t>
      </w:r>
      <w:r>
        <w:t xml:space="preserve">via targeted PMC queries. Parasitism/Host interactions represent only 10%</w:t>
      </w:r>
      <w:r>
        <w:t xml:space="preserve"> </w:t>
      </w:r>
      <w:r>
        <w:t xml:space="preserve">of training positives, and Pathogen/Infection only 3%, yet together these</w:t>
      </w:r>
      <w:r>
        <w:t xml:space="preserve"> </w:t>
      </w:r>
      <w:r>
        <w:t xml:space="preserve">two types constitute 77% of test-set positives.</w:t>
      </w:r>
    </w:p>
    <w:p>
      <w:pPr>
        <w:pStyle w:val="BodyText"/>
      </w:pPr>
      <w:r>
        <w:t xml:space="preserve">This mismatch reflects a structural property of the biomedical literature:</w:t>
      </w:r>
      <w:r>
        <w:t xml:space="preserve"> </w:t>
      </w:r>
      <w:r>
        <w:t xml:space="preserve">ecological host-parasite field observations are published primarily in</w:t>
      </w:r>
      <w:r>
        <w:t xml:space="preserve"> </w:t>
      </w:r>
      <w:r>
        <w:t xml:space="preserve">ecology journals (Web of Science, BioOne) that are not indexed by PubMed,</w:t>
      </w:r>
      <w:r>
        <w:t xml:space="preserve"> </w:t>
      </w:r>
      <w:r>
        <w:t xml:space="preserve">while clinical and biomedical pathogen papers dominate PubMed’s open-access</w:t>
      </w:r>
      <w:r>
        <w:t xml:space="preserve"> </w:t>
      </w:r>
      <w:r>
        <w:t xml:space="preserve">content. Importantly, this distributional gap is expected and desirable: a</w:t>
      </w:r>
      <w:r>
        <w:t xml:space="preserve"> </w:t>
      </w:r>
      <w:r>
        <w:t xml:space="preserve">training corpus whose distribution closely matched the test set would raise</w:t>
      </w:r>
      <w:r>
        <w:t xml:space="preserve"> </w:t>
      </w:r>
      <w:r>
        <w:t xml:space="preserve">concerns about data leakage or evaluation bias. The F1 = 0.868 reported</w:t>
      </w:r>
      <w:r>
        <w:t xml:space="preserve"> </w:t>
      </w:r>
      <w:r>
        <w:t xml:space="preserve">here is achieved on a test set that is genuinely out-of-distribution</w:t>
      </w:r>
      <w:r>
        <w:t xml:space="preserve"> </w:t>
      </w:r>
      <w:r>
        <w:t xml:space="preserve">relative to training, demonstrating real generalisation across interaction</w:t>
      </w:r>
      <w:r>
        <w:t xml:space="preserve"> </w:t>
      </w:r>
      <w:r>
        <w:t xml:space="preserve">types. The gap identifies precisely where to invest in future data collection</w:t>
      </w:r>
      <w:r>
        <w:t xml:space="preserve"> </w:t>
      </w:r>
      <w:r>
        <w:t xml:space="preserve">to break the F1 </w:t>
      </w:r>
      <m:oMath>
        <m:r>
          <m:t>≈</m:t>
        </m:r>
      </m:oMath>
      <w:r>
        <w:t xml:space="preserve"> 0.87 ceiling: harvesting from non-PubMed</w:t>
      </w:r>
      <w:r>
        <w:t xml:space="preserve"> </w:t>
      </w:r>
      <w:r>
        <w:t xml:space="preserve">ecological literature to build a more representative and balanced corpus</w:t>
      </w:r>
      <w:r>
        <w:t xml:space="preserve"> </w:t>
      </w:r>
      <w:r>
        <w:t xml:space="preserve">with broader coverage of parasitism and host-interaction types.</w:t>
      </w:r>
    </w:p>
    <w:p>
      <w:pPr>
        <w:pStyle w:val="BodyText"/>
      </w:pPr>
      <w:r>
        <w:drawing>
          <wp:inline>
            <wp:extent cx="5334000" cy="2742915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_distribution_mismat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51" w:name="sec:discussion"/>
      <w:r>
        <w:t xml:space="preserve">Discussion</w:t>
      </w:r>
      <w:bookmarkEnd w:id="51"/>
    </w:p>
    <w:p>
      <w:pPr>
        <w:pStyle w:val="Heading2"/>
      </w:pPr>
      <w:bookmarkStart w:id="52" w:name="Xc9ae3143a82252066186894bb25bd8ba4b1c7bc"/>
      <w:r>
        <w:t xml:space="preserve">Soft Labels as the Primary Driver of Improvement</w:t>
      </w:r>
      <w:bookmarkEnd w:id="52"/>
    </w:p>
    <w:p>
      <w:pPr>
        <w:pStyle w:val="FirstParagraph"/>
      </w:pPr>
      <w:r>
        <w:t xml:space="preserve">The most actionable finding is that soft label supervision provides the</w:t>
      </w:r>
      <w:r>
        <w:t xml:space="preserve"> </w:t>
      </w:r>
      <w:r>
        <w:t xml:space="preserve">largest performance gain of any intervention tested: +0.052 F1, more than</w:t>
      </w:r>
      <w:r>
        <w:t xml:space="preserve"> </w:t>
      </w:r>
      <w:r>
        <w:t xml:space="preserve">the NER auxiliary task (+0.021) and more than switching from a single model</w:t>
      </w:r>
      <w:r>
        <w:t xml:space="preserve"> </w:t>
      </w:r>
      <w:r>
        <w:t xml:space="preserve">to an ensemble (+0.077 cumulatively, but requiring 3.3</w:t>
      </w:r>
      <m:oMath>
        <m:r>
          <m:t>×</m:t>
        </m:r>
      </m:oMath>
      <w:r>
        <w:t xml:space="preserve"> </w:t>
      </w:r>
      <w:r>
        <w:t xml:space="preserve">inference cost).</w:t>
      </w:r>
      <w:r>
        <w:t xml:space="preserve"> </w:t>
      </w:r>
      <w:r>
        <w:t xml:space="preserve">The mechanism is consistent with the knowledge distillation literature</w:t>
      </w:r>
      <w:r>
        <w:t xml:space="preserve"> </w:t>
      </w:r>
      <w:r>
        <w:t xml:space="preserve">(Hinton, Vinyals, and Dean 2015; Tang et al. 2019)</w:t>
      </w:r>
      <w:r>
        <w:t xml:space="preserve">: a teacher model that has</w:t>
      </w:r>
      <w:r>
        <w:t xml:space="preserve"> </w:t>
      </w:r>
      <w:r>
        <w:t xml:space="preserve">been exposed to diverse linguistic expressions of interactions assigns</w:t>
      </w:r>
      <w:r>
        <w:t xml:space="preserve"> </w:t>
      </w:r>
      <w:r>
        <w:t xml:space="preserve">calibrated probabilities to borderline sentences, encoding genuine semantic</w:t>
      </w:r>
      <w:r>
        <w:t xml:space="preserve"> </w:t>
      </w:r>
      <w:r>
        <w:t xml:space="preserve">uncertainty that hard labels cannot represent.</w:t>
      </w:r>
    </w:p>
    <w:p>
      <w:pPr>
        <w:pStyle w:val="Heading2"/>
      </w:pPr>
      <w:bookmarkStart w:id="53" w:name="ner-as-zero-cost-auxiliary-supervision"/>
      <w:r>
        <w:t xml:space="preserve">NER as Zero-Cost Auxiliary Supervision</w:t>
      </w:r>
      <w:bookmarkEnd w:id="53"/>
    </w:p>
    <w:p>
      <w:pPr>
        <w:pStyle w:val="FirstParagraph"/>
      </w:pPr>
      <w:r>
        <w:t xml:space="preserve">The NER auxiliary task improves classification without requiring any</w:t>
      </w:r>
      <w:r>
        <w:t xml:space="preserve"> </w:t>
      </w:r>
      <w:r>
        <w:t xml:space="preserve">additional manually annotated data. BIO labels are derived automatically</w:t>
      </w:r>
      <w:r>
        <w:t xml:space="preserve"> </w:t>
      </w:r>
      <w:r>
        <w:t xml:space="preserve">from species gazetteers and interaction lexicons, making this a form of</w:t>
      </w:r>
      <w:r>
        <w:t xml:space="preserve"> </w:t>
      </w:r>
      <w:r>
        <w:t xml:space="preserve">distant supervision</w:t>
      </w:r>
      <w:r>
        <w:t xml:space="preserve"> </w:t>
      </w:r>
      <w:r>
        <w:t xml:space="preserve">(Mintz et al. 2009)</w:t>
      </w:r>
      <w:r>
        <w:t xml:space="preserve">. The improvement mechanism is</w:t>
      </w:r>
      <w:r>
        <w:t xml:space="preserve"> </w:t>
      </w:r>
      <w:r>
        <w:t xml:space="preserve">indirect: NER pre-training updates the shared encoder to be more sensitive</w:t>
      </w:r>
      <w:r>
        <w:t xml:space="preserve"> </w:t>
      </w:r>
      <w:r>
        <w:t xml:space="preserve">to species names and interaction verbs, producing richer [CLS] token</w:t>
      </w:r>
      <w:r>
        <w:t xml:space="preserve"> </w:t>
      </w:r>
      <w:r>
        <w:t xml:space="preserve">representations for the classification head.</w:t>
      </w:r>
    </w:p>
    <w:p>
      <w:pPr>
        <w:pStyle w:val="BodyText"/>
      </w:pPr>
      <w:r>
        <w:t xml:space="preserve">This approach is distinct from standard NER-augmented pipelines</w:t>
      </w:r>
      <w:r>
        <w:t xml:space="preserve"> </w:t>
      </w:r>
      <w:r>
        <w:t xml:space="preserve">(Habibi et al. 2017)</w:t>
      </w:r>
      <w:r>
        <w:t xml:space="preserve"> </w:t>
      </w:r>
      <w:r>
        <w:t xml:space="preserve">in which entity detection and relation classification</w:t>
      </w:r>
      <w:r>
        <w:t xml:space="preserve"> </w:t>
      </w:r>
      <w:r>
        <w:t xml:space="preserve">are performed sequentially. Here, NER supervision modifies the encoder</w:t>
      </w:r>
      <w:r>
        <w:t xml:space="preserve"> </w:t>
      </w:r>
      <w:r>
        <w:t xml:space="preserve">representations used for classification; the NER output itself is not used</w:t>
      </w:r>
      <w:r>
        <w:t xml:space="preserve"> </w:t>
      </w:r>
      <w:r>
        <w:t xml:space="preserve">at inference time.</w:t>
      </w:r>
    </w:p>
    <w:p>
      <w:pPr>
        <w:pStyle w:val="Heading2"/>
      </w:pPr>
      <w:bookmarkStart w:id="54" w:name="X1c77aa8e5f4deb4262e73ea50e4031ae9268aa5"/>
      <w:r>
        <w:t xml:space="preserve">Utility for BiotXplorer and Knowledge Graph Construction</w:t>
      </w:r>
      <w:bookmarkEnd w:id="54"/>
    </w:p>
    <w:p>
      <w:pPr>
        <w:pStyle w:val="FirstParagraph"/>
      </w:pPr>
      <w:r>
        <w:t xml:space="preserve">The classifier provides two concrete operational benefits for BiotXplorer.</w:t>
      </w:r>
      <w:r>
        <w:t xml:space="preserve"> </w:t>
      </w:r>
      <w:r>
        <w:t xml:space="preserve">First, as an upstream filter, it eliminates sentences that merely co-mention</w:t>
      </w:r>
      <w:r>
        <w:t xml:space="preserve"> </w:t>
      </w:r>
      <w:r>
        <w:t xml:space="preserve">species without describing an interaction, reducing index noise and improving</w:t>
      </w:r>
      <w:r>
        <w:t xml:space="preserve"> </w:t>
      </w:r>
      <w:r>
        <w:t xml:space="preserve">search relevance. Second, the calibrated probability output allows the</w:t>
      </w:r>
      <w:r>
        <w:t xml:space="preserve"> </w:t>
      </w:r>
      <w:r>
        <w:t xml:space="preserve">BiotXplorer platform to rank results by interaction confidence rather than</w:t>
      </w:r>
      <w:r>
        <w:t xml:space="preserve"> </w:t>
      </w:r>
      <w:r>
        <w:t xml:space="preserve">simple keyword match, enabling more nuanced retrieval.</w:t>
      </w:r>
    </w:p>
    <w:p>
      <w:pPr>
        <w:pStyle w:val="BodyText"/>
      </w:pPr>
      <w:r>
        <w:t xml:space="preserve">For downstream knowledge graph construction, the multi-task model’s NER</w:t>
      </w:r>
      <w:r>
        <w:t xml:space="preserve"> </w:t>
      </w:r>
      <w:r>
        <w:t xml:space="preserve">labels provide additional structure at no extra cost: the HOST/PATHOGEN</w:t>
      </w:r>
      <w:r>
        <w:t xml:space="preserve"> </w:t>
      </w:r>
      <w:r>
        <w:t xml:space="preserve">distinction produced by the NER head directly encodes the direction of the</w:t>
      </w:r>
      <w:r>
        <w:t xml:space="preserve"> </w:t>
      </w:r>
      <w:r>
        <w:t xml:space="preserve">knowledge graph edge (who interacts with whom), enabling the downstream</w:t>
      </w:r>
      <w:r>
        <w:t xml:space="preserve"> </w:t>
      </w:r>
      <w:r>
        <w:t xml:space="preserve">relation extractor to assign typed edges rather than undirected links.</w:t>
      </w:r>
      <w:r>
        <w:t xml:space="preserve"> </w:t>
      </w:r>
      <w:r>
        <w:t xml:space="preserve">This is particularly relevant for pathogen-host and parasite-host pairs</w:t>
      </w:r>
      <w:r>
        <w:t xml:space="preserve"> </w:t>
      </w:r>
      <w:r>
        <w:t xml:space="preserve">where edge direction is biologically meaningful.</w:t>
      </w:r>
    </w:p>
    <w:p>
      <w:pPr>
        <w:pStyle w:val="BodyText"/>
      </w:pPr>
      <w:r>
        <w:t xml:space="preserve">A further downstream application is under active development in the context</w:t>
      </w:r>
      <w:r>
        <w:t xml:space="preserve"> </w:t>
      </w:r>
      <w:r>
        <w:t xml:space="preserve">of the MetaPlantCode research project, which combines amplicon sequencing</w:t>
      </w:r>
      <w:r>
        <w:t xml:space="preserve"> </w:t>
      </w:r>
      <w:r>
        <w:t xml:space="preserve">workflows with biodiversity knowledge graph querying. Amplicon sequencing</w:t>
      </w:r>
      <w:r>
        <w:t xml:space="preserve"> </w:t>
      </w:r>
      <w:r>
        <w:t xml:space="preserve">pipelines produce a ranked species list for a given environmental sample;</w:t>
      </w:r>
      <w:r>
        <w:t xml:space="preserve"> </w:t>
      </w:r>
      <w:r>
        <w:t xml:space="preserve">the interaction knowledge indexed by BiotXplorer can then be used to support</w:t>
      </w:r>
      <w:r>
        <w:t xml:space="preserve"> </w:t>
      </w:r>
      <w:r>
        <w:t xml:space="preserve">ecological coherence re-ranking of that list. A species with many known</w:t>
      </w:r>
      <w:r>
        <w:t xml:space="preserve"> </w:t>
      </w:r>
      <w:r>
        <w:t xml:space="preserve">interaction partners also present in the same sample is ecologically more</w:t>
      </w:r>
      <w:r>
        <w:t xml:space="preserve"> </w:t>
      </w:r>
      <w:r>
        <w:t xml:space="preserve">plausible than an isolated detection, providing prior probability weighting</w:t>
      </w:r>
      <w:r>
        <w:t xml:space="preserve"> </w:t>
      </w:r>
      <w:r>
        <w:t xml:space="preserve">for species identification from environmental DNA. This application represents</w:t>
      </w:r>
      <w:r>
        <w:t xml:space="preserve"> </w:t>
      </w:r>
      <w:r>
        <w:t xml:space="preserve">a direct integration of the classifier into a biodiversity field survey</w:t>
      </w:r>
      <w:r>
        <w:t xml:space="preserve"> </w:t>
      </w:r>
      <w:r>
        <w:t xml:space="preserve">context and is planned for evaluation prior to manuscript submission.</w:t>
      </w:r>
    </w:p>
    <w:p>
      <w:pPr>
        <w:pStyle w:val="Heading2"/>
      </w:pPr>
      <w:bookmarkStart w:id="55" w:name="the-pubmed-distribution-ceiling"/>
      <w:r>
        <w:t xml:space="preserve">The PubMed Distribution Ceiling</w:t>
      </w:r>
      <w:bookmarkEnd w:id="55"/>
    </w:p>
    <w:p>
      <w:pPr>
        <w:pStyle w:val="FirstParagraph"/>
      </w:pPr>
      <w:r>
        <w:t xml:space="preserve">The distribution mismatch analysis identifies a concrete obstacle to</w:t>
      </w:r>
      <w:r>
        <w:t xml:space="preserve"> </w:t>
      </w:r>
      <w:r>
        <w:t xml:space="preserve">improvement: parasitism/host and pathogen/infection interactions account for</w:t>
      </w:r>
      <w:r>
        <w:t xml:space="preserve"> </w:t>
      </w:r>
      <w:r>
        <w:t xml:space="preserve">77% of test-set positives but fewer than 13% of training positives.</w:t>
      </w:r>
      <w:r>
        <w:t xml:space="preserve"> </w:t>
      </w:r>
      <w:r>
        <w:t xml:space="preserve">These sentence types cannot be reliably harvested from PubMed because the</w:t>
      </w:r>
      <w:r>
        <w:t xml:space="preserve"> </w:t>
      </w:r>
      <w:r>
        <w:t xml:space="preserve">relevant literature (field ecology, ecological entomology, parasitology</w:t>
      </w:r>
      <w:r>
        <w:t xml:space="preserve"> </w:t>
      </w:r>
      <w:r>
        <w:t xml:space="preserve">monographs) is predominantly published in journals not indexed by PubMed.</w:t>
      </w:r>
    </w:p>
    <w:p>
      <w:pPr>
        <w:pStyle w:val="BodyText"/>
      </w:pPr>
      <w:r>
        <w:t xml:space="preserve">The path beyond F1 </w:t>
      </w:r>
      <m:oMath>
        <m:r>
          <m:t>≈</m:t>
        </m:r>
      </m:oMath>
      <w:r>
        <w:t xml:space="preserve"> 0.87 requires harvesting sentences from</w:t>
      </w:r>
      <w:r>
        <w:t xml:space="preserve"> </w:t>
      </w:r>
      <w:r>
        <w:t xml:space="preserve">non-PubMed ecological literature, re-running the Qwen3.5-122B annotation</w:t>
      </w:r>
      <w:r>
        <w:t xml:space="preserve"> </w:t>
      </w:r>
      <w:r>
        <w:t xml:space="preserve">pipeline, and updating the ensemble soft labels on the expanded corpus.</w:t>
      </w:r>
      <w:r>
        <w:t xml:space="preserve"> </w:t>
      </w:r>
      <w:r>
        <w:t xml:space="preserve">This is a data problem, not a modelling problem: the current architecture</w:t>
      </w:r>
      <w:r>
        <w:t xml:space="preserve"> </w:t>
      </w:r>
      <w:r>
        <w:t xml:space="preserve">can accommodate improved training data without modification.</w:t>
      </w:r>
    </w:p>
    <w:p>
      <w:pPr>
        <w:pStyle w:val="Heading2"/>
      </w:pPr>
      <w:bookmarkStart w:id="56" w:name="limitations"/>
      <w:r>
        <w:t xml:space="preserve">Limitations</w:t>
      </w:r>
      <w:bookmarkEnd w:id="56"/>
    </w:p>
    <w:p>
      <w:pPr>
        <w:numPr>
          <w:ilvl w:val="0"/>
          <w:numId w:val="1003"/>
        </w:numPr>
      </w:pPr>
      <w:r>
        <w:rPr>
          <w:b/>
        </w:rPr>
        <w:t xml:space="preserve">Test set size.</w:t>
      </w:r>
      <w:r>
        <w:t xml:space="preserve"> </w:t>
      </w:r>
      <w:r>
        <w:t xml:space="preserve">100 sentences yields 95% CIs of</w:t>
      </w:r>
      <w:r>
        <w:t xml:space="preserve"> </w:t>
      </w:r>
      <m:oMath>
        <m:r>
          <m:t>±</m:t>
        </m:r>
      </m:oMath>
      <w:r>
        <w:t xml:space="preserve">0.06–0.07 F1. Most pairwise model comparisons are not individually</w:t>
      </w:r>
      <w:r>
        <w:t xml:space="preserve"> </w:t>
      </w:r>
      <w:r>
        <w:t xml:space="preserve">significant; a test set of 500–1000 sentences is needed for</w:t>
      </w:r>
      <w:r>
        <w:t xml:space="preserve"> </w:t>
      </w:r>
      <w:r>
        <w:t xml:space="preserve">publication-quality model selection.</w:t>
      </w:r>
    </w:p>
    <w:p>
      <w:pPr>
        <w:numPr>
          <w:ilvl w:val="0"/>
          <w:numId w:val="1003"/>
        </w:numPr>
      </w:pPr>
      <w:r>
        <w:rPr>
          <w:b/>
        </w:rPr>
        <w:t xml:space="preserve">Binary classification.</w:t>
      </w:r>
      <w:r>
        <w:t xml:space="preserve"> </w:t>
      </w:r>
      <w:r>
        <w:t xml:space="preserve">The classifier detects interactions</w:t>
      </w:r>
      <w:r>
        <w:t xml:space="preserve"> </w:t>
      </w:r>
      <w:r>
        <w:t xml:space="preserve">but does not classify interaction type. Downstream relation extraction</w:t>
      </w:r>
      <w:r>
        <w:t xml:space="preserve"> </w:t>
      </w:r>
      <w:r>
        <w:t xml:space="preserve">is needed to produce typed knowledge graph edges.</w:t>
      </w:r>
    </w:p>
    <w:p>
      <w:pPr>
        <w:numPr>
          <w:ilvl w:val="0"/>
          <w:numId w:val="1003"/>
        </w:numPr>
      </w:pPr>
      <w:r>
        <w:rPr>
          <w:b/>
        </w:rPr>
        <w:t xml:space="preserve">English only.</w:t>
      </w:r>
      <w:r>
        <w:t xml:space="preserve"> </w:t>
      </w:r>
      <w:r>
        <w:t xml:space="preserve">Training and evaluation are exclusively</w:t>
      </w:r>
      <w:r>
        <w:t xml:space="preserve"> </w:t>
      </w:r>
      <w:r>
        <w:t xml:space="preserve">English-language.</w:t>
      </w:r>
    </w:p>
    <w:p>
      <w:pPr>
        <w:pStyle w:val="Heading1"/>
      </w:pPr>
      <w:bookmarkStart w:id="57" w:name="conclusion"/>
      <w:r>
        <w:t xml:space="preserve">Conclusion</w:t>
      </w:r>
      <w:bookmarkEnd w:id="57"/>
    </w:p>
    <w:p>
      <w:pPr>
        <w:pStyle w:val="FirstParagraph"/>
      </w:pPr>
      <w:r>
        <w:t xml:space="preserve">We have presented a multi-task BiomedBERT classifier for sentence-level</w:t>
      </w:r>
      <w:r>
        <w:t xml:space="preserve"> </w:t>
      </w:r>
      <w:r>
        <w:t xml:space="preserve">biotic interaction detection that achieves F1 = 0.868 on an ecological</w:t>
      </w:r>
      <w:r>
        <w:t xml:space="preserve"> </w:t>
      </w:r>
      <w:r>
        <w:t xml:space="preserve">test set. The model is built on three components: a two-stage teacher chain</w:t>
      </w:r>
      <w:r>
        <w:t xml:space="preserve"> </w:t>
      </w:r>
      <w:r>
        <w:t xml:space="preserve">that combines large-LLM binary annotation with ensemble soft probability</w:t>
      </w:r>
      <w:r>
        <w:t xml:space="preserve"> </w:t>
      </w:r>
      <w:r>
        <w:t xml:space="preserve">distillation; a multi-task NER auxiliary task that primes the shared encoder</w:t>
      </w:r>
      <w:r>
        <w:t xml:space="preserve"> </w:t>
      </w:r>
      <w:r>
        <w:t xml:space="preserve">at zero additional annotation cost; and a two-phase training protocol that</w:t>
      </w:r>
      <w:r>
        <w:t xml:space="preserve"> </w:t>
      </w:r>
      <w:r>
        <w:t xml:space="preserve">separates entity-level supervision from joint optimisation.</w:t>
      </w:r>
    </w:p>
    <w:p>
      <w:pPr>
        <w:pStyle w:val="BodyText"/>
      </w:pPr>
      <w:r>
        <w:t xml:space="preserve">The central quantitative finding is that soft labels are the single most</w:t>
      </w:r>
      <w:r>
        <w:t xml:space="preserve"> </w:t>
      </w:r>
      <w:r>
        <w:t xml:space="preserve">impactful intervention in the pipeline, contributing +0.052 F1 on identical</w:t>
      </w:r>
      <w:r>
        <w:t xml:space="preserve"> </w:t>
      </w:r>
      <w:r>
        <w:t xml:space="preserve">architecture and data. The current performance ceiling at F1 </w:t>
      </w:r>
      <m:oMath>
        <m:r>
          <m:t>≈</m:t>
        </m:r>
      </m:oMath>
      <w:r>
        <w:t xml:space="preserve"> 0.87</w:t>
      </w:r>
      <w:r>
        <w:t xml:space="preserve"> </w:t>
      </w:r>
      <w:r>
        <w:t xml:space="preserve">is explained by a structural distribution mismatch between PubMed-sourced</w:t>
      </w:r>
      <w:r>
        <w:t xml:space="preserve"> </w:t>
      </w:r>
      <w:r>
        <w:t xml:space="preserve">training data and the ecological interaction types dominant in the test set,</w:t>
      </w:r>
      <w:r>
        <w:t xml:space="preserve"> </w:t>
      </w:r>
      <w:r>
        <w:t xml:space="preserve">pointing directly to the data collection strategy needed to break this ceiling.</w:t>
      </w:r>
    </w:p>
    <w:p>
      <w:pPr>
        <w:pStyle w:val="BodyText"/>
      </w:pPr>
      <w:r>
        <w:t xml:space="preserve">The classifier is deployed in BiotXplorer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https://biotxplorer.sibils.org/</w:t>
        </w:r>
      </w:hyperlink>
      <w:r>
        <w:t xml:space="preserve">) as an upstream quality filter</w:t>
      </w:r>
      <w:r>
        <w:t xml:space="preserve"> </w:t>
      </w:r>
      <w:r>
        <w:t xml:space="preserve">and constitutes the first component of a knowledge graph construction</w:t>
      </w:r>
      <w:r>
        <w:t xml:space="preserve"> </w:t>
      </w:r>
      <w:r>
        <w:t xml:space="preserve">pipeline for biodiversity and host-pathogen interactions. Future work</w:t>
      </w:r>
      <w:r>
        <w:t xml:space="preserve"> </w:t>
      </w:r>
      <w:r>
        <w:t xml:space="preserve">will address: (1) harvesting from non-PubMed ecological literature to</w:t>
      </w:r>
      <w:r>
        <w:t xml:space="preserve"> </w:t>
      </w:r>
      <w:r>
        <w:t xml:space="preserve">expand training coverage of parasitism and host-interaction types;</w:t>
      </w:r>
      <w:r>
        <w:t xml:space="preserve"> </w:t>
      </w:r>
      <w:r>
        <w:t xml:space="preserve">(2) typed relation extraction to produce directed knowledge graph triples;</w:t>
      </w:r>
      <w:r>
        <w:t xml:space="preserve"> </w:t>
      </w:r>
      <w:r>
        <w:t xml:space="preserve">(3) integration with amplicon sequencing species detection for automated</w:t>
      </w:r>
      <w:r>
        <w:t xml:space="preserve"> </w:t>
      </w:r>
      <w:r>
        <w:t xml:space="preserve">interaction retrieval from biodiversity field surveys.</w:t>
      </w:r>
    </w:p>
    <w:p>
      <w:pPr>
        <w:pStyle w:val="Heading1"/>
      </w:pPr>
      <w:bookmarkStart w:id="59" w:name="ethics-statement"/>
      <w:r>
        <w:t xml:space="preserve">Ethics Statement</w:t>
      </w:r>
      <w:bookmarkEnd w:id="59"/>
    </w:p>
    <w:p>
      <w:pPr>
        <w:pStyle w:val="FirstParagraph"/>
      </w:pPr>
      <w:r>
        <w:t xml:space="preserve">This work raises no ethical concerns. Training data consists of sentences</w:t>
      </w:r>
      <w:r>
        <w:t xml:space="preserve"> </w:t>
      </w:r>
      <w:r>
        <w:t xml:space="preserve">automatically extracted from open-access scientific literature and labeled</w:t>
      </w:r>
      <w:r>
        <w:t xml:space="preserve"> </w:t>
      </w:r>
      <w:r>
        <w:t xml:space="preserve">by automated models; no personal data was collected or used. The classifier</w:t>
      </w:r>
      <w:r>
        <w:t xml:space="preserve"> </w:t>
      </w:r>
      <w:r>
        <w:t xml:space="preserve">is designed to support literature mining for biodiversity knowledge graph</w:t>
      </w:r>
      <w:r>
        <w:t xml:space="preserve"> </w:t>
      </w:r>
      <w:r>
        <w:t xml:space="preserve">construction and carries no foreseeable potential for misuse.</w:t>
      </w:r>
    </w:p>
    <w:p>
      <w:pPr>
        <w:pStyle w:val="Heading1"/>
      </w:pPr>
      <w:bookmarkStart w:id="60" w:name="data-and-code-availability"/>
      <w:r>
        <w:t xml:space="preserve">Data and Code Availability</w:t>
      </w:r>
      <w:bookmarkEnd w:id="60"/>
    </w:p>
    <w:p>
      <w:pPr>
        <w:pStyle w:val="FirstParagraph"/>
      </w:pPr>
      <w:r>
        <w:t xml:space="preserve">Training code, evaluation scripts, and the test set are available at</w:t>
      </w:r>
      <w:r>
        <w:t xml:space="preserve"> </w:t>
      </w:r>
      <w:hyperlink r:id="rId61">
        <w:r>
          <w:rPr>
            <w:rStyle w:val="Hyperlink"/>
          </w:rPr>
          <w:t xml:space="preserve">https://github.com/ecsltae/biotic-interaction-classifier</w:t>
        </w:r>
      </w:hyperlink>
      <w:r>
        <w:t xml:space="preserve">.</w:t>
      </w:r>
      <w:r>
        <w:t xml:space="preserve"> </w:t>
      </w:r>
      <w:r>
        <w:t xml:space="preserve">Model weights can be reproduced from the provided training configuration.</w:t>
      </w:r>
    </w:p>
    <w:p>
      <w:pPr>
        <w:pStyle w:val="Heading1"/>
      </w:pPr>
      <w:bookmarkStart w:id="62" w:name="app:distillation"/>
      <w:r>
        <w:t xml:space="preserve">Knowledge Distillation Hyperparameter Search</w:t>
      </w:r>
      <w:bookmarkEnd w:id="62"/>
    </w:p>
    <w:bookmarkStart w:id="63" w:name="tab:distillation_full"/>
    <w:p>
      <w:pPr>
        <w:pStyle w:val="TableCaption"/>
      </w:pPr>
      <w:r>
        <w:t xml:space="preserve">Full distillation hyperparameter grid. All variants use BiomedBERT</w:t>
      </w:r>
      <w:r>
        <w:t xml:space="preserve"> </w:t>
      </w:r>
      <w:r>
        <w:t xml:space="preserve">as student model except v4 (DistilBERT) and v5 (SciBERT).</w:t>
      </w:r>
    </w:p>
    <w:tbl>
      <w:tblPr>
        <w:tblStyle w:val="Table"/>
        <w:tblW w:type="pct" w:w="0.0"/>
        <w:tblLook w:firstRow="1"/>
        <w:tblCaption w:val="Full distillation hyperparameter grid. All variants use BiomedBERT as student model except v4 (DistilBERT) and v5 (SciBERT)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Student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Test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BiomedBERT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p>
            <w:pPr>
              <w:pStyle w:val="Compact"/>
              <w:jc w:val="center"/>
            </w:pPr>
            <w:r>
              <w:t xml:space="preserve">0.785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v2 BiomedBERT (best)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0.808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BiomedBERT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p>
            <w:pPr>
              <w:pStyle w:val="Compact"/>
              <w:jc w:val="center"/>
            </w:pPr>
            <w:r>
              <w:t xml:space="preserve">0.808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DistilBERT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0.792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 SciBERT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0.793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 BiomedBERT (</w:t>
            </w:r>
            <m:oMath>
              <m:r>
                <m:t>T</m:t>
              </m:r>
              <m:r>
                <m:t>=</m:t>
              </m:r>
              <m:r>
                <m:t>1.5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0.779</w:t>
            </w:r>
          </w:p>
        </w:tc>
      </w:tr>
    </w:tbl>
    <w:bookmarkEnd w:id="63"/>
    <w:p>
      <w:pPr>
        <w:pStyle w:val="Heading1"/>
      </w:pPr>
      <w:bookmarkStart w:id="64" w:name="app:fullablation"/>
      <w:r>
        <w:t xml:space="preserve">Full Multi-task Configuration Analysis</w:t>
      </w:r>
      <w:bookmarkEnd w:id="64"/>
    </w:p>
    <w:bookmarkStart w:id="65" w:name="tab:ablation_full"/>
    <w:p>
      <w:pPr>
        <w:pStyle w:val="TableCaption"/>
      </w:pPr>
      <w:r>
        <w:t xml:space="preserve">All multi-task configurations evaluated on the test set (100</w:t>
      </w:r>
      <w:r>
        <w:t xml:space="preserve"> </w:t>
      </w:r>
      <w:r>
        <w:t xml:space="preserve">sentences, 48 positives). NER pt = NER pre-train epochs before joint</w:t>
      </w:r>
      <w:r>
        <w:t xml:space="preserve"> </w:t>
      </w:r>
      <w:r>
        <w:t xml:space="preserve">training. All configurations use soft labels except</w:t>
      </w:r>
      <w:r>
        <w:t xml:space="preserve"> </w:t>
      </w:r>
      <w:r>
        <w:rPr>
          <w:rStyle w:val="VerbatimChar"/>
        </w:rPr>
        <w:t xml:space="preserve">hardce</w:t>
      </w:r>
      <w:r>
        <w:t xml:space="preserve">.</w:t>
      </w:r>
    </w:p>
    <w:tbl>
      <w:tblPr>
        <w:tblStyle w:val="Table"/>
        <w:tblW w:type="pct" w:w="0.0"/>
        <w:tblLook w:firstRow="1"/>
        <w:tblCaption w:val="All multi-task configurations evaluated on the test set (100 sentences, 48 positives). NER pt = NER pre-train epochs before joint training. All configurations use soft labels except hardc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NER scheme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r>
                <m:t>α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NER 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basic_a05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p>
            <w:pPr>
              <w:pStyle w:val="Compact"/>
              <w:jc w:val="right"/>
            </w:pPr>
            <w:r>
              <w:t xml:space="preserve">0.938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typed_a05</w:t>
            </w:r>
          </w:p>
        </w:tc>
        <w:tc>
          <w:p>
            <w:pPr>
              <w:pStyle w:val="Compact"/>
              <w:jc w:val="left"/>
            </w:pPr>
            <w:r>
              <w:t xml:space="preserve">typed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0.852</w:t>
            </w:r>
          </w:p>
        </w:tc>
        <w:tc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full_a03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p>
            <w:pPr>
              <w:pStyle w:val="Compact"/>
              <w:jc w:val="right"/>
            </w:pPr>
            <w:r>
              <w:t xml:space="preserve">0.854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full_typed_a05</w:t>
            </w:r>
          </w:p>
        </w:tc>
        <w:tc>
          <w:p>
            <w:pPr>
              <w:pStyle w:val="Compact"/>
              <w:jc w:val="left"/>
            </w:pPr>
            <w: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p>
            <w:pPr>
              <w:pStyle w:val="Compact"/>
              <w:jc w:val="right"/>
            </w:pPr>
            <w:r>
              <w:t xml:space="preserve">0.746</w:t>
            </w:r>
          </w:p>
        </w:tc>
        <w:tc>
          <w:p>
            <w:pPr>
              <w:pStyle w:val="Compact"/>
              <w:jc w:val="right"/>
            </w:pPr>
            <w:r>
              <w:t xml:space="preserve">0.979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full_a05_ner2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full_typed_a03_ner2</w:t>
            </w:r>
          </w:p>
        </w:tc>
        <w:tc>
          <w:p>
            <w:pPr>
              <w:pStyle w:val="Compact"/>
              <w:jc w:val="left"/>
            </w:pPr>
            <w: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0.830</w:t>
            </w:r>
          </w:p>
        </w:tc>
        <w:tc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full_typed_a05_ner2</w:t>
            </w:r>
          </w:p>
        </w:tc>
        <w:tc>
          <w:p>
            <w:pPr>
              <w:pStyle w:val="Compact"/>
              <w:jc w:val="left"/>
            </w:pPr>
            <w: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0.868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0.793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full_typed (5 joint ep)</w:t>
            </w:r>
          </w:p>
        </w:tc>
        <w:tc>
          <w:p>
            <w:pPr>
              <w:pStyle w:val="Compact"/>
              <w:jc w:val="left"/>
            </w:pPr>
            <w: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2+5</w:t>
            </w:r>
          </w:p>
        </w:tc>
        <w:tc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hardce (same arch.)</w:t>
            </w:r>
          </w:p>
        </w:tc>
        <w:tc>
          <w:p>
            <w:pPr>
              <w:pStyle w:val="Compact"/>
              <w:jc w:val="left"/>
            </w:pPr>
            <w:r>
              <w:t xml:space="preserve">full_typed</w:t>
            </w:r>
          </w:p>
        </w:tc>
        <w:tc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0.816</w:t>
            </w:r>
          </w:p>
        </w:tc>
        <w:tc>
          <w:p>
            <w:pPr>
              <w:pStyle w:val="Compact"/>
              <w:jc w:val="right"/>
            </w:pPr>
            <w:r>
              <w:t xml:space="preserve">0.764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distilled student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0.808</w:t>
            </w:r>
          </w:p>
        </w:tc>
        <w:tc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p>
            <w:pPr>
              <w:pStyle w:val="Compact"/>
              <w:jc w:val="right"/>
            </w:pPr>
            <w:r>
              <w:t xml:space="preserve">0.875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Ensemble BERT</w:t>
            </w:r>
            <m:oMath>
              <m:r>
                <m:t>×</m:t>
              </m:r>
            </m:oMath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0.865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65"/>
    <w:p>
      <w:pPr>
        <w:pStyle w:val="Heading1"/>
      </w:pPr>
      <w:bookmarkStart w:id="66" w:name="app:threshold"/>
      <w:r>
        <w:t xml:space="preserve">Threshold Analysis</w:t>
      </w:r>
      <w:bookmarkEnd w:id="66"/>
    </w:p>
    <w:p>
      <w:pPr>
        <w:pStyle w:val="FirstParagraph"/>
      </w:pPr>
      <w:r>
        <w:t xml:space="preserve">Figure </w:t>
      </w:r>
      <w:hyperlink w:anchor="fig:threshol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precision, recall, and F1 as a function</w:t>
      </w:r>
      <w:r>
        <w:t xml:space="preserve"> </w:t>
      </w:r>
      <w:r>
        <w:t xml:space="preserve">of the decision threshold on the test set.</w:t>
      </w:r>
    </w:p>
    <w:p>
      <w:pPr>
        <w:pStyle w:val="CaptionedFigure"/>
      </w:pPr>
      <w:bookmarkStart w:id="68" w:name="fig:threshold"/>
      <w:r>
        <w:drawing>
          <wp:inline>
            <wp:extent cx="5334000" cy="2909454"/>
            <wp:effectExtent b="0" l="0" r="0" t="0"/>
            <wp:docPr descr="Precision, recall, and F1 versus decision threshold. The F1-optimal threshold (\tau=0.13) and a precision-oriented threshold (\tau=0.50) are annotated." title="" id="1" name="Picture"/>
            <a:graphic>
              <a:graphicData uri="http://schemas.openxmlformats.org/drawingml/2006/picture">
                <pic:pic>
                  <pic:nvPicPr>
                    <pic:cNvPr descr="fig_threshold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Precision, recall, and F1 versus decision threshold.</w:t>
      </w:r>
      <w:r>
        <w:t xml:space="preserve"> </w:t>
      </w:r>
      <w:r>
        <w:t xml:space="preserve">The F1-optimal threshold (</w:t>
      </w:r>
      <m:oMath>
        <m:r>
          <m:t>τ</m:t>
        </m:r>
        <m:r>
          <m:t>=</m:t>
        </m:r>
        <m:r>
          <m:t>0.13</m:t>
        </m:r>
      </m:oMath>
      <w:r>
        <w:t xml:space="preserve">) and a precision-oriented</w:t>
      </w:r>
      <w:r>
        <w:t xml:space="preserve"> </w:t>
      </w:r>
      <w:r>
        <w:t xml:space="preserve">threshold (</w:t>
      </w:r>
      <m:oMath>
        <m:r>
          <m:t>τ</m:t>
        </m:r>
        <m:r>
          <m:t>=</m:t>
        </m:r>
        <m:r>
          <m:t>0.50</m:t>
        </m:r>
      </m:oMath>
      <w:r>
        <w:t xml:space="preserve">) are annotated.</w:t>
      </w:r>
    </w:p>
    <w:p>
      <w:pPr>
        <w:pStyle w:val="BodyText"/>
      </w:pPr>
      <w:r>
        <w:t xml:space="preserve">The F1-optimal threshold (</w:t>
      </w:r>
      <m:oMath>
        <m:r>
          <m:t>τ</m:t>
        </m:r>
        <m:r>
          <m:t>=</m:t>
        </m:r>
        <m:r>
          <m:t>0.13</m:t>
        </m:r>
      </m:oMath>
      <w:r>
        <w:t xml:space="preserve">) is lower than typical because</w:t>
      </w:r>
      <w:r>
        <w:t xml:space="preserve"> </w:t>
      </w:r>
      <w:r>
        <w:t xml:space="preserve">the model is calibrated conservatively: genuine interactions score</w:t>
      </w:r>
      <w:r>
        <w:t xml:space="preserve"> </w:t>
      </w:r>
      <w:r>
        <w:t xml:space="preserve">predominantly in the range 0.3–0.7 rather than near 1.0. The curve shows</w:t>
      </w:r>
      <w:r>
        <w:t xml:space="preserve"> </w:t>
      </w:r>
      <w:r>
        <w:t xml:space="preserve">high and relatively stable F1 across</w:t>
      </w:r>
      <w:r>
        <w:t xml:space="preserve"> </w:t>
      </w:r>
      <m:oMath>
        <m:r>
          <m:t>τ</m:t>
        </m:r>
        <m:r>
          <m:t>≈</m:t>
        </m:r>
        <m:r>
          <m:t>0.10</m:t>
        </m:r>
      </m:oMath>
      <w:r>
        <w:t xml:space="preserve">–</w:t>
      </w:r>
      <m:oMath>
        <m:r>
          <m:t>0.45</m:t>
        </m:r>
      </m:oMath>
      <w:r>
        <w:t xml:space="preserve">, after</w:t>
      </w:r>
      <w:r>
        <w:t xml:space="preserve"> </w:t>
      </w:r>
      <w:r>
        <w:t xml:space="preserve">which recall drops as an increasing fraction of true positives fall below the</w:t>
      </w:r>
      <w:r>
        <w:t xml:space="preserve"> </w:t>
      </w:r>
      <w:r>
        <w:t xml:space="preserve">threshold.</w:t>
      </w:r>
      <w:r>
        <w:t xml:space="preserve"> </w:t>
      </w:r>
      <w:r>
        <w:t xml:space="preserve">For applications where false positives entering a knowledge base are</w:t>
      </w:r>
      <w:r>
        <w:t xml:space="preserve"> </w:t>
      </w:r>
      <w:r>
        <w:t xml:space="preserve">costly, operating at</w:t>
      </w:r>
      <w:r>
        <w:t xml:space="preserve"> </w:t>
      </w:r>
      <m:oMath>
        <m:r>
          <m:t>τ</m:t>
        </m:r>
        <m:r>
          <m:t>=</m:t>
        </m:r>
        <m:r>
          <m:t>0.50</m:t>
        </m:r>
      </m:oMath>
      <w:r>
        <w:t xml:space="preserve"> </w:t>
      </w:r>
      <w:r>
        <w:t xml:space="preserve">reduces false positives from 12 to 9</w:t>
      </w:r>
      <w:r>
        <w:t xml:space="preserve"> </w:t>
      </w:r>
      <w:r>
        <w:t xml:space="preserve">at the cost of 6 additional missed interactions (P = 0.816, R = 0.833).</w:t>
      </w:r>
      <w:r>
        <w:t xml:space="preserve"> </w:t>
      </w:r>
      <w:r>
        <w:t xml:space="preserve">The threshold curve makes this precision-recall trade-off explicitly visible</w:t>
      </w:r>
      <w:r>
        <w:t xml:space="preserve"> </w:t>
      </w:r>
      <w:r>
        <w:t xml:space="preserve">and allows operators to choose the operating point appropriate to their</w:t>
      </w:r>
      <w:r>
        <w:t xml:space="preserve"> </w:t>
      </w:r>
      <w:r>
        <w:t xml:space="preserve">downstream task.</w:t>
      </w:r>
    </w:p>
    <w:bookmarkStart w:id="91" w:name="refs"/>
    <w:bookmarkStart w:id="69" w:name="ref-aho1975efficient"/>
    <w:p>
      <w:pPr>
        <w:pStyle w:val="Bibliography"/>
      </w:pPr>
      <w:r>
        <w:t xml:space="preserve">Aho, Alfred V, and Margaret J Corasick. 1975. “Efficient String Matching: An Aid to Bibliographic Search.”</w:t>
      </w:r>
      <w:r>
        <w:t xml:space="preserve"> </w:t>
      </w:r>
      <w:r>
        <w:rPr>
          <w:i/>
        </w:rPr>
        <w:t xml:space="preserve">Communications of the ACM</w:t>
      </w:r>
      <w:r>
        <w:t xml:space="preserve"> </w:t>
      </w:r>
      <w:r>
        <w:t xml:space="preserve">18 (6): 333–40.</w:t>
      </w:r>
    </w:p>
    <w:bookmarkEnd w:id="69"/>
    <w:bookmarkStart w:id="70" w:name="ref-badenes2020detecting"/>
    <w:p>
      <w:pPr>
        <w:pStyle w:val="Bibliography"/>
      </w:pPr>
      <w:r>
        <w:t xml:space="preserve">Badenes-Pérez, Francisco R, Francisco Ponce-Gordo, and Lucila Cano-Maque. 2020. “Detecting Biotic Interactions in the Literature.”</w:t>
      </w:r>
      <w:r>
        <w:t xml:space="preserve"> </w:t>
      </w:r>
      <w:r>
        <w:rPr>
          <w:i/>
        </w:rPr>
        <w:t xml:space="preserve">Ecological Indicators</w:t>
      </w:r>
      <w:r>
        <w:t xml:space="preserve"> </w:t>
      </w:r>
      <w:r>
        <w:t xml:space="preserve">119: 106876.</w:t>
      </w:r>
    </w:p>
    <w:bookmarkEnd w:id="70"/>
    <w:bookmarkStart w:id="71" w:name="ref-bucilua2006model"/>
    <w:p>
      <w:pPr>
        <w:pStyle w:val="Bibliography"/>
      </w:pPr>
      <w:r>
        <w:t xml:space="preserve">Buciluă, Cristian, Rich Caruana, and Alexandru Niculescu-Mizil. 2006. “Model Compression,” 535–41.</w:t>
      </w:r>
    </w:p>
    <w:bookmarkEnd w:id="71"/>
    <w:bookmarkStart w:id="72" w:name="ref-bunescu2005comparative"/>
    <w:p>
      <w:pPr>
        <w:pStyle w:val="Bibliography"/>
      </w:pPr>
      <w:r>
        <w:t xml:space="preserve">Bunescu, Razvan C, Ruifang Ge, Rohit J Kate, Edward M Marcotte, Raymond J Mooney, Arun K Ramani, and Yuk Wah Wong. 2005. “A Comparative Study of Kernels for Protein-Protein Interaction Extraction.” In</w:t>
      </w:r>
      <w:r>
        <w:t xml:space="preserve"> </w:t>
      </w:r>
      <w:r>
        <w:rPr>
          <w:i/>
        </w:rPr>
        <w:t xml:space="preserve">Proceedings of the Smbm</w:t>
      </w:r>
      <w:r>
        <w:t xml:space="preserve">.</w:t>
      </w:r>
    </w:p>
    <w:bookmarkEnd w:id="72"/>
    <w:bookmarkStart w:id="73" w:name="ref-chen2023biodiversity"/>
    <w:p>
      <w:pPr>
        <w:pStyle w:val="Bibliography"/>
      </w:pPr>
      <w:r>
        <w:t xml:space="preserve">Chen, Huajun, Wen Zhang, and Ningyu Zhang. 2023. “Knowledge Graphs for Biodiversity: Challenges and Opportunities.”</w:t>
      </w:r>
      <w:r>
        <w:t xml:space="preserve"> </w:t>
      </w:r>
      <w:r>
        <w:rPr>
          <w:i/>
        </w:rPr>
        <w:t xml:space="preserve">Briefings in Bioinformatics</w:t>
      </w:r>
      <w:r>
        <w:t xml:space="preserve"> </w:t>
      </w:r>
      <w:r>
        <w:t xml:space="preserve">24 (3).</w:t>
      </w:r>
    </w:p>
    <w:bookmarkEnd w:id="73"/>
    <w:bookmarkStart w:id="74" w:name="ref-chung2022scaling"/>
    <w:p>
      <w:pPr>
        <w:pStyle w:val="Bibliography"/>
      </w:pPr>
      <w:r>
        <w:t xml:space="preserve">Chung, Hyung Won, Le Hou, Shayne Longpre, Barret Zoph, Yi Tay, William Fedus, Eric Li, et al. 2022. “Scaling Instruction-Finetuned Language Models.”</w:t>
      </w:r>
      <w:r>
        <w:t xml:space="preserve"> </w:t>
      </w:r>
      <w:r>
        <w:rPr>
          <w:i/>
        </w:rPr>
        <w:t xml:space="preserve">arXiv Preprint arXiv:2210.11416</w:t>
      </w:r>
      <w:r>
        <w:t xml:space="preserve">.</w:t>
      </w:r>
    </w:p>
    <w:bookmarkEnd w:id="74"/>
    <w:bookmarkStart w:id="75" w:name="ref-efron1993introduction"/>
    <w:p>
      <w:pPr>
        <w:pStyle w:val="Bibliography"/>
      </w:pPr>
      <w:r>
        <w:t xml:space="preserve">Efron, Bradley, and Robert J Tibshirani. 1993.</w:t>
      </w:r>
      <w:r>
        <w:t xml:space="preserve"> </w:t>
      </w:r>
      <w:r>
        <w:rPr>
          <w:i/>
        </w:rPr>
        <w:t xml:space="preserve">An Introduction to the Bootstrap</w:t>
      </w:r>
      <w:r>
        <w:t xml:space="preserve">. Chapman &amp; Hall.</w:t>
      </w:r>
    </w:p>
    <w:bookmarkEnd w:id="75"/>
    <w:bookmarkStart w:id="76" w:name="ref-mottin2021sibils"/>
    <w:p>
      <w:pPr>
        <w:pStyle w:val="Bibliography"/>
      </w:pPr>
      <w:r>
        <w:t xml:space="preserve">Gobeill, Julien, Déborah Caucheteur, Pierre-André Michel, Luc Mottin, Emilie Pasche, and Patrick Ruch. 2020. “SIB Literature Services: RESTful Customizable Search Engines in Biomedical Literature, Enriched with Automatically Mapped Biomedical Concepts.”</w:t>
      </w:r>
      <w:r>
        <w:t xml:space="preserve"> </w:t>
      </w:r>
      <w:r>
        <w:rPr>
          <w:i/>
        </w:rPr>
        <w:t xml:space="preserve">Nucleic Acids Research</w:t>
      </w:r>
      <w:r>
        <w:t xml:space="preserve"> </w:t>
      </w:r>
      <w:r>
        <w:t xml:space="preserve">48 (W1): W12–W16.</w:t>
      </w:r>
    </w:p>
    <w:bookmarkEnd w:id="76"/>
    <w:bookmarkStart w:id="77" w:name="ref-gu2021domain"/>
    <w:p>
      <w:pPr>
        <w:pStyle w:val="Bibliography"/>
      </w:pPr>
      <w:r>
        <w:t xml:space="preserve">Gu, Yu, Robert Tinn, Hao Cheng, Michael Lucas, Naoto Usuyama, Xiaodong Liu, Tristan Naumann, Jianfeng Gao, and Jinfeng Peng. 2021. “Domain-Specific Language Model Pretraining for Biomedical Natural Language Processing.”</w:t>
      </w:r>
      <w:r>
        <w:t xml:space="preserve"> </w:t>
      </w:r>
      <w:r>
        <w:rPr>
          <w:i/>
        </w:rPr>
        <w:t xml:space="preserve">ACM Transactions on Computing for Healthcare</w:t>
      </w:r>
      <w:r>
        <w:t xml:space="preserve"> </w:t>
      </w:r>
      <w:r>
        <w:t xml:space="preserve">3 (1): 1–23.</w:t>
      </w:r>
    </w:p>
    <w:bookmarkEnd w:id="77"/>
    <w:bookmarkStart w:id="78" w:name="ref-habibi2017deep"/>
    <w:p>
      <w:pPr>
        <w:pStyle w:val="Bibliography"/>
      </w:pPr>
      <w:r>
        <w:t xml:space="preserve">Habibi, Maryam, Leon Weber, Mariana Neves, David L Wiegandt, and Ulf Leser. 2017. “Deep Learning with Word Embeddings Improves Biomedical Named Entity Recognition.” In</w:t>
      </w:r>
      <w:r>
        <w:t xml:space="preserve"> </w:t>
      </w:r>
      <w:r>
        <w:rPr>
          <w:i/>
        </w:rPr>
        <w:t xml:space="preserve">Bioinformatics</w:t>
      </w:r>
      <w:r>
        <w:t xml:space="preserve">, 33:i37–i48. 14.</w:t>
      </w:r>
    </w:p>
    <w:bookmarkEnd w:id="78"/>
    <w:bookmarkStart w:id="79" w:name="ref-hinton2015distilling"/>
    <w:p>
      <w:pPr>
        <w:pStyle w:val="Bibliography"/>
      </w:pPr>
      <w:r>
        <w:t xml:space="preserve">Hinton, Geoffrey, Oriol Vinyals, and Jeff Dean. 2015. “Distilling the Knowledge in a Neural Network.” In</w:t>
      </w:r>
      <w:r>
        <w:t xml:space="preserve"> </w:t>
      </w:r>
      <w:r>
        <w:rPr>
          <w:i/>
        </w:rPr>
        <w:t xml:space="preserve">NIPS Deep Learning and Representation Learning Workshop</w:t>
      </w:r>
      <w:r>
        <w:t xml:space="preserve">.</w:t>
      </w:r>
    </w:p>
    <w:bookmarkEnd w:id="79"/>
    <w:bookmarkStart w:id="80" w:name="ref-lim2018drug"/>
    <w:p>
      <w:pPr>
        <w:pStyle w:val="Bibliography"/>
      </w:pPr>
      <w:r>
        <w:t xml:space="preserve">Lim, Sangrak, Kyubum Lee, Kihyun Choi, and Jaewoo Kang. 2018. “Drug-Drug Interaction Extraction from the Literature Using a Recursive Neural Network.”</w:t>
      </w:r>
      <w:r>
        <w:t xml:space="preserve"> </w:t>
      </w:r>
      <w:r>
        <w:rPr>
          <w:i/>
        </w:rPr>
        <w:t xml:space="preserve">PloS ONE</w:t>
      </w:r>
      <w:r>
        <w:t xml:space="preserve"> </w:t>
      </w:r>
      <w:r>
        <w:t xml:space="preserve">13 (1): e0190926.</w:t>
      </w:r>
    </w:p>
    <w:bookmarkEnd w:id="80"/>
    <w:bookmarkStart w:id="81" w:name="ref-liu2019multi"/>
    <w:p>
      <w:pPr>
        <w:pStyle w:val="Bibliography"/>
      </w:pPr>
      <w:r>
        <w:t xml:space="preserve">Liu, Xiaodong, Pengcheng He, Weizhu Chen, and Jianfeng Gao. 2019. “Multi-Task Deep Neural Networks for Natural Language Understanding.” In</w:t>
      </w:r>
      <w:r>
        <w:t xml:space="preserve"> </w:t>
      </w:r>
      <w:r>
        <w:rPr>
          <w:i/>
        </w:rPr>
        <w:t xml:space="preserve">Proceedings of Acl</w:t>
      </w:r>
      <w:r>
        <w:t xml:space="preserve">, 4487–96.</w:t>
      </w:r>
    </w:p>
    <w:bookmarkEnd w:id="81"/>
    <w:bookmarkStart w:id="82" w:name="ref-mcnemar1947note"/>
    <w:p>
      <w:pPr>
        <w:pStyle w:val="Bibliography"/>
      </w:pPr>
      <w:r>
        <w:t xml:space="preserve">McNemar, Quinn. 1947. “Note on the Sampling Error of the Difference Between Correlated Proportions or Percentages.”</w:t>
      </w:r>
      <w:r>
        <w:t xml:space="preserve"> </w:t>
      </w:r>
      <w:r>
        <w:rPr>
          <w:i/>
        </w:rPr>
        <w:t xml:space="preserve">Psychometrika</w:t>
      </w:r>
      <w:r>
        <w:t xml:space="preserve"> </w:t>
      </w:r>
      <w:r>
        <w:t xml:space="preserve">12 (2): 153–57.</w:t>
      </w:r>
    </w:p>
    <w:bookmarkEnd w:id="82"/>
    <w:bookmarkStart w:id="83" w:name="ref-mintz2009distant"/>
    <w:p>
      <w:pPr>
        <w:pStyle w:val="Bibliography"/>
      </w:pPr>
      <w:r>
        <w:t xml:space="preserve">Mintz, Mike, Steven Bills, Rion Snow, and Dan Jurafsky. 2009. “Distant Supervision for Relation Extraction Without Labeled Data,” 1003–11.</w:t>
      </w:r>
    </w:p>
    <w:bookmarkEnd w:id="83"/>
    <w:bookmarkStart w:id="85" w:name="ref-biodiversitypmc2024"/>
    <w:p>
      <w:pPr>
        <w:pStyle w:val="Bibliography"/>
      </w:pPr>
      <w:r>
        <w:t xml:space="preserve">Pasche, Emilie, Julien Gobeill, Donat Agosti, Lyubomir Penev, Quentin Groom, Teodor Georgiev, Esteban Gaillac, et al. 2023. “From SIBiLS to Biodiversity PMC: Foundations for the One Health Library.”</w:t>
      </w:r>
      <w:r>
        <w:t xml:space="preserve"> </w:t>
      </w:r>
      <w:r>
        <w:rPr>
          <w:i/>
        </w:rPr>
        <w:t xml:space="preserve">Biodiversity Information Science and Standards</w:t>
      </w:r>
      <w:r>
        <w:t xml:space="preserve"> </w:t>
      </w:r>
      <w:r>
        <w:t xml:space="preserve">7: e111660.</w:t>
      </w:r>
      <w:r>
        <w:t xml:space="preserve"> </w:t>
      </w:r>
      <w:hyperlink r:id="rId84">
        <w:r>
          <w:rPr>
            <w:rStyle w:val="Hyperlink"/>
          </w:rPr>
          <w:t xml:space="preserve">https://doi.org/10.3897/biss.7.111660</w:t>
        </w:r>
      </w:hyperlink>
      <w:r>
        <w:t xml:space="preserve">.</w:t>
      </w:r>
    </w:p>
    <w:bookmarkEnd w:id="85"/>
    <w:bookmarkStart w:id="86" w:name="ref-poelen2014global"/>
    <w:p>
      <w:pPr>
        <w:pStyle w:val="Bibliography"/>
      </w:pPr>
      <w:r>
        <w:t xml:space="preserve">Poelen, Jorrit H, James D Simons, and Chris J Mungall. 2014. “Global Biotic Interactions: An Open Infrastructure to Share and Analyze Species-Interaction Datasets.”</w:t>
      </w:r>
      <w:r>
        <w:t xml:space="preserve"> </w:t>
      </w:r>
      <w:r>
        <w:rPr>
          <w:i/>
        </w:rPr>
        <w:t xml:space="preserve">Ecological Informatics</w:t>
      </w:r>
      <w:r>
        <w:t xml:space="preserve"> </w:t>
      </w:r>
      <w:r>
        <w:t xml:space="preserve">24: 148–59.</w:t>
      </w:r>
    </w:p>
    <w:bookmarkEnd w:id="86"/>
    <w:bookmarkStart w:id="87" w:name="ref-poisot2021global"/>
    <w:p>
      <w:pPr>
        <w:pStyle w:val="Bibliography"/>
      </w:pPr>
      <w:r>
        <w:t xml:space="preserve">Poisot, Timothée, Gabriel Bergeron, Kevin Cazelles, Tad Dallas, Dominique Gravel, Andrew MacDonald, Benjamin Mercier, Clément Violet, and Steve Vissault. 2021. “Global Knowledge Gaps in Species Interaction Networks Data.”</w:t>
      </w:r>
      <w:r>
        <w:t xml:space="preserve"> </w:t>
      </w:r>
      <w:r>
        <w:rPr>
          <w:i/>
        </w:rPr>
        <w:t xml:space="preserve">Journal of Biogeography</w:t>
      </w:r>
      <w:r>
        <w:t xml:space="preserve"> </w:t>
      </w:r>
      <w:r>
        <w:t xml:space="preserve">48 (7): 1552–63.</w:t>
      </w:r>
    </w:p>
    <w:bookmarkEnd w:id="87"/>
    <w:bookmarkStart w:id="89" w:name="ref-sibils2023biotxplorer"/>
    <w:p>
      <w:pPr>
        <w:pStyle w:val="Bibliography"/>
      </w:pPr>
      <w:r>
        <w:t xml:space="preserve">Ruch, Patrick, Emilie Pasche, Pierre-André Michel, and Déborah Caucheteur. 2024. “BiotXplorer: Navigating Evidence-Based Biotic Interactions.”</w:t>
      </w:r>
      <w:r>
        <w:t xml:space="preserve"> </w:t>
      </w:r>
      <w:r>
        <w:rPr>
          <w:i/>
        </w:rPr>
        <w:t xml:space="preserve">Biodiversity Information Science and Standards</w:t>
      </w:r>
      <w:r>
        <w:t xml:space="preserve"> </w:t>
      </w:r>
      <w:r>
        <w:t xml:space="preserve">8: e135453.</w:t>
      </w:r>
      <w:r>
        <w:t xml:space="preserve"> </w:t>
      </w:r>
      <w:hyperlink r:id="rId88">
        <w:r>
          <w:rPr>
            <w:rStyle w:val="Hyperlink"/>
          </w:rPr>
          <w:t xml:space="preserve">https://doi.org/10.3897/biss.8.135453</w:t>
        </w:r>
      </w:hyperlink>
      <w:r>
        <w:t xml:space="preserve">.</w:t>
      </w:r>
    </w:p>
    <w:bookmarkEnd w:id="89"/>
    <w:bookmarkStart w:id="90" w:name="ref-tang2019distilling"/>
    <w:p>
      <w:pPr>
        <w:pStyle w:val="Bibliography"/>
      </w:pPr>
      <w:r>
        <w:t xml:space="preserve">Tang, Raphael, Yao Lu, Linqing Liu, Lili Mou, Olga Vechtomova, and Jimmy Lin. 2019. “Distilling Task-Specific Knowledge from BERT into Simple Neural Networks.”</w:t>
      </w:r>
      <w:r>
        <w:t xml:space="preserve"> </w:t>
      </w:r>
      <w:r>
        <w:rPr>
          <w:i/>
        </w:rPr>
        <w:t xml:space="preserve">arXiv Preprint arXiv:1903.12136</w:t>
      </w:r>
      <w:r>
        <w:t xml:space="preserve">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67" Target="media/rId67.png" /><Relationship Type="http://schemas.openxmlformats.org/officeDocument/2006/relationships/hyperlink" Id="rId58" Target="https://biotxplorer.sibils.org/" TargetMode="External" /><Relationship Type="http://schemas.openxmlformats.org/officeDocument/2006/relationships/hyperlink" Id="rId84" Target="https://doi.org/10.3897/biss.7.111660" TargetMode="External" /><Relationship Type="http://schemas.openxmlformats.org/officeDocument/2006/relationships/hyperlink" Id="rId88" Target="https://doi.org/10.3897/biss.8.135453" TargetMode="External" /><Relationship Type="http://schemas.openxmlformats.org/officeDocument/2006/relationships/hyperlink" Id="rId61" Target="https://github.com/ecsltae/biotic-interaction-classifier" TargetMode="External" /><Relationship Type="http://schemas.openxmlformats.org/officeDocument/2006/relationships/hyperlink" Id="rId31" Target="microsoft/BiomedNLP-BiomedBERT-base-uncased-abstract-fulltex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8" Target="https://biotxplorer.sibils.org/" TargetMode="External" /><Relationship Type="http://schemas.openxmlformats.org/officeDocument/2006/relationships/hyperlink" Id="rId84" Target="https://doi.org/10.3897/biss.7.111660" TargetMode="External" /><Relationship Type="http://schemas.openxmlformats.org/officeDocument/2006/relationships/hyperlink" Id="rId88" Target="https://doi.org/10.3897/biss.8.135453" TargetMode="External" /><Relationship Type="http://schemas.openxmlformats.org/officeDocument/2006/relationships/hyperlink" Id="rId61" Target="https://github.com/ecsltae/biotic-interaction-classifier" TargetMode="External" /><Relationship Type="http://schemas.openxmlformats.org/officeDocument/2006/relationships/hyperlink" Id="rId31" Target="microsoft/BiomedNLP-BiomedBERT-base-uncased-abstract-fullte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Biotic Interaction Detection from Scientific Literature: Knowledge Distillation and Multi-task Learning with Named Entity Recognition</dc:title>
  <dc:creator>Anonymous</dc:creator>
  <cp:keywords/>
  <dcterms:created xsi:type="dcterms:W3CDTF">2026-06-10T22:53:37Z</dcterms:created>
  <dcterms:modified xsi:type="dcterms:W3CDTF">2026-06-10T22:53:37Z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/>
  </property>
</Properties>
</file>