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eko" w:cs="Teko" w:eastAsia="Teko" w:hAnsi="Tek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eko" w:cs="Teko" w:eastAsia="Teko" w:hAnsi="Teko"/>
          <w:b w:val="1"/>
          <w:sz w:val="32"/>
          <w:szCs w:val="32"/>
        </w:rPr>
      </w:pPr>
      <w:r w:rsidDel="00000000" w:rsidR="00000000" w:rsidRPr="00000000">
        <w:rPr>
          <w:rFonts w:ascii="Teko" w:cs="Teko" w:eastAsia="Teko" w:hAnsi="Teko"/>
          <w:b w:val="1"/>
          <w:sz w:val="32"/>
          <w:szCs w:val="32"/>
          <w:rtl w:val="0"/>
        </w:rPr>
        <w:t xml:space="preserve">IISS EINAUDI-CHIODO</w:t>
      </w:r>
    </w:p>
    <w:p w:rsidR="00000000" w:rsidDel="00000000" w:rsidP="00000000" w:rsidRDefault="00000000" w:rsidRPr="00000000" w14:paraId="00000003">
      <w:pPr>
        <w:jc w:val="center"/>
        <w:rPr>
          <w:rFonts w:ascii="Teko" w:cs="Teko" w:eastAsia="Teko" w:hAnsi="Teko"/>
          <w:sz w:val="32"/>
          <w:szCs w:val="32"/>
        </w:rPr>
      </w:pPr>
      <w:r w:rsidDel="00000000" w:rsidR="00000000" w:rsidRPr="00000000">
        <w:rPr>
          <w:rFonts w:ascii="Teko" w:cs="Teko" w:eastAsia="Teko" w:hAnsi="Teko"/>
          <w:sz w:val="32"/>
          <w:szCs w:val="32"/>
          <w:rtl w:val="0"/>
        </w:rPr>
        <w:t xml:space="preserve">DIPARTIMENTO DI SCIENZE MOTORIE E SPORTIVE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Teko" w:cs="Teko" w:eastAsia="Teko" w:hAnsi="Teko"/>
          <w:b w:val="1"/>
          <w:sz w:val="22"/>
          <w:szCs w:val="22"/>
        </w:rPr>
      </w:pPr>
      <w:r w:rsidDel="00000000" w:rsidR="00000000" w:rsidRPr="00000000">
        <w:rPr>
          <w:rFonts w:ascii="Teko" w:cs="Teko" w:eastAsia="Teko" w:hAnsi="Teko"/>
          <w:b w:val="1"/>
          <w:sz w:val="22"/>
          <w:szCs w:val="22"/>
          <w:rtl w:val="0"/>
        </w:rPr>
        <w:t xml:space="preserve">Anno scolastico 2022-23</w:t>
      </w:r>
    </w:p>
    <w:p w:rsidR="00000000" w:rsidDel="00000000" w:rsidP="00000000" w:rsidRDefault="00000000" w:rsidRPr="00000000" w14:paraId="00000005">
      <w:pPr>
        <w:jc w:val="center"/>
        <w:rPr>
          <w:rFonts w:ascii="Teko" w:cs="Teko" w:eastAsia="Teko" w:hAnsi="Tek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jc w:val="center"/>
        <w:rPr>
          <w:rFonts w:ascii="Teko" w:cs="Teko" w:eastAsia="Teko" w:hAnsi="Teko"/>
          <w:sz w:val="32"/>
          <w:szCs w:val="32"/>
        </w:rPr>
      </w:pPr>
      <w:r w:rsidDel="00000000" w:rsidR="00000000" w:rsidRPr="00000000">
        <w:rPr>
          <w:rFonts w:ascii="Teko" w:cs="Teko" w:eastAsia="Teko" w:hAnsi="Teko"/>
          <w:sz w:val="32"/>
          <w:szCs w:val="32"/>
          <w:rtl w:val="0"/>
        </w:rPr>
        <w:t xml:space="preserve">Programma consuntivo 1 C</w:t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rFonts w:ascii="Teko" w:cs="Teko" w:eastAsia="Teko" w:hAnsi="Tek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eko" w:cs="Teko" w:eastAsia="Teko" w:hAnsi="Teko"/>
          <w:sz w:val="32"/>
          <w:szCs w:val="32"/>
        </w:rPr>
      </w:pPr>
      <w:r w:rsidDel="00000000" w:rsidR="00000000" w:rsidRPr="00000000">
        <w:rPr>
          <w:rFonts w:ascii="Teko" w:cs="Teko" w:eastAsia="Teko" w:hAnsi="Teko"/>
          <w:sz w:val="32"/>
          <w:szCs w:val="32"/>
        </w:rPr>
        <w:drawing>
          <wp:inline distB="0" distT="0" distL="0" distR="0">
            <wp:extent cx="3209290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eko" w:cs="Teko" w:eastAsia="Teko" w:hAnsi="Tek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eko" w:cs="Teko" w:eastAsia="Teko" w:hAnsi="Teko"/>
          <w:b w:val="1"/>
          <w:sz w:val="32"/>
          <w:szCs w:val="32"/>
        </w:rPr>
      </w:pPr>
      <w:r w:rsidDel="00000000" w:rsidR="00000000" w:rsidRPr="00000000">
        <w:rPr>
          <w:rFonts w:ascii="Teko" w:cs="Teko" w:eastAsia="Teko" w:hAnsi="Teko"/>
          <w:b w:val="1"/>
          <w:sz w:val="32"/>
          <w:szCs w:val="32"/>
          <w:rtl w:val="0"/>
        </w:rPr>
        <w:t xml:space="preserve"> Docente: </w:t>
      </w:r>
    </w:p>
    <w:p w:rsidR="00000000" w:rsidDel="00000000" w:rsidP="00000000" w:rsidRDefault="00000000" w:rsidRPr="00000000" w14:paraId="00000017">
      <w:pPr>
        <w:rPr>
          <w:rFonts w:ascii="Teko" w:cs="Teko" w:eastAsia="Teko" w:hAnsi="Tek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sz w:val="32"/>
          <w:szCs w:val="32"/>
          <w:rtl w:val="0"/>
        </w:rPr>
        <w:t xml:space="preserve"> Picasso Daniel Julien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9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IISS EINAUDI-CHIODO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ANNUALE CONSUNTIVO di EDUCAZIONE FISICA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1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2022/2023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L'insegnamento dell'educazione fisica nel primo biennio della scuola superiore si prefigge di promuovere, con le altre discipline, il pieno sviluppo della persona nella costruzione del sé, di corrette e significative relazioni con gli altri e di una positiva interazione naturale e sociale; abbiamo raggiunto questo obiettivo attraverso: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Contenuti delle esercitazioni pratiche da eseguire individualmente: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5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corsa di resistenza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5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esercizi di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rafforzamento e condizionamento fisico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a corpo libero, con sovraccarichi e con l’utilizzo di piccoli attrezzi (palla, manubri, palla medica, elastici, cavigliere, step, ostacoli, pilates ring)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esercitazioni di CrossFit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5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esercizi di stretching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circuiti a stazioni e percorsi misti finalizzati al miglioramento delle qualità motorie e coordinative.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sulle qualità motorie condizionali: forza, resistenza, velocità, coordinazione, mobilità e equilibrio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shd w:fill="f9f9f9" w:val="clear"/>
          <w:rtl w:val="0"/>
        </w:rPr>
        <w:t xml:space="preserve">sport in ambiente naturale</w:t>
      </w:r>
      <w:r w:rsidDel="00000000" w:rsidR="00000000" w:rsidRPr="00000000">
        <w:rPr>
          <w:rFonts w:ascii="Arial" w:cs="Arial" w:eastAsia="Arial" w:hAnsi="Arial"/>
          <w:b w:val="1"/>
          <w:shd w:fill="f9f9f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hd w:fill="f9f9f9" w:val="clear"/>
          <w:rtl w:val="0"/>
        </w:rPr>
        <w:t xml:space="preserve">ginnastica posturale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Contenuti delle lezioni teoriche: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Storia dell’educazione fisica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Alimentazione: le regole principali per una sana alimentazione.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Apparato osteo-articolare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Alterazioni e traumi dell’apparato scheletrico e articolare: frattura, distorsione, lussazione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Curve fisiologiche della colonna vertebrale e allineamento posturale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Paramorfismi e dismorfismi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Apparato muscolare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Alterazioni e traumi dell’apparato muscolare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Apparato cardiocircolatorio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Effetti e benefici dell’attività motoria sull’apparato cardiocircolatorio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Effetti e benefici dell’attività motoria sull’apparato respiratorio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Effetti e benefici dell’attività motoria sull’apparato locomotore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Nozioni di primo soccorso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Regole fondamentali dei giochi di squadra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Special Olympics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Escursionismo: il trekking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Educazione ambientale, sviluppo eco-sostenibile.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La tutela del patrimonio ambientale.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Le associazioni ambientaliste (WWF, Greenpeace, Legambiente ecc.).</w:t>
      </w:r>
    </w:p>
    <w:p w:rsidR="00000000" w:rsidDel="00000000" w:rsidP="00000000" w:rsidRDefault="00000000" w:rsidRPr="00000000" w14:paraId="0000005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La Giornata mondiale dell’ambiente.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Sport &amp; cittadinanza: storie da raccontare in palestra:</w:t>
      </w:r>
    </w:p>
    <w:p w:rsidR="00000000" w:rsidDel="00000000" w:rsidP="00000000" w:rsidRDefault="00000000" w:rsidRPr="00000000" w14:paraId="0000005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&gt;   Yasuiro Yamashita &amp; Mohammad Ali Rashwan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 UDA e educazione civica: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rispetto delle regole nello sport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DPI dispositivi di protezione individuali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Rispetto dell’ambiente, attività all’aria aperta e tutela della persona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Regole e rispetto dei regolamenti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bullismo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L’ambiente acqua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 e benessere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Modalità: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50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prove pratiche, circuiti e routine di CrossFit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50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attività all’aria aperta, presso il campo sportivo Montagna, i giardini storici del centro città, il centro Dielleffe, il parco della Rimembranza e circuiti cittadini.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50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verifiche orali e relazioni da svolgere a casa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50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test motori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questionari sulle conoscenze acquisite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5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Video e film che raccontano la storia dello 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14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2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 Spezia, 15/06/2023</w:t>
        <w:tab/>
        <w:tab/>
        <w:tab/>
        <w:tab/>
        <w:tab/>
        <w:tab/>
        <w:tab/>
        <w:t xml:space="preserve"> Prof.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Picasso Daniel Julien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eko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