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 5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eko" w:cs="Teko" w:eastAsia="Teko" w:hAnsi="Teko"/>
          <w:b w:val="1"/>
          <w:sz w:val="32"/>
          <w:szCs w:val="32"/>
          <w:rtl w:val="0"/>
        </w:rPr>
        <w:t xml:space="preserve">Prof. 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