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412A" w14:textId="77777777" w:rsidR="00E66D81" w:rsidRDefault="00E66D81">
      <w:pPr>
        <w:outlineLvl w:val="0"/>
        <w:rPr>
          <w:b/>
          <w:bCs/>
          <w:color w:val="0000FF"/>
        </w:rPr>
      </w:pPr>
      <w:r>
        <w:rPr>
          <w:b/>
          <w:bCs/>
          <w:color w:val="0000FF"/>
        </w:rPr>
        <w:t>ER Diagram Author</w:t>
      </w:r>
      <w:r w:rsidR="008E6B55">
        <w:rPr>
          <w:b/>
          <w:bCs/>
          <w:color w:val="0000FF"/>
        </w:rPr>
        <w:t>s</w:t>
      </w:r>
      <w:r>
        <w:rPr>
          <w:b/>
          <w:bCs/>
          <w:color w:val="0000FF"/>
        </w:rPr>
        <w:t>:</w:t>
      </w:r>
      <w:r w:rsidR="00EA3047">
        <w:rPr>
          <w:b/>
          <w:bCs/>
          <w:color w:val="0000FF"/>
        </w:rPr>
        <w:t xml:space="preserve"> Group 3</w:t>
      </w:r>
      <w:r>
        <w:rPr>
          <w:b/>
          <w:bCs/>
          <w:color w:val="0000FF"/>
        </w:rPr>
        <w:tab/>
      </w:r>
    </w:p>
    <w:p w14:paraId="57AAD62D" w14:textId="77777777" w:rsidR="00E66D81" w:rsidRDefault="00E66D81">
      <w:pPr>
        <w:outlineLvl w:val="0"/>
        <w:rPr>
          <w:b/>
          <w:bCs/>
          <w:color w:val="0000FF"/>
        </w:rPr>
      </w:pPr>
      <w:r>
        <w:rPr>
          <w:b/>
          <w:bCs/>
          <w:color w:val="0000FF"/>
        </w:rPr>
        <w:t>ER Diagram Reviewer</w:t>
      </w:r>
      <w:r w:rsidR="008E6B55">
        <w:rPr>
          <w:b/>
          <w:bCs/>
          <w:color w:val="0000FF"/>
        </w:rPr>
        <w:t>s</w:t>
      </w:r>
      <w:r>
        <w:rPr>
          <w:b/>
          <w:bCs/>
          <w:color w:val="0000FF"/>
        </w:rPr>
        <w:t>:</w:t>
      </w:r>
      <w:r w:rsidR="00EA3047">
        <w:rPr>
          <w:b/>
          <w:bCs/>
          <w:color w:val="0000FF"/>
        </w:rPr>
        <w:t xml:space="preserve"> Group 5</w:t>
      </w:r>
      <w:r>
        <w:rPr>
          <w:b/>
          <w:bCs/>
          <w:color w:val="0000FF"/>
        </w:rPr>
        <w:tab/>
      </w:r>
    </w:p>
    <w:p w14:paraId="4FE76818" w14:textId="77777777" w:rsidR="008E6B55" w:rsidRDefault="008E6B55" w:rsidP="008E6B55">
      <w:pPr>
        <w:outlineLvl w:val="0"/>
        <w:rPr>
          <w:b/>
          <w:bCs/>
          <w:color w:val="0000FF"/>
        </w:rPr>
      </w:pPr>
      <w:r>
        <w:rPr>
          <w:b/>
          <w:bCs/>
          <w:color w:val="0000FF"/>
        </w:rPr>
        <w:t>Date</w:t>
      </w:r>
      <w:r w:rsidR="008111DE">
        <w:rPr>
          <w:b/>
          <w:bCs/>
          <w:color w:val="0000FF"/>
        </w:rPr>
        <w:t xml:space="preserve"> ERD </w:t>
      </w:r>
      <w:r>
        <w:rPr>
          <w:b/>
          <w:bCs/>
          <w:color w:val="0000FF"/>
        </w:rPr>
        <w:t>Received:</w:t>
      </w:r>
      <w:r>
        <w:rPr>
          <w:b/>
          <w:bCs/>
          <w:color w:val="0000FF"/>
        </w:rPr>
        <w:tab/>
      </w:r>
      <w:r w:rsidR="00EA3047">
        <w:rPr>
          <w:b/>
          <w:bCs/>
          <w:color w:val="0000FF"/>
        </w:rPr>
        <w:t>2-23-21</w:t>
      </w:r>
    </w:p>
    <w:p w14:paraId="7B914232" w14:textId="77777777" w:rsidR="00E66D81" w:rsidRDefault="008E6B55">
      <w:pPr>
        <w:outlineLvl w:val="0"/>
        <w:rPr>
          <w:b/>
          <w:bCs/>
          <w:color w:val="0000FF"/>
        </w:rPr>
      </w:pPr>
      <w:r>
        <w:rPr>
          <w:b/>
          <w:bCs/>
          <w:color w:val="0000FF"/>
        </w:rPr>
        <w:t>Date of Review Session</w:t>
      </w:r>
      <w:r w:rsidR="00E66D81">
        <w:rPr>
          <w:b/>
          <w:bCs/>
          <w:color w:val="0000FF"/>
        </w:rPr>
        <w:t>:</w:t>
      </w:r>
      <w:r w:rsidR="00EA3047">
        <w:rPr>
          <w:b/>
          <w:bCs/>
          <w:color w:val="0000FF"/>
        </w:rPr>
        <w:t xml:space="preserve"> 2-28-21</w:t>
      </w:r>
      <w:r w:rsidR="00E66D81">
        <w:rPr>
          <w:b/>
          <w:bCs/>
          <w:color w:val="0000FF"/>
        </w:rPr>
        <w:tab/>
      </w:r>
    </w:p>
    <w:p w14:paraId="0EA5846F" w14:textId="77777777" w:rsidR="00E66D81" w:rsidRDefault="00E66D81"/>
    <w:p w14:paraId="7ED64AFF" w14:textId="77777777" w:rsidR="00E66D81" w:rsidRDefault="00E66D81">
      <w:pPr>
        <w:outlineLvl w:val="0"/>
        <w:rPr>
          <w:color w:val="008000"/>
        </w:rPr>
      </w:pPr>
      <w:r>
        <w:rPr>
          <w:color w:val="008000"/>
        </w:rPr>
        <w:t>SYNTAX ISSUES (filled out by reviewer</w:t>
      </w:r>
      <w:r w:rsidR="008111DE">
        <w:rPr>
          <w:color w:val="008000"/>
        </w:rPr>
        <w:t>s</w:t>
      </w:r>
      <w:r>
        <w:rPr>
          <w:color w:val="008000"/>
        </w:rPr>
        <w:t>)</w:t>
      </w:r>
      <w:r>
        <w:rPr>
          <w:color w:val="008000"/>
        </w:rPr>
        <w:tab/>
      </w:r>
      <w:r>
        <w:rPr>
          <w:color w:val="008000"/>
        </w:rPr>
        <w:tab/>
      </w:r>
      <w:r>
        <w:rPr>
          <w:color w:val="008000"/>
        </w:rPr>
        <w:tab/>
      </w:r>
      <w:r>
        <w:rPr>
          <w:color w:val="008000"/>
        </w:rPr>
        <w:tab/>
        <w:t>RESOLUTION (filled out by diagram author</w:t>
      </w:r>
      <w:r w:rsidR="008111DE">
        <w:rPr>
          <w:color w:val="008000"/>
        </w:rPr>
        <w:t>s</w:t>
      </w:r>
      <w:r>
        <w:rPr>
          <w:color w:val="008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8"/>
        <w:gridCol w:w="6660"/>
      </w:tblGrid>
      <w:tr w:rsidR="00E66D81" w14:paraId="5EC697AA" w14:textId="77777777">
        <w:tblPrEx>
          <w:tblCellMar>
            <w:top w:w="0" w:type="dxa"/>
            <w:bottom w:w="0" w:type="dxa"/>
          </w:tblCellMar>
        </w:tblPrEx>
        <w:trPr>
          <w:trHeight w:val="399"/>
        </w:trPr>
        <w:tc>
          <w:tcPr>
            <w:tcW w:w="6408" w:type="dxa"/>
          </w:tcPr>
          <w:p w14:paraId="7E080D12" w14:textId="77777777" w:rsidR="00E66D81" w:rsidRDefault="00757CC3">
            <w:pPr>
              <w:numPr>
                <w:ilvl w:val="0"/>
                <w:numId w:val="8"/>
              </w:numPr>
              <w:ind w:left="360"/>
            </w:pPr>
            <w:r>
              <w:t>Student Feedback entity may be unnecessary. Feedback can be stored in the Feedback table and the student can be represented as a foreign key in the feedback table.</w:t>
            </w:r>
          </w:p>
        </w:tc>
        <w:tc>
          <w:tcPr>
            <w:tcW w:w="6660" w:type="dxa"/>
          </w:tcPr>
          <w:p w14:paraId="15EA763C" w14:textId="77777777" w:rsidR="00E66D81" w:rsidRPr="00C00C75" w:rsidRDefault="00C00C75">
            <w:pPr>
              <w:rPr>
                <w:color w:val="FF0000"/>
              </w:rPr>
            </w:pPr>
            <w:r w:rsidRPr="00C00C75">
              <w:rPr>
                <w:color w:val="FF0000"/>
              </w:rPr>
              <w:t>Team decided not to remove Student Feedback subtype since it will need to store the foreign key of the student Entity, whereas Feedback for entire class will not require this</w:t>
            </w:r>
          </w:p>
        </w:tc>
      </w:tr>
      <w:tr w:rsidR="00E66D81" w14:paraId="2011CEAE" w14:textId="77777777">
        <w:tblPrEx>
          <w:tblCellMar>
            <w:top w:w="0" w:type="dxa"/>
            <w:bottom w:w="0" w:type="dxa"/>
          </w:tblCellMar>
        </w:tblPrEx>
        <w:trPr>
          <w:trHeight w:val="399"/>
        </w:trPr>
        <w:tc>
          <w:tcPr>
            <w:tcW w:w="6408" w:type="dxa"/>
          </w:tcPr>
          <w:p w14:paraId="03B5339F" w14:textId="77777777" w:rsidR="00E66D81" w:rsidRDefault="00757CC3">
            <w:pPr>
              <w:numPr>
                <w:ilvl w:val="0"/>
                <w:numId w:val="8"/>
              </w:numPr>
              <w:ind w:left="360"/>
            </w:pPr>
            <w:r>
              <w:t>All Story related entities should be able to be represented by a single entity and linked to the class table. Since students, teachers, and parents are linked in someway to the class, they are also linked to the stories associated with it already.</w:t>
            </w:r>
          </w:p>
        </w:tc>
        <w:tc>
          <w:tcPr>
            <w:tcW w:w="6660" w:type="dxa"/>
          </w:tcPr>
          <w:p w14:paraId="598A0C96" w14:textId="77777777" w:rsidR="00E66D81" w:rsidRPr="00DC4950" w:rsidRDefault="00DC4950">
            <w:pPr>
              <w:rPr>
                <w:color w:val="FF0000"/>
              </w:rPr>
            </w:pPr>
            <w:r w:rsidRPr="00DC4950">
              <w:rPr>
                <w:color w:val="FF0000"/>
              </w:rPr>
              <w:t xml:space="preserve">All Story-related entities will not be combined into one, because School Stories ARE NOT linked to a Class entity per the ClassDojo restriction. </w:t>
            </w:r>
          </w:p>
        </w:tc>
      </w:tr>
      <w:tr w:rsidR="00E66D81" w14:paraId="5211F761" w14:textId="77777777">
        <w:tblPrEx>
          <w:tblCellMar>
            <w:top w:w="0" w:type="dxa"/>
            <w:bottom w:w="0" w:type="dxa"/>
          </w:tblCellMar>
        </w:tblPrEx>
        <w:trPr>
          <w:trHeight w:val="399"/>
        </w:trPr>
        <w:tc>
          <w:tcPr>
            <w:tcW w:w="6408" w:type="dxa"/>
            <w:tcBorders>
              <w:bottom w:val="single" w:sz="4" w:space="0" w:color="auto"/>
            </w:tcBorders>
          </w:tcPr>
          <w:p w14:paraId="6632AA2C" w14:textId="77777777" w:rsidR="00E66D81" w:rsidRDefault="00757CC3">
            <w:pPr>
              <w:numPr>
                <w:ilvl w:val="0"/>
                <w:numId w:val="8"/>
              </w:numPr>
              <w:ind w:left="360"/>
            </w:pPr>
            <w:r>
              <w:t>The Viewer and Comment entities should be given more detailed and explicit names to better describe their purpose. Story View and Story Comment may be better.</w:t>
            </w:r>
          </w:p>
        </w:tc>
        <w:tc>
          <w:tcPr>
            <w:tcW w:w="6660" w:type="dxa"/>
            <w:tcBorders>
              <w:bottom w:val="single" w:sz="4" w:space="0" w:color="auto"/>
            </w:tcBorders>
          </w:tcPr>
          <w:p w14:paraId="40B74655" w14:textId="77777777" w:rsidR="00E66D81" w:rsidRPr="00DC4950" w:rsidRDefault="00DC4950">
            <w:pPr>
              <w:rPr>
                <w:color w:val="FF0000"/>
              </w:rPr>
            </w:pPr>
            <w:r w:rsidRPr="00DC4950">
              <w:rPr>
                <w:color w:val="FF0000"/>
              </w:rPr>
              <w:t>Viewer and Comment entities are changed to ‘Story View’ and ‘Story Comment’ respectively.</w:t>
            </w:r>
          </w:p>
        </w:tc>
      </w:tr>
    </w:tbl>
    <w:p w14:paraId="164C2F8A" w14:textId="77777777" w:rsidR="00E66D81" w:rsidRDefault="00E66D81"/>
    <w:p w14:paraId="03C878CF" w14:textId="77777777" w:rsidR="00E66D81" w:rsidRDefault="00E66D81">
      <w:pPr>
        <w:outlineLvl w:val="0"/>
        <w:rPr>
          <w:color w:val="008000"/>
        </w:rPr>
      </w:pPr>
      <w:r>
        <w:rPr>
          <w:color w:val="008000"/>
        </w:rPr>
        <w:t>BUSINESS RULE ISSUES (filled out by reviewer</w:t>
      </w:r>
      <w:r w:rsidR="008111DE">
        <w:rPr>
          <w:color w:val="008000"/>
        </w:rPr>
        <w:t>s</w:t>
      </w:r>
      <w:r>
        <w:rPr>
          <w:color w:val="008000"/>
        </w:rPr>
        <w:t>)</w:t>
      </w:r>
      <w:r>
        <w:rPr>
          <w:color w:val="008000"/>
        </w:rPr>
        <w:tab/>
      </w:r>
      <w:r>
        <w:rPr>
          <w:color w:val="008000"/>
        </w:rPr>
        <w:tab/>
        <w:t>RESOLUTION (filled out by diagram author</w:t>
      </w:r>
      <w:r w:rsidR="008111DE">
        <w:rPr>
          <w:color w:val="008000"/>
        </w:rPr>
        <w:t>s</w:t>
      </w:r>
      <w:r>
        <w:rPr>
          <w:color w:val="008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08"/>
        <w:gridCol w:w="6660"/>
      </w:tblGrid>
      <w:tr w:rsidR="00E66D81" w14:paraId="2976EE01" w14:textId="77777777">
        <w:tblPrEx>
          <w:tblCellMar>
            <w:top w:w="0" w:type="dxa"/>
            <w:bottom w:w="0" w:type="dxa"/>
          </w:tblCellMar>
        </w:tblPrEx>
        <w:trPr>
          <w:trHeight w:val="399"/>
        </w:trPr>
        <w:tc>
          <w:tcPr>
            <w:tcW w:w="6408" w:type="dxa"/>
          </w:tcPr>
          <w:p w14:paraId="3CCF4F1A" w14:textId="77777777" w:rsidR="00E66D81" w:rsidRDefault="00757CC3">
            <w:pPr>
              <w:numPr>
                <w:ilvl w:val="0"/>
                <w:numId w:val="9"/>
              </w:numPr>
              <w:ind w:left="360"/>
            </w:pPr>
            <w:r>
              <w:t>Story access code is not explicitly stated as a business rule. Access to stories is inherent to students, teachers, and parents associated with the class.</w:t>
            </w:r>
          </w:p>
        </w:tc>
        <w:tc>
          <w:tcPr>
            <w:tcW w:w="6660" w:type="dxa"/>
          </w:tcPr>
          <w:p w14:paraId="781A713B" w14:textId="77777777" w:rsidR="00E66D81" w:rsidRPr="00AF21E5" w:rsidRDefault="00AF21E5">
            <w:pPr>
              <w:rPr>
                <w:color w:val="FF0000"/>
              </w:rPr>
            </w:pPr>
            <w:r w:rsidRPr="00AF21E5">
              <w:rPr>
                <w:color w:val="FF0000"/>
              </w:rPr>
              <w:t>Story access code is explicitly stated as something that needs to be stored by the system for students to create their stories.</w:t>
            </w:r>
          </w:p>
        </w:tc>
      </w:tr>
      <w:tr w:rsidR="00E66D81" w14:paraId="3ABB3421" w14:textId="77777777">
        <w:tblPrEx>
          <w:tblCellMar>
            <w:top w:w="0" w:type="dxa"/>
            <w:bottom w:w="0" w:type="dxa"/>
          </w:tblCellMar>
        </w:tblPrEx>
        <w:trPr>
          <w:trHeight w:val="399"/>
        </w:trPr>
        <w:tc>
          <w:tcPr>
            <w:tcW w:w="6408" w:type="dxa"/>
          </w:tcPr>
          <w:p w14:paraId="529562B8" w14:textId="77777777" w:rsidR="00E66D81" w:rsidRDefault="00757CC3">
            <w:pPr>
              <w:numPr>
                <w:ilvl w:val="0"/>
                <w:numId w:val="9"/>
              </w:numPr>
              <w:ind w:left="360"/>
            </w:pPr>
            <w:r>
              <w:t xml:space="preserve">User accounts are not represented in the ERD by an entity and are </w:t>
            </w:r>
            <w:r w:rsidR="00EA3047">
              <w:t>essential to the business rules of</w:t>
            </w:r>
            <w:r>
              <w:t xml:space="preserve"> Class Dojo.</w:t>
            </w:r>
          </w:p>
        </w:tc>
        <w:tc>
          <w:tcPr>
            <w:tcW w:w="6660" w:type="dxa"/>
          </w:tcPr>
          <w:p w14:paraId="47F91C30" w14:textId="77777777" w:rsidR="00E66D81" w:rsidRPr="00F22212" w:rsidRDefault="00F22212">
            <w:pPr>
              <w:rPr>
                <w:color w:val="FF0000"/>
              </w:rPr>
            </w:pPr>
            <w:r w:rsidRPr="00F22212">
              <w:rPr>
                <w:color w:val="FF0000"/>
              </w:rPr>
              <w:t>User account data may be more appropriate for modelling the data requirements at the level of the internal/physical schema.</w:t>
            </w:r>
          </w:p>
        </w:tc>
      </w:tr>
      <w:tr w:rsidR="00E66D81" w14:paraId="18049F79" w14:textId="77777777" w:rsidTr="00F13D06">
        <w:tblPrEx>
          <w:tblCellMar>
            <w:top w:w="0" w:type="dxa"/>
            <w:bottom w:w="0" w:type="dxa"/>
          </w:tblCellMar>
        </w:tblPrEx>
        <w:trPr>
          <w:trHeight w:val="399"/>
        </w:trPr>
        <w:tc>
          <w:tcPr>
            <w:tcW w:w="6408" w:type="dxa"/>
          </w:tcPr>
          <w:p w14:paraId="3ACBB5E6" w14:textId="77777777" w:rsidR="00E66D81" w:rsidRDefault="00EA3047">
            <w:pPr>
              <w:numPr>
                <w:ilvl w:val="0"/>
                <w:numId w:val="9"/>
              </w:numPr>
              <w:ind w:left="360"/>
            </w:pPr>
            <w:r>
              <w:t xml:space="preserve">The Class Archive is not represented in the ERD and is essential to the business rules of Class Dojo and is separate </w:t>
            </w:r>
            <w:r>
              <w:lastRenderedPageBreak/>
              <w:t>from the attributes from the class itself.</w:t>
            </w:r>
          </w:p>
        </w:tc>
        <w:tc>
          <w:tcPr>
            <w:tcW w:w="6660" w:type="dxa"/>
          </w:tcPr>
          <w:p w14:paraId="340DFF37" w14:textId="77777777" w:rsidR="00E66D81" w:rsidRPr="00945694" w:rsidRDefault="00945694">
            <w:pPr>
              <w:rPr>
                <w:color w:val="FF0000"/>
              </w:rPr>
            </w:pPr>
            <w:r w:rsidRPr="00945694">
              <w:rPr>
                <w:color w:val="FF0000"/>
              </w:rPr>
              <w:lastRenderedPageBreak/>
              <w:t xml:space="preserve">Class Archive will not be represented as a separate entity, rather the combination of ‘class status’ and class archive date’ are used </w:t>
            </w:r>
            <w:r w:rsidRPr="00945694">
              <w:rPr>
                <w:color w:val="FF0000"/>
              </w:rPr>
              <w:lastRenderedPageBreak/>
              <w:t xml:space="preserve">within the Class entity to indicate </w:t>
            </w:r>
            <w:proofErr w:type="gramStart"/>
            <w:r w:rsidRPr="00945694">
              <w:rPr>
                <w:color w:val="FF0000"/>
              </w:rPr>
              <w:t>if and when</w:t>
            </w:r>
            <w:proofErr w:type="gramEnd"/>
            <w:r w:rsidRPr="00945694">
              <w:rPr>
                <w:color w:val="FF0000"/>
              </w:rPr>
              <w:t xml:space="preserve"> a class has been archived.</w:t>
            </w:r>
          </w:p>
        </w:tc>
      </w:tr>
      <w:tr w:rsidR="00F13D06" w14:paraId="1F8097B2" w14:textId="77777777">
        <w:tblPrEx>
          <w:tblCellMar>
            <w:top w:w="0" w:type="dxa"/>
            <w:bottom w:w="0" w:type="dxa"/>
          </w:tblCellMar>
        </w:tblPrEx>
        <w:trPr>
          <w:trHeight w:val="399"/>
        </w:trPr>
        <w:tc>
          <w:tcPr>
            <w:tcW w:w="6408" w:type="dxa"/>
            <w:tcBorders>
              <w:bottom w:val="single" w:sz="4" w:space="0" w:color="auto"/>
            </w:tcBorders>
          </w:tcPr>
          <w:p w14:paraId="0466AB2B" w14:textId="77777777" w:rsidR="00F13D06" w:rsidRDefault="00F13D06">
            <w:pPr>
              <w:numPr>
                <w:ilvl w:val="0"/>
                <w:numId w:val="9"/>
              </w:numPr>
              <w:ind w:left="360"/>
            </w:pPr>
            <w:r>
              <w:lastRenderedPageBreak/>
              <w:t>Raised during meeting with Group 5</w:t>
            </w:r>
          </w:p>
        </w:tc>
        <w:tc>
          <w:tcPr>
            <w:tcW w:w="6660" w:type="dxa"/>
            <w:tcBorders>
              <w:bottom w:val="single" w:sz="4" w:space="0" w:color="auto"/>
            </w:tcBorders>
          </w:tcPr>
          <w:p w14:paraId="71C14BA9" w14:textId="77777777" w:rsidR="00F13D06" w:rsidRPr="00945694" w:rsidRDefault="00F13D06">
            <w:pPr>
              <w:rPr>
                <w:color w:val="FF0000"/>
              </w:rPr>
            </w:pPr>
            <w:r>
              <w:rPr>
                <w:color w:val="FF0000"/>
              </w:rPr>
              <w:t>All ‘point total’ attributes from Class and Student Entity are removed and a ‘feedback points awarded’ attribute added to the Feedback entity to reflect the points given for feedback of a particular skill (</w:t>
            </w:r>
            <w:proofErr w:type="gramStart"/>
            <w:r>
              <w:rPr>
                <w:color w:val="FF0000"/>
              </w:rPr>
              <w:t>i.e.</w:t>
            </w:r>
            <w:proofErr w:type="gramEnd"/>
            <w:r>
              <w:rPr>
                <w:color w:val="FF0000"/>
              </w:rPr>
              <w:t xml:space="preserve"> for a behavior with a point weight of 0-5, feedback points award could be 3/5)</w:t>
            </w:r>
          </w:p>
        </w:tc>
      </w:tr>
    </w:tbl>
    <w:p w14:paraId="23484089" w14:textId="77777777" w:rsidR="00E66D81" w:rsidRDefault="00E66D81"/>
    <w:p w14:paraId="25E09C71" w14:textId="77777777" w:rsidR="00B14589" w:rsidRDefault="00B14589" w:rsidP="00B14589">
      <w:pPr>
        <w:ind w:left="360"/>
      </w:pPr>
    </w:p>
    <w:sectPr w:rsidR="00B14589">
      <w:pgSz w:w="15840" w:h="12240" w:orient="landscape" w:code="1"/>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964C3"/>
    <w:multiLevelType w:val="multilevel"/>
    <w:tmpl w:val="07E2D3DC"/>
    <w:lvl w:ilvl="0">
      <w:start w:val="1"/>
      <w:numFmt w:val="upperRoman"/>
      <w:lvlText w:val="%1."/>
      <w:lvlJc w:val="left"/>
      <w:pPr>
        <w:tabs>
          <w:tab w:val="num" w:pos="1080"/>
        </w:tabs>
        <w:ind w:left="720" w:firstLine="0"/>
      </w:pPr>
      <w:rPr>
        <w:rFonts w:hint="default"/>
      </w:rPr>
    </w:lvl>
    <w:lvl w:ilvl="1">
      <w:start w:val="1"/>
      <w:numFmt w:val="upperLetter"/>
      <w:pStyle w:val="Heading2"/>
      <w:lvlText w:val="%2."/>
      <w:lvlJc w:val="left"/>
      <w:pPr>
        <w:tabs>
          <w:tab w:val="num" w:pos="1800"/>
        </w:tabs>
        <w:ind w:left="1440" w:firstLine="0"/>
      </w:pPr>
      <w:rPr>
        <w:rFonts w:hint="default"/>
      </w:rPr>
    </w:lvl>
    <w:lvl w:ilvl="2">
      <w:start w:val="1"/>
      <w:numFmt w:val="decimal"/>
      <w:pStyle w:val="Heading3"/>
      <w:lvlText w:val="%3."/>
      <w:lvlJc w:val="left"/>
      <w:pPr>
        <w:tabs>
          <w:tab w:val="num" w:pos="2520"/>
        </w:tabs>
        <w:ind w:left="2160" w:firstLine="0"/>
      </w:pPr>
      <w:rPr>
        <w:rFonts w:hint="default"/>
      </w:rPr>
    </w:lvl>
    <w:lvl w:ilvl="3">
      <w:start w:val="1"/>
      <w:numFmt w:val="lowerLetter"/>
      <w:pStyle w:val="Heading4"/>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 w15:restartNumberingAfterBreak="0">
    <w:nsid w:val="1E03004A"/>
    <w:multiLevelType w:val="hybridMultilevel"/>
    <w:tmpl w:val="A9FC9D2C"/>
    <w:lvl w:ilvl="0" w:tplc="E07C77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14070D"/>
    <w:multiLevelType w:val="hybridMultilevel"/>
    <w:tmpl w:val="66041D2A"/>
    <w:lvl w:ilvl="0" w:tplc="E07C77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CE320F"/>
    <w:multiLevelType w:val="multilevel"/>
    <w:tmpl w:val="9B8E06F6"/>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1296"/>
        </w:tabs>
        <w:ind w:left="129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4" w15:restartNumberingAfterBreak="0">
    <w:nsid w:val="34D6363C"/>
    <w:multiLevelType w:val="hybridMultilevel"/>
    <w:tmpl w:val="3D846E4E"/>
    <w:lvl w:ilvl="0" w:tplc="19F07C92">
      <w:start w:val="1"/>
      <w:numFmt w:val="decimal"/>
      <w:lvlText w:val="%1. "/>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F06097E"/>
    <w:multiLevelType w:val="hybridMultilevel"/>
    <w:tmpl w:val="A634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B218B"/>
    <w:multiLevelType w:val="hybridMultilevel"/>
    <w:tmpl w:val="66041D2A"/>
    <w:lvl w:ilvl="0" w:tplc="8034EDC8">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54C"/>
    <w:multiLevelType w:val="hybridMultilevel"/>
    <w:tmpl w:val="A9FC9D2C"/>
    <w:lvl w:ilvl="0" w:tplc="8034EDC8">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4"/>
  </w:num>
  <w:num w:numId="4">
    <w:abstractNumId w:val="3"/>
  </w:num>
  <w:num w:numId="5">
    <w:abstractNumId w:val="3"/>
  </w:num>
  <w:num w:numId="6">
    <w:abstractNumId w:val="3"/>
  </w:num>
  <w:num w:numId="7">
    <w:abstractNumId w:val="3"/>
  </w:num>
  <w:num w:numId="8">
    <w:abstractNumId w:val="2"/>
  </w:num>
  <w:num w:numId="9">
    <w:abstractNumId w:val="1"/>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BDF"/>
    <w:rsid w:val="0001063D"/>
    <w:rsid w:val="00062F39"/>
    <w:rsid w:val="00181C53"/>
    <w:rsid w:val="007216B0"/>
    <w:rsid w:val="00757CC3"/>
    <w:rsid w:val="008111DE"/>
    <w:rsid w:val="00850BDF"/>
    <w:rsid w:val="008E2BBF"/>
    <w:rsid w:val="008E6B55"/>
    <w:rsid w:val="00945694"/>
    <w:rsid w:val="00A317CB"/>
    <w:rsid w:val="00AF21E5"/>
    <w:rsid w:val="00B14589"/>
    <w:rsid w:val="00B971B1"/>
    <w:rsid w:val="00C00C75"/>
    <w:rsid w:val="00DC4950"/>
    <w:rsid w:val="00E66D81"/>
    <w:rsid w:val="00EA3047"/>
    <w:rsid w:val="00F13D06"/>
    <w:rsid w:val="00F2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ED11E7"/>
  <w15:chartTrackingRefBased/>
  <w15:docId w15:val="{AB202CD1-F4A0-4D60-9B80-1C814252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pPr>
    <w:rPr>
      <w:sz w:val="24"/>
      <w:szCs w:val="24"/>
    </w:rPr>
  </w:style>
  <w:style w:type="paragraph" w:styleId="Heading1">
    <w:name w:val="heading 1"/>
    <w:basedOn w:val="Normal"/>
    <w:next w:val="Normal"/>
    <w:qFormat/>
    <w:pPr>
      <w:keepNext/>
      <w:numPr>
        <w:numId w:val="7"/>
      </w:numPr>
      <w:spacing w:before="240"/>
      <w:outlineLvl w:val="0"/>
    </w:pPr>
    <w:rPr>
      <w:rFonts w:cs="Arial"/>
      <w:b/>
      <w:bCs/>
      <w:kern w:val="32"/>
      <w:sz w:val="28"/>
      <w:szCs w:val="32"/>
    </w:rPr>
  </w:style>
  <w:style w:type="paragraph" w:styleId="Heading2">
    <w:name w:val="heading 2"/>
    <w:basedOn w:val="Normal"/>
    <w:next w:val="Normal"/>
    <w:qFormat/>
    <w:pPr>
      <w:keepNext/>
      <w:numPr>
        <w:ilvl w:val="1"/>
        <w:numId w:val="7"/>
      </w:numPr>
      <w:spacing w:before="240"/>
      <w:outlineLvl w:val="1"/>
    </w:pPr>
    <w:rPr>
      <w:rFonts w:cs="Arial"/>
      <w:b/>
      <w:bCs/>
      <w:i/>
      <w:iCs/>
      <w:szCs w:val="28"/>
    </w:rPr>
  </w:style>
  <w:style w:type="paragraph" w:styleId="Heading3">
    <w:name w:val="heading 3"/>
    <w:basedOn w:val="Normal"/>
    <w:next w:val="Normal"/>
    <w:qFormat/>
    <w:pPr>
      <w:keepNext/>
      <w:numPr>
        <w:ilvl w:val="2"/>
        <w:numId w:val="7"/>
      </w:numPr>
      <w:spacing w:before="240"/>
      <w:outlineLvl w:val="2"/>
    </w:pPr>
    <w:rPr>
      <w:rFonts w:ascii="Arial" w:hAnsi="Arial" w:cs="Arial"/>
      <w:b/>
      <w:bCs/>
      <w:szCs w:val="26"/>
    </w:rPr>
  </w:style>
  <w:style w:type="paragraph" w:styleId="Heading4">
    <w:name w:val="heading 4"/>
    <w:basedOn w:val="Normal"/>
    <w:next w:val="Normal"/>
    <w:qFormat/>
    <w:pPr>
      <w:keepNext/>
      <w:numPr>
        <w:ilvl w:val="3"/>
        <w:numId w:val="7"/>
      </w:numPr>
      <w:spacing w:before="240"/>
      <w:outlineLvl w:val="3"/>
    </w:pPr>
    <w:rPr>
      <w:bCs/>
      <w:i/>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ER Diagram Author:</vt:lpstr>
    </vt:vector>
  </TitlesOfParts>
  <Company>UNO</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Diagram Author:</dc:title>
  <dc:subject/>
  <dc:creator>Peter Wolcott</dc:creator>
  <cp:keywords/>
  <dc:description/>
  <cp:lastModifiedBy>ectroudt@unomaha.edu</cp:lastModifiedBy>
  <cp:revision>2</cp:revision>
  <dcterms:created xsi:type="dcterms:W3CDTF">2021-03-01T00:18:00Z</dcterms:created>
  <dcterms:modified xsi:type="dcterms:W3CDTF">2021-03-01T00:18:00Z</dcterms:modified>
</cp:coreProperties>
</file>