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B3D5C"/>
          <w:sz w:val="40"/>
          <w:szCs w:val="40"/>
        </w:rPr>
        <w:t xml:space="preserve">Сценарий защиты — EcoTender AI</w:t>
      </w:r>
    </w:p>
    <w:p>
      <w:pPr>
        <w:spacing w:after="300"/>
        <w:jc w:val="center"/>
      </w:pPr>
      <w:r>
        <w:rPr>
          <w:i/>
          <w:iCs/>
          <w:color w:val="1C7293"/>
          <w:sz w:val="22"/>
          <w:szCs w:val="22"/>
        </w:rPr>
        <w:t xml:space="preserve">Финальная версия презентации · Caspian Hackathon 2026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Регламент: 5 минут выступление + 2-3 минуты вопросы жюри.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2"/>
          <w:szCs w:val="22"/>
        </w:rPr>
        <w:t xml:space="preserve">Важно: перед выступлением обязательно исправь на слайдах "Asia" → "AI", формулировки про "LLM API" — на честные, ссылку на GitHub, и фразу "100% гарантированно" на слайде 9.</w:t>
      </w:r>
    </w:p>
    <w:p>
      <w:pPr>
        <w:pStyle w:val="Heading1"/>
        <w:spacing w:after="150" w:before="300"/>
      </w:pPr>
      <w:r>
        <w:rPr>
          <w:b/>
          <w:bCs/>
          <w:color w:val="0B3D5C"/>
          <w:sz w:val="32"/>
          <w:szCs w:val="32"/>
        </w:rPr>
        <w:t xml:space="preserve">Тайминг (10 слайдов / 5 минут)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600"/>
        <w:gridCol w:w="1600"/>
      </w:tblGrid>
      <w:tr>
        <w:trPr>
          <w:tblHeader/>
        </w:trPr>
        <w:tc>
          <w:tcPr>
            <w:tcW w:type="dxa" w:w="700"/>
            <w:shd w:fill="0B3D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0B3D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Слайд</w:t>
            </w:r>
          </w:p>
        </w:tc>
        <w:tc>
          <w:tcPr>
            <w:tcW w:type="dxa" w:w="1600"/>
            <w:shd w:fill="0B3D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600"/>
            <w:shd w:fill="0B3D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Титул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сек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0:15</w:t>
            </w:r>
          </w:p>
        </w:tc>
      </w:tr>
      <w:tr>
        <w:trPr>
          <w:tblHeader w:val="false"/>
        </w:trPr>
        <w:tc>
          <w:tcPr>
            <w:tcW w:type="dxa" w:w="7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Каспий под угрозой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сек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0:45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Наша цель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сек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1:15</w:t>
            </w:r>
          </w:p>
        </w:tc>
      </w:tr>
      <w:tr>
        <w:trPr>
          <w:tblHeader w:val="false"/>
        </w:trPr>
        <w:tc>
          <w:tcPr>
            <w:tcW w:type="dxa" w:w="7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Интеллектуальный конвейер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 сек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1:55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Единая цифровая экосистема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сек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2:25</w:t>
            </w:r>
          </w:p>
        </w:tc>
      </w:tr>
      <w:tr>
        <w:trPr>
          <w:tblHeader w:val="false"/>
        </w:trPr>
        <w:tc>
          <w:tcPr>
            <w:tcW w:type="dxa" w:w="7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Ключевой функционал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 сек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3:05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 сек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3:30</w:t>
            </w:r>
          </w:p>
        </w:tc>
      </w:tr>
      <w:tr>
        <w:trPr>
          <w:tblHeader w:val="false"/>
        </w:trPr>
        <w:tc>
          <w:tcPr>
            <w:tcW w:type="dxa" w:w="7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Статус MVP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 сек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4:15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Как прозрачность спасает экологию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сек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4:45</w:t>
            </w:r>
          </w:p>
        </w:tc>
      </w:tr>
      <w:tr>
        <w:trPr>
          <w:tblHeader w:val="false"/>
        </w:trPr>
        <w:tc>
          <w:tcPr>
            <w:tcW w:type="dxa" w:w="7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Масштабирование + финал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сек</w:t>
            </w:r>
          </w:p>
        </w:tc>
        <w:tc>
          <w:tcPr>
            <w:tcW w:type="dxa" w:w="1600"/>
            <w:shd w:fill="EA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5:00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B3D5C"/>
          <w:sz w:val="32"/>
          <w:szCs w:val="32"/>
        </w:rPr>
        <w:t xml:space="preserve">Текст по слайдам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1. Титул (15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"Добрый день! Мы — команда IT LYCEUM Team. Представляем EcoTender AI — платформу для прозрачности расходов на экологию Каспия."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2. Каспий под угрозой системного кризиса (30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>«Каспий сталкивается с двумя связанными угрозами. Первая — экологическая: разрушительные нефтяные загрязнения, токсичные выбросы, разрушающие уникальную экосистему. Вторая — обмеление Каспия: уровень моря падает, береговая линия отступает, экосистема и инфраструктура оказываются под ударом. Проблему обмеления только начали всерьёз рассматривать — поэтому целевого финансирования под неё по сути ещё не было. А когда бюджеты только появляются, критично сразу сделать их прозрачными: иначе деньги уйдут мимо реального восстановления.»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3. Наша цель (30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"Наша цель — сделать расходование бюджетных средств на экологию Каспия видимым, проверяемым и защищённым от злоупотреблений. Мы делаем это в три шага: во-первых, видимость — превращаем скрытые тендеры в открытые цифровые данные. Во-вторых, AI-контроль — внедряем риск-скоринг для автоматического выявления аномалий. В-третьих, защита — гарантируем, что каждый тенге работает на реальное спасение экологии."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4. Интеллектуальный конвейер прозрачности (40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>«Платформа устроена как конвейер из трёх стадий. Сбор данных: приоритет у официального API goszakup (OWS v3); если токена или ответа API нет — подключается Playwright-парсер публичного портала. Celery-воркеры ведут очередь через Redis, сырые файлы кладём в MinIO. Анализ: PostgreSQL с PostGIS хранит геоданные, AI Risk Engine на CatBoost считает Risk Score от 0 до 100 — а поверх идёт перевод этого сигнала на язык проверки через LLM-слой объяснений. Инсайты: FastAPI-шлюз отдаёт результат во фронтенд на React, TypeScript, MUI и Leaflet-карте. Всё развёрнуто в Docker Compose — микросервисы плюс Postgres, Redis и MinIO.»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5. Единая цифровая экосистема Каспия (30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"EcoTender AI — единый источник истины для четырёх групп пользователей. Государственным органам — инструменты внутреннего аудита. Аудиторам и аналитикам — глубокая аналитика и выявление скрытых закономерностей. НКО и журналистам — данные для независимых расследований. Обществу — платформа открытого гражданского контроля."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6. Ключевой функционал платформы (40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"Три ключевые функции уже работают. Интерактивная карта риска — геовизуализация всех эко-тендеров для пространственного анализа зон риска на Каспии. AI Risk-Scoring — оценка каждого тендера алгоритмом CatBoost по шкале от 0 до 100 на основе исторических аномалий. И смарт-карточка тендера — автоматическая генерация понятных объяснений причин высокого риска."</w:t>
      </w:r>
    </w:p>
    <w:p>
      <w:pPr>
        <w:spacing w:after="120"/>
      </w:pPr>
      <w:r>
        <w:rPr>
          <w:b w:val="false"/>
          <w:bCs w:val="false"/>
          <w:i/>
          <w:iCs/>
          <w:color w:val="C0392B"/>
          <w:sz w:val="22"/>
          <w:szCs w:val="22"/>
        </w:rPr>
        <w:t>Важно: если жюри спросит про LLM — см. раздел вопросов: OpenAI-совместимый API, можно облако или локальный on-prem.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7. Современный технологический стек (25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>«Технологически это три слоя плюс канал сбора данных. Интерфейс — React, TypeScript, MUI и карта Leaflet. Обработка и хранение — FastAPI, Celery, Redis, PostgreSQL с PostGIS, MinIO для документов. Интеллектуальное ядро — CatBoost для Risk Score и LLM-слой: перевод сигнала на язык проверки; LLM — через OpenAI-совместимый API, при необходимости локально on-prem. Сбор данных — приоритет API goszakup (OWS v3), запасной путь — Playwright.»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8. Статус MVP (45 сек) — САМЫЙ ВАЖНЫЙ СЛАЙД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"И главное — это не макет. Платформа реально готова к работе. Пятьдесят девять реальных экологических тендеров уже спарсено и обработано в базе данных. Двенадцать изолированных микросервисов активно функционируют — сто процентов контейнеризации через Docker Compose. Сто тридцать пять примеров из реальной практики использовано для первоначального обучения модели CatBoost. Мы готовы показать это вживую прямо сейчас."</w:t>
      </w:r>
    </w:p>
    <w:p>
      <w:pPr>
        <w:spacing w:after="120"/>
      </w:pPr>
      <w:r>
        <w:rPr>
          <w:b w:val="false"/>
          <w:bCs w:val="false"/>
          <w:i/>
          <w:iCs/>
          <w:color w:val="C0392B"/>
          <w:sz w:val="22"/>
          <w:szCs w:val="22"/>
        </w:rPr>
        <w:t xml:space="preserve">Если есть техническая возможность — покажи живое демо здесь.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9. Как прозрачность спасает экологию (30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"Это работает в три шага. Цифровой контроль — AI Risk Detection мгновенно выявляет коррупционные схемы и неэффективные тендеры. Финансовая эффективность — наша цель в том, чтобы выделенные эко-бюджеты доходили до реальных проектов, не теряясь в цепочках поставок. И в итоге — физическое спасение: ускоренное восстановление экосистемы Каспия, предотвращение разливов нефти, защита биоразнообразия."</w:t>
      </w:r>
    </w:p>
    <w:p>
      <w:pPr>
        <w:spacing w:after="120"/>
      </w:pPr>
      <w:r>
        <w:rPr>
          <w:b w:val="false"/>
          <w:bCs w:val="false"/>
          <w:i/>
          <w:iCs/>
          <w:color w:val="C0392B"/>
          <w:sz w:val="22"/>
          <w:szCs w:val="22"/>
        </w:rPr>
        <w:t xml:space="preserve">Обрати внимание: фраза изменена с "100% гарантированно доходят" на "наша цель в том, чтобы доходили" — это честнее для MVP-стадии.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10. Масштабирование и финал (15 сек)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"Дальше — внедрение компьютерного зрения для анализа спутниковых снимков, live-режим API, расширение на Азербайджан, Россию, Туркменистан и Иран. Прозрачность — лучшая защита Каспийского моря. Спасибо за внимание, готовы ответить на вопросы."</w:t>
      </w:r>
    </w:p>
    <w:p>
      <w:pPr>
        <w:pStyle w:val="Heading1"/>
        <w:spacing w:after="150" w:before="300"/>
      </w:pPr>
      <w:r>
        <w:rPr>
          <w:b/>
          <w:bCs/>
          <w:color w:val="0B3D5C"/>
          <w:sz w:val="32"/>
          <w:szCs w:val="32"/>
        </w:rPr>
        <w:t xml:space="preserve">Подготовка к вопросам (2-3 минуты)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«Вы используете живую LLM для объяснений?» — самый вероятный сложный вопрос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>«Архитектура двухслойная: CatBoost даёт Risk Score, поверх — LLM-слой объяснений через OpenAI-совместимый API (облако или локальный endpoint — для чувствительных данных можно развернуть LLM on-prem). У нас подключали Qwen; интерфейс один и тот же — меняется только base URL и ключ.»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«Как вы гарантируете, что 100% бюджета доходит до цели?»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"Точнее будет сказать: это наша цель, а не текущая метрика — платформа даёт инструмент для проверки и мониторинга, который делает попытки нецелевого расходования видимыми и доказуемыми. Гарантия результата — это уже задача государственных органов и аудиторов, которые будут использовать наши данные."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«Откуда данные, реальные или придуманные?»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>«У нас адаптер к официальному API Госзакупок Казахстана — OWS v3: это основной канал. Если API недоступен (нет токена или ответ не приходит) — автоматически идём через Playwright по публичному сайту. Так мы не зависим от одного канала: приоритет API, запасной путь — парсер.»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«Почему CatBoost, а не своя нейросеть?»</w:t>
      </w:r>
    </w:p>
    <w:p>
      <w:pPr>
        <w:pBdr>
          <w:left w:val="single" w:color="1C7293" w:sz="18" w:space="8"/>
        </w:pBdr>
        <w:spacing w:after="160"/>
        <w:ind w:left="431"/>
      </w:pPr>
      <w:r>
        <w:rPr>
          <w:i/>
          <w:iCs/>
          <w:color w:val="222222"/>
          <w:sz w:val="22"/>
          <w:szCs w:val="22"/>
        </w:rPr>
        <w:t xml:space="preserve">"Своя нейросеть требует сотен-тысяч размеченных исторических примеров, которых нет за время хакатона. CatBoost эффективнее на малых датасетах и с категориальными признаками — регион, тип закупки."</w:t>
      </w:r>
    </w:p>
    <w:p>
      <w:pPr>
        <w:pStyle w:val="Heading2"/>
        <w:spacing w:after="100" w:before="240"/>
      </w:pPr>
      <w:r>
        <w:rPr>
          <w:b/>
          <w:bCs/>
          <w:color w:val="1C7293"/>
          <w:sz w:val="26"/>
          <w:szCs w:val="26"/>
        </w:rPr>
        <w:t xml:space="preserve">«Кто писал код, распределите роли»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Договоритесь заранее — жюри может спросить любого, не только "технаря" (раздел 7 ТЗ).</w:t>
      </w:r>
    </w:p>
    <w:p>
      <w:pPr>
        <w:pStyle w:val="Heading1"/>
        <w:spacing w:after="150" w:before="300"/>
      </w:pPr>
      <w:r>
        <w:rPr>
          <w:b/>
          <w:bCs/>
          <w:color w:val="0B3D5C"/>
          <w:sz w:val="32"/>
          <w:szCs w:val="32"/>
        </w:rPr>
        <w:t xml:space="preserve">Финальный чеклист перед выходом на сцену</w:t>
      </w:r>
    </w:p>
    <w:p>
      <w:pPr>
        <w:spacing w:after="80"/>
      </w:pPr>
      <w:r>
        <w:rPr>
          <w:sz w:val="22"/>
          <w:szCs w:val="22"/>
        </w:rPr>
        <w:t xml:space="preserve">☐  Все "Asia" на слайдах исправлены на "AI"</w:t>
      </w:r>
    </w:p>
    <w:p>
      <w:pPr>
        <w:spacing w:after="80"/>
      </w:pPr>
      <w:r>
        <w:rPr>
          <w:sz w:val="22"/>
          <w:szCs w:val="22"/>
        </w:rPr>
        <w:t>☐  Формулировки про LLM согласованы: слой объяснений + возможность локального развёртывания</w:t>
      </w:r>
    </w:p>
    <w:p>
      <w:pPr>
        <w:spacing w:after="80"/>
      </w:pPr>
      <w:r>
        <w:rPr>
          <w:sz w:val="22"/>
          <w:szCs w:val="22"/>
        </w:rPr>
        <w:t xml:space="preserve">☐  Ссылка на GitHub верная</w:t>
      </w:r>
    </w:p>
    <w:p>
      <w:pPr>
        <w:spacing w:after="80"/>
      </w:pPr>
      <w:r>
        <w:rPr>
          <w:sz w:val="22"/>
          <w:szCs w:val="22"/>
        </w:rPr>
        <w:t xml:space="preserve">☐  Записано резервное видео демо</w:t>
      </w:r>
    </w:p>
    <w:p>
      <w:pPr>
        <w:spacing w:after="80"/>
      </w:pPr>
      <w:r>
        <w:rPr>
          <w:sz w:val="22"/>
          <w:szCs w:val="22"/>
        </w:rPr>
        <w:t xml:space="preserve">☐  Сценарий прогнан вслух с таймером минимум 2 раза</w:t>
      </w:r>
    </w:p>
    <w:p>
      <w:pPr>
        <w:spacing w:after="80"/>
      </w:pPr>
      <w:r>
        <w:rPr>
          <w:sz w:val="22"/>
          <w:szCs w:val="22"/>
        </w:rPr>
        <w:t xml:space="preserve">☐  Роли на вопросы распределены между членами команды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2026-08-09T15:12:42.265Z</dcterms:created>
  <dcterms:modified xsi:type="dcterms:W3CDTF">2026-08-09T15:12:42.277Z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