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64BC" w14:textId="7F41AD53" w:rsidR="005E3A25" w:rsidRDefault="005925A2" w:rsidP="005925A2">
      <w:pPr>
        <w:jc w:val="both"/>
        <w:rPr>
          <w:rFonts w:ascii="Calibri" w:hAnsi="Calibri" w:cs="Calibri"/>
          <w:b/>
          <w:bCs/>
          <w:sz w:val="32"/>
          <w:szCs w:val="32"/>
        </w:rPr>
      </w:pPr>
      <w:r w:rsidRPr="005925A2">
        <w:rPr>
          <w:rFonts w:ascii="Calibri" w:hAnsi="Calibri" w:cs="Calibri"/>
          <w:b/>
          <w:bCs/>
          <w:sz w:val="32"/>
          <w:szCs w:val="32"/>
        </w:rPr>
        <w:t>Mortalidade induzida por infecção em SI: impactos na dinâmica epidêmica e padrões de informação espacial</w:t>
      </w:r>
    </w:p>
    <w:p w14:paraId="445BD413" w14:textId="649F0830" w:rsidR="005925A2" w:rsidRDefault="005925A2" w:rsidP="005925A2">
      <w:pPr>
        <w:spacing w:after="0"/>
        <w:jc w:val="both"/>
        <w:rPr>
          <w:rFonts w:ascii="Calibri" w:hAnsi="Calibri" w:cs="Calibri"/>
        </w:rPr>
      </w:pPr>
      <w:r w:rsidRPr="005925A2">
        <w:rPr>
          <w:rFonts w:ascii="Calibri" w:hAnsi="Calibri" w:cs="Calibri"/>
        </w:rPr>
        <w:t>Edney Cavalcanti dos Santos</w:t>
      </w:r>
      <w:r>
        <w:rPr>
          <w:rFonts w:ascii="Calibri" w:hAnsi="Calibri" w:cs="Calibri"/>
        </w:rPr>
        <w:t>¹*</w:t>
      </w:r>
    </w:p>
    <w:p w14:paraId="46C39CBE" w14:textId="71CD13C8" w:rsidR="005925A2" w:rsidRDefault="005925A2" w:rsidP="005925A2">
      <w:pPr>
        <w:spacing w:after="0"/>
        <w:jc w:val="both"/>
        <w:rPr>
          <w:rFonts w:ascii="Calibri" w:hAnsi="Calibri" w:cs="Calibri"/>
        </w:rPr>
      </w:pPr>
      <w:r>
        <w:rPr>
          <w:rFonts w:ascii="Calibri" w:hAnsi="Calibri" w:cs="Calibri"/>
        </w:rPr>
        <w:t xml:space="preserve">¹ </w:t>
      </w:r>
      <w:r w:rsidR="00460418">
        <w:rPr>
          <w:rFonts w:ascii="Calibri" w:hAnsi="Calibri" w:cs="Calibri"/>
        </w:rPr>
        <w:t xml:space="preserve">Departamento de Computação, </w:t>
      </w:r>
      <w:r>
        <w:rPr>
          <w:rFonts w:ascii="Calibri" w:hAnsi="Calibri" w:cs="Calibri"/>
        </w:rPr>
        <w:t>Universidade Federal Rural de Pernambuco</w:t>
      </w:r>
    </w:p>
    <w:p w14:paraId="05A40EC6" w14:textId="2B15FC54" w:rsidR="005925A2" w:rsidRDefault="005925A2" w:rsidP="005925A2">
      <w:pPr>
        <w:spacing w:after="0"/>
        <w:jc w:val="both"/>
        <w:rPr>
          <w:rFonts w:ascii="Calibri" w:hAnsi="Calibri" w:cs="Calibri"/>
        </w:rPr>
      </w:pPr>
      <w:r>
        <w:rPr>
          <w:rFonts w:ascii="Calibri" w:hAnsi="Calibri" w:cs="Calibri"/>
        </w:rPr>
        <w:t>* edney.santos@ufrpe.br</w:t>
      </w:r>
    </w:p>
    <w:p w14:paraId="48BAD51B" w14:textId="77777777" w:rsidR="005925A2" w:rsidRDefault="005925A2" w:rsidP="005925A2">
      <w:pPr>
        <w:spacing w:after="0"/>
        <w:jc w:val="both"/>
        <w:rPr>
          <w:rFonts w:ascii="Calibri" w:hAnsi="Calibri" w:cs="Calibri"/>
        </w:rPr>
      </w:pPr>
    </w:p>
    <w:p w14:paraId="6F210659" w14:textId="3385CB7C" w:rsidR="00FF1BF1" w:rsidRDefault="00FF1BF1" w:rsidP="005925A2">
      <w:pPr>
        <w:spacing w:after="0"/>
        <w:jc w:val="both"/>
        <w:rPr>
          <w:rFonts w:ascii="Calibri" w:hAnsi="Calibri" w:cs="Calibri"/>
        </w:rPr>
      </w:pPr>
      <w:r>
        <w:rPr>
          <w:rFonts w:ascii="Calibri" w:hAnsi="Calibri" w:cs="Calibri"/>
        </w:rPr>
        <w:t xml:space="preserve">Código: </w:t>
      </w:r>
      <w:r>
        <w:rPr>
          <w:rFonts w:ascii="Calibri" w:hAnsi="Calibri" w:cs="Calibri"/>
        </w:rPr>
        <w:fldChar w:fldCharType="begin"/>
      </w:r>
      <w:r>
        <w:rPr>
          <w:rFonts w:ascii="Calibri" w:hAnsi="Calibri" w:cs="Calibri"/>
        </w:rPr>
        <w:instrText>HYPERLINK "</w:instrText>
      </w:r>
      <w:r w:rsidRPr="00FF1BF1">
        <w:rPr>
          <w:rFonts w:ascii="Calibri" w:hAnsi="Calibri" w:cs="Calibri"/>
        </w:rPr>
        <w:instrText>https://github.com/ed-cavalcanti/automatos-epidemiologia-2025.2</w:instrText>
      </w:r>
      <w:r>
        <w:rPr>
          <w:rFonts w:ascii="Calibri" w:hAnsi="Calibri" w:cs="Calibri"/>
        </w:rPr>
        <w:instrText>"</w:instrText>
      </w:r>
      <w:r>
        <w:rPr>
          <w:rFonts w:ascii="Calibri" w:hAnsi="Calibri" w:cs="Calibri"/>
        </w:rPr>
        <w:fldChar w:fldCharType="separate"/>
      </w:r>
      <w:r w:rsidRPr="006D7D67">
        <w:rPr>
          <w:rStyle w:val="Hyperlink"/>
          <w:rFonts w:ascii="Calibri" w:hAnsi="Calibri" w:cs="Calibri"/>
        </w:rPr>
        <w:t>https://github.com/ed-cavalcanti/automatos-epidemiologia-2025.2</w:t>
      </w:r>
      <w:r>
        <w:rPr>
          <w:rFonts w:ascii="Calibri" w:hAnsi="Calibri" w:cs="Calibri"/>
        </w:rPr>
        <w:fldChar w:fldCharType="end"/>
      </w:r>
      <w:r>
        <w:rPr>
          <w:rFonts w:ascii="Calibri" w:hAnsi="Calibri" w:cs="Calibri"/>
        </w:rPr>
        <w:t xml:space="preserve"> </w:t>
      </w:r>
    </w:p>
    <w:p w14:paraId="76AD4624" w14:textId="77777777" w:rsidR="00FF1BF1" w:rsidRDefault="00FF1BF1" w:rsidP="005925A2">
      <w:pPr>
        <w:spacing w:after="0"/>
        <w:jc w:val="both"/>
        <w:rPr>
          <w:rFonts w:ascii="Calibri" w:hAnsi="Calibri" w:cs="Calibri"/>
        </w:rPr>
      </w:pPr>
    </w:p>
    <w:p w14:paraId="62B1EF74" w14:textId="103EF381" w:rsidR="005925A2" w:rsidRDefault="005925A2" w:rsidP="00CC6DBA">
      <w:pPr>
        <w:spacing w:after="120"/>
        <w:jc w:val="both"/>
        <w:rPr>
          <w:rFonts w:ascii="Calibri" w:hAnsi="Calibri" w:cs="Calibri"/>
          <w:b/>
          <w:bCs/>
          <w:sz w:val="28"/>
          <w:szCs w:val="28"/>
        </w:rPr>
      </w:pPr>
      <w:r>
        <w:rPr>
          <w:rFonts w:ascii="Calibri" w:hAnsi="Calibri" w:cs="Calibri"/>
          <w:b/>
          <w:bCs/>
          <w:sz w:val="28"/>
          <w:szCs w:val="28"/>
        </w:rPr>
        <w:t>RESUMO</w:t>
      </w:r>
    </w:p>
    <w:p w14:paraId="3FBD82E6" w14:textId="116D3257" w:rsidR="005925A2" w:rsidRPr="00787871" w:rsidRDefault="005925A2" w:rsidP="00CC6DBA">
      <w:pPr>
        <w:spacing w:after="0" w:line="240" w:lineRule="auto"/>
        <w:jc w:val="both"/>
        <w:rPr>
          <w:rFonts w:ascii="Calibri" w:hAnsi="Calibri" w:cs="Calibri"/>
          <w:sz w:val="18"/>
          <w:szCs w:val="18"/>
        </w:rPr>
      </w:pPr>
      <w:r w:rsidRPr="005925A2">
        <w:rPr>
          <w:rFonts w:ascii="Calibri" w:hAnsi="Calibri" w:cs="Calibri"/>
        </w:rPr>
        <w:tab/>
      </w:r>
      <w:r w:rsidRPr="00787871">
        <w:rPr>
          <w:rFonts w:ascii="Calibri" w:hAnsi="Calibri" w:cs="Calibri"/>
          <w:sz w:val="18"/>
          <w:szCs w:val="18"/>
        </w:rPr>
        <w:t xml:space="preserve">Modelos epidêmicos espacialmente explícitos revelam fenômenos que abordagens comportamentais bem-misturadas não conseguem capturar. Neste estudo, implementamos um modelo SI (Susceptible-Infected) com mortalidade induzida pela infecção como um autômato celular estocástico bidimensional (CA), no qual cada célula representa um indivíduo que pode ser suscetível (S), infectado (I) ou morto (D). Regras locais de transição codificam a infecção por contato com vizinhos infectados (probabilidade β = 0,3) e a morte induzida pela doença (probabilidade ρ </w:t>
      </w:r>
      <w:r w:rsidRPr="00787871">
        <w:rPr>
          <w:rFonts w:ascii="Cambria Math" w:hAnsi="Cambria Math" w:cs="Cambria Math"/>
          <w:sz w:val="18"/>
          <w:szCs w:val="18"/>
        </w:rPr>
        <w:t>∈</w:t>
      </w:r>
      <w:r w:rsidRPr="00787871">
        <w:rPr>
          <w:rFonts w:ascii="Calibri" w:hAnsi="Calibri" w:cs="Calibri"/>
          <w:sz w:val="18"/>
          <w:szCs w:val="18"/>
        </w:rPr>
        <w:t xml:space="preserve"> {0,0, 0,3, 0,7}). Ao varia ρ, observamos três regimes </w:t>
      </w:r>
      <w:r w:rsidR="00CC6DBA" w:rsidRPr="00787871">
        <w:rPr>
          <w:rFonts w:ascii="Calibri" w:hAnsi="Calibri" w:cs="Calibri"/>
          <w:sz w:val="18"/>
          <w:szCs w:val="18"/>
        </w:rPr>
        <w:t>qualitativamente distintos: (1) baixa mortalidade (ρ = 0,0) produz configurações homogêneas, com alta prevalência e baixa entropia (H_max = 0,995); (2) mortalidade intermediária (ρ = 0,3) apresenta complexidade transitória com rápido colapso epidêmico; (3) alta mortalidade (ρ = 0,7) gera padrões heterogêneos persistentes, com entropia residual elevada (H_mean = 0,235). Quantificamos a complexidade espacial por meio da entropia de Shannon e relacionamos os resultados à classificação de Wolfram do comportamento de autômatos celulares. A análise estabelece uma ponte entre a modelagem epidemiológica e a teoria da computação, onde o mesmo estrutura discreta que descreve a propagação de doenças também codifica portas lógicas, máquinas de registradores e medidas informacionais de complexidade algorítmica. Os resultados ilustram como a mortalidade induzida pela infecção, combinada com a estrutura espacial, altera fundamentalmente a conectividade populacional e a persistência da doença, com implicações para a compreenção tanto do controle epidêmico quanto da emergência de ordem versus caos em sistemas dinâmicos espacialmente estendidos.</w:t>
      </w:r>
    </w:p>
    <w:p w14:paraId="5F6EA131" w14:textId="77777777" w:rsidR="00CC6DBA" w:rsidRPr="00787871" w:rsidRDefault="00CC6DBA" w:rsidP="00CC6DBA">
      <w:pPr>
        <w:spacing w:after="0" w:line="240" w:lineRule="auto"/>
        <w:jc w:val="both"/>
        <w:rPr>
          <w:rFonts w:ascii="Calibri" w:hAnsi="Calibri" w:cs="Calibri"/>
          <w:sz w:val="18"/>
          <w:szCs w:val="18"/>
        </w:rPr>
      </w:pPr>
    </w:p>
    <w:p w14:paraId="2C3B0714" w14:textId="75D4FED7" w:rsidR="00CC6DBA" w:rsidRPr="00787871" w:rsidRDefault="00CC6DBA" w:rsidP="00CC6DBA">
      <w:pPr>
        <w:spacing w:after="0" w:line="240" w:lineRule="auto"/>
        <w:jc w:val="both"/>
        <w:rPr>
          <w:rFonts w:ascii="Calibri" w:hAnsi="Calibri" w:cs="Calibri"/>
          <w:sz w:val="18"/>
          <w:szCs w:val="18"/>
        </w:rPr>
      </w:pPr>
      <w:r w:rsidRPr="00787871">
        <w:rPr>
          <w:rFonts w:ascii="Calibri" w:hAnsi="Calibri" w:cs="Calibri"/>
          <w:b/>
          <w:bCs/>
          <w:sz w:val="18"/>
          <w:szCs w:val="18"/>
        </w:rPr>
        <w:t>Palavras-chave:</w:t>
      </w:r>
      <w:r w:rsidRPr="00787871">
        <w:rPr>
          <w:rFonts w:ascii="Calibri" w:hAnsi="Calibri" w:cs="Calibri"/>
          <w:sz w:val="18"/>
          <w:szCs w:val="18"/>
        </w:rPr>
        <w:t xml:space="preserve"> autômatos celulares, epidemiologia, modelo SI, mortalidade induzida pela infecção, entropia de Shannon, classificação de Wolfram, dinâmica espacial.</w:t>
      </w:r>
    </w:p>
    <w:p w14:paraId="744A2908" w14:textId="77777777" w:rsidR="00CC6DBA" w:rsidRDefault="00CC6DBA" w:rsidP="00CC6DBA">
      <w:pPr>
        <w:spacing w:after="0" w:line="240" w:lineRule="auto"/>
        <w:ind w:right="907"/>
        <w:jc w:val="both"/>
        <w:rPr>
          <w:rFonts w:ascii="Calibri" w:hAnsi="Calibri" w:cs="Calibri"/>
          <w:sz w:val="20"/>
          <w:szCs w:val="20"/>
        </w:rPr>
      </w:pPr>
    </w:p>
    <w:p w14:paraId="2CB00582" w14:textId="1CF4B557" w:rsidR="00CC6DBA" w:rsidRPr="00EC4857" w:rsidRDefault="00CC6DBA" w:rsidP="00E91486">
      <w:pPr>
        <w:pStyle w:val="ListParagraph"/>
        <w:numPr>
          <w:ilvl w:val="0"/>
          <w:numId w:val="3"/>
        </w:numPr>
        <w:spacing w:after="120" w:line="240" w:lineRule="auto"/>
        <w:ind w:left="360"/>
        <w:jc w:val="both"/>
        <w:rPr>
          <w:rFonts w:ascii="Calibri" w:hAnsi="Calibri" w:cs="Calibri"/>
          <w:b/>
          <w:bCs/>
          <w:sz w:val="28"/>
          <w:szCs w:val="28"/>
        </w:rPr>
      </w:pPr>
      <w:r w:rsidRPr="00EC4857">
        <w:rPr>
          <w:rFonts w:ascii="Calibri" w:hAnsi="Calibri" w:cs="Calibri"/>
          <w:b/>
          <w:bCs/>
          <w:sz w:val="28"/>
          <w:szCs w:val="28"/>
        </w:rPr>
        <w:t>Introdução</w:t>
      </w:r>
    </w:p>
    <w:p w14:paraId="6FD5D793" w14:textId="62E2F6EF" w:rsidR="003475E7" w:rsidRPr="00EC4857" w:rsidRDefault="00CC6DBA" w:rsidP="000B4D74">
      <w:pPr>
        <w:spacing w:after="120" w:line="240" w:lineRule="auto"/>
        <w:jc w:val="both"/>
        <w:rPr>
          <w:rFonts w:ascii="Calibri" w:hAnsi="Calibri" w:cs="Calibri"/>
          <w:color w:val="000000"/>
          <w:sz w:val="22"/>
          <w:szCs w:val="22"/>
        </w:rPr>
      </w:pPr>
      <w:r w:rsidRPr="00EC4857">
        <w:rPr>
          <w:rFonts w:ascii="Calibri" w:hAnsi="Calibri" w:cs="Calibri"/>
          <w:b/>
          <w:bCs/>
          <w:sz w:val="22"/>
          <w:szCs w:val="22"/>
        </w:rPr>
        <w:tab/>
      </w:r>
      <w:r w:rsidRPr="00EC4857">
        <w:rPr>
          <w:rFonts w:ascii="Calibri" w:hAnsi="Calibri" w:cs="Calibri"/>
          <w:sz w:val="22"/>
          <w:szCs w:val="22"/>
        </w:rPr>
        <w:t xml:space="preserve">Modelos matemáticos de doenças infecciosas têm, há muito tempo, se apoiado em abordagens comportamentais como as formulações SI, SIR e SEIR, que assumem populações bem-misturadas descritas por sistemas de equações diferenciais ordinárias (ODEs) </w:t>
      </w:r>
      <w:sdt>
        <w:sdtPr>
          <w:rPr>
            <w:rFonts w:ascii="Calibri" w:hAnsi="Calibri" w:cs="Calibri"/>
            <w:color w:val="000000"/>
            <w:sz w:val="22"/>
            <w:szCs w:val="22"/>
          </w:rPr>
          <w:tag w:val="MENDELEY_CITATION_v3_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"/>
          <w:id w:val="1457993539"/>
          <w:placeholder>
            <w:docPart w:val="DefaultPlaceholder_-1854013440"/>
          </w:placeholder>
        </w:sdtPr>
        <w:sdtEndPr/>
        <w:sdtContent>
          <w:r w:rsidR="00641F0C" w:rsidRPr="00641F0C">
            <w:rPr>
              <w:rFonts w:ascii="Calibri" w:hAnsi="Calibri" w:cs="Calibri"/>
              <w:color w:val="000000"/>
              <w:sz w:val="22"/>
              <w:szCs w:val="22"/>
            </w:rPr>
            <w:t>[1], [2], [3]</w:t>
          </w:r>
        </w:sdtContent>
      </w:sdt>
      <w:r w:rsidR="00174072" w:rsidRPr="00EC4857">
        <w:rPr>
          <w:rFonts w:ascii="Calibri" w:hAnsi="Calibri" w:cs="Calibri"/>
          <w:color w:val="000000"/>
          <w:sz w:val="22"/>
          <w:szCs w:val="22"/>
        </w:rPr>
        <w:t>. Uma extensão natural desses modelos incorpora a mortalidade induzida pela doença, na qual indivíduos infectados apresentam uma taxa per capita adicional de morte μ &gt; 0, modificando o número básico de preodução e potencialmente conduzindo a equilíbrios distintos ou à extinção populacional</w:t>
      </w:r>
      <w:r w:rsidR="00F95981" w:rsidRPr="00EC4857">
        <w:rPr>
          <w:rFonts w:ascii="Calibri" w:hAnsi="Calibri" w:cs="Calibri"/>
          <w:color w:val="000000"/>
          <w:sz w:val="22"/>
          <w:szCs w:val="22"/>
        </w:rPr>
        <w:t xml:space="preserve"> </w:t>
      </w:r>
      <w:sdt>
        <w:sdtPr>
          <w:rPr>
            <w:rFonts w:ascii="Calibri" w:hAnsi="Calibri" w:cs="Calibri"/>
            <w:color w:val="000000"/>
            <w:sz w:val="22"/>
            <w:szCs w:val="22"/>
          </w:rPr>
          <w:tag w:val="MENDELEY_CITATION_v3_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"/>
          <w:id w:val="-116687952"/>
          <w:placeholder>
            <w:docPart w:val="DefaultPlaceholder_-1854013440"/>
          </w:placeholder>
        </w:sdtPr>
        <w:sdtEndPr/>
        <w:sdtContent>
          <w:r w:rsidR="00641F0C" w:rsidRPr="00641F0C">
            <w:rPr>
              <w:rFonts w:ascii="Calibri" w:hAnsi="Calibri" w:cs="Calibri"/>
              <w:color w:val="000000"/>
              <w:sz w:val="22"/>
              <w:szCs w:val="22"/>
            </w:rPr>
            <w:t>[4], [5], [6]</w:t>
          </w:r>
        </w:sdtContent>
      </w:sdt>
      <w:r w:rsidR="00174072" w:rsidRPr="00EC4857">
        <w:rPr>
          <w:rFonts w:ascii="Calibri" w:hAnsi="Calibri" w:cs="Calibri"/>
          <w:color w:val="000000"/>
          <w:sz w:val="22"/>
          <w:szCs w:val="22"/>
        </w:rPr>
        <w:t>. Em contextos epidemiológicos, a mortalidade induzida pela infecção é crucial para doenças com taxas significativas de letalidade, como a COVID-19, a influenza e diversas infecções zoonóticas</w:t>
      </w:r>
      <w:r w:rsidR="00E93F80" w:rsidRPr="00EC4857">
        <w:rPr>
          <w:rFonts w:ascii="Calibri" w:hAnsi="Calibri" w:cs="Calibri"/>
          <w:color w:val="000000"/>
          <w:sz w:val="22"/>
          <w:szCs w:val="22"/>
        </w:rPr>
        <w:t xml:space="preserve"> </w:t>
      </w:r>
      <w:sdt>
        <w:sdtPr>
          <w:rPr>
            <w:rFonts w:ascii="Calibri" w:hAnsi="Calibri" w:cs="Calibri"/>
            <w:color w:val="000000"/>
            <w:sz w:val="22"/>
            <w:szCs w:val="22"/>
          </w:rPr>
          <w:tag w:val="MENDELEY_CITATION_v3_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"/>
          <w:id w:val="-1293665564"/>
          <w:placeholder>
            <w:docPart w:val="DefaultPlaceholder_-1854013440"/>
          </w:placeholder>
        </w:sdtPr>
        <w:sdtEndPr/>
        <w:sdtContent>
          <w:r w:rsidR="00641F0C" w:rsidRPr="00641F0C">
            <w:rPr>
              <w:rFonts w:ascii="Calibri" w:hAnsi="Calibri" w:cs="Calibri"/>
              <w:color w:val="000000"/>
              <w:sz w:val="22"/>
              <w:szCs w:val="22"/>
            </w:rPr>
            <w:t>[7]</w:t>
          </w:r>
        </w:sdtContent>
      </w:sdt>
      <w:r w:rsidR="00174072" w:rsidRPr="00EC4857">
        <w:rPr>
          <w:rFonts w:ascii="Calibri" w:hAnsi="Calibri" w:cs="Calibri"/>
          <w:color w:val="000000"/>
          <w:sz w:val="22"/>
          <w:szCs w:val="22"/>
        </w:rPr>
        <w:t>.</w:t>
      </w:r>
    </w:p>
    <w:p w14:paraId="34C84902" w14:textId="657769DA" w:rsidR="003475E7" w:rsidRPr="00EC4857" w:rsidRDefault="003475E7" w:rsidP="000B4D74">
      <w:pPr>
        <w:spacing w:after="120" w:line="240" w:lineRule="auto"/>
        <w:jc w:val="both"/>
        <w:rPr>
          <w:rFonts w:ascii="Calibri" w:hAnsi="Calibri" w:cs="Calibri"/>
          <w:color w:val="000000"/>
          <w:sz w:val="22"/>
          <w:szCs w:val="22"/>
        </w:rPr>
      </w:pPr>
      <w:r w:rsidRPr="00EC4857">
        <w:rPr>
          <w:rFonts w:ascii="Calibri" w:hAnsi="Calibri" w:cs="Calibri"/>
          <w:color w:val="000000"/>
          <w:sz w:val="22"/>
          <w:szCs w:val="22"/>
        </w:rPr>
        <w:tab/>
        <w:t>Entretanto, modelos compartimentais baseados em ODEs negligenciam a heterogeneidade espacial, as interações locais e o papel da geografia na determinação de conclusões epidêmicas. Populações reais não são uniformimente misturadas; os indivíduos interagem com um conjunto finito de vizinhos, a transmissão depende da distância, e a disposição espacial de indivíduos suscetíveis e infectados influenciam profundamente a propagação da doença</w:t>
      </w:r>
      <w:r w:rsidR="00FB3D8A" w:rsidRPr="00EC4857">
        <w:rPr>
          <w:rFonts w:ascii="Calibri" w:hAnsi="Calibri" w:cs="Calibri"/>
          <w:color w:val="000000"/>
          <w:sz w:val="22"/>
          <w:szCs w:val="22"/>
        </w:rPr>
        <w:t xml:space="preserve"> </w:t>
      </w:r>
      <w:sdt>
        <w:sdtPr>
          <w:rPr>
            <w:rFonts w:ascii="Calibri" w:hAnsi="Calibri" w:cs="Calibri"/>
            <w:color w:val="000000"/>
            <w:sz w:val="22"/>
            <w:szCs w:val="22"/>
          </w:rPr>
          <w:tag w:val="MENDELEY_CITATION_v3_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"/>
          <w:id w:val="-170564910"/>
          <w:placeholder>
            <w:docPart w:val="DefaultPlaceholder_-1854013440"/>
          </w:placeholder>
        </w:sdtPr>
        <w:sdtEndPr/>
        <w:sdtContent>
          <w:r w:rsidR="00641F0C" w:rsidRPr="00641F0C">
            <w:rPr>
              <w:rFonts w:ascii="Calibri" w:hAnsi="Calibri" w:cs="Calibri"/>
              <w:color w:val="000000"/>
              <w:sz w:val="22"/>
              <w:szCs w:val="22"/>
            </w:rPr>
            <w:t>[8]</w:t>
          </w:r>
        </w:sdtContent>
      </w:sdt>
      <w:r w:rsidRPr="00EC4857">
        <w:rPr>
          <w:rFonts w:ascii="Calibri" w:hAnsi="Calibri" w:cs="Calibri"/>
          <w:color w:val="000000"/>
          <w:sz w:val="22"/>
          <w:szCs w:val="22"/>
        </w:rPr>
        <w:t>. Ao longo das últimas duas décadas, os autômatos celulares (CA) emergiram como uma estrutura natural e computacionalmente eficiente para a modelagem de epidemias espacialmente explícitas</w:t>
      </w:r>
      <w:r w:rsidR="00712522" w:rsidRPr="00EC4857">
        <w:rPr>
          <w:rFonts w:ascii="Calibri" w:hAnsi="Calibri" w:cs="Calibri"/>
          <w:color w:val="000000"/>
          <w:sz w:val="22"/>
          <w:szCs w:val="22"/>
        </w:rPr>
        <w:t xml:space="preserve"> </w:t>
      </w:r>
      <w:sdt>
        <w:sdtPr>
          <w:rPr>
            <w:rFonts w:ascii="Calibri" w:hAnsi="Calibri" w:cs="Calibri"/>
            <w:color w:val="000000"/>
            <w:sz w:val="22"/>
            <w:szCs w:val="22"/>
          </w:rPr>
          <w:tag w:val="MENDELEY_CITATION_v3_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"/>
          <w:id w:val="624200037"/>
          <w:placeholder>
            <w:docPart w:val="DefaultPlaceholder_-1854013440"/>
          </w:placeholder>
        </w:sdtPr>
        <w:sdtEndPr/>
        <w:sdtContent>
          <w:r w:rsidR="00641F0C" w:rsidRPr="00641F0C">
            <w:rPr>
              <w:rFonts w:ascii="Calibri" w:hAnsi="Calibri" w:cs="Calibri"/>
              <w:color w:val="000000"/>
              <w:sz w:val="22"/>
              <w:szCs w:val="22"/>
            </w:rPr>
            <w:t>[9], [10]</w:t>
          </w:r>
        </w:sdtContent>
      </w:sdt>
      <w:r w:rsidR="00FB3D8A" w:rsidRPr="00EC4857">
        <w:rPr>
          <w:rFonts w:ascii="Calibri" w:hAnsi="Calibri" w:cs="Calibri"/>
          <w:color w:val="000000"/>
          <w:sz w:val="22"/>
          <w:szCs w:val="22"/>
        </w:rPr>
        <w:t>.</w:t>
      </w:r>
      <w:r w:rsidR="00F14105" w:rsidRPr="00EC4857">
        <w:rPr>
          <w:rFonts w:ascii="Calibri" w:hAnsi="Calibri" w:cs="Calibri"/>
          <w:color w:val="000000"/>
          <w:sz w:val="22"/>
          <w:szCs w:val="22"/>
        </w:rPr>
        <w:t xml:space="preserve"> Em modelos epidêmicos baseados em CA, cada célula de uma grade representa um indivíduo, e regras locais de transição codificam a probabilidade de infecção com base no estado das células vizinhas. Apesar de sua simplicidade, tais modelos podem produzir fenômetos espaciais ricos, como frentes epidêmicas, manchas </w:t>
      </w:r>
      <w:r w:rsidR="00F14105" w:rsidRPr="00EC4857">
        <w:rPr>
          <w:rFonts w:ascii="Calibri" w:hAnsi="Calibri" w:cs="Calibri"/>
          <w:color w:val="000000"/>
          <w:sz w:val="22"/>
          <w:szCs w:val="22"/>
        </w:rPr>
        <w:lastRenderedPageBreak/>
        <w:t>persistentes e dinâmicas complexas de extinção, que refletem características realistas da disseminação de doenças.</w:t>
      </w:r>
    </w:p>
    <w:p w14:paraId="203AFD86" w14:textId="2035D95B" w:rsidR="00F14105" w:rsidRPr="00EC4857" w:rsidRDefault="00F14105" w:rsidP="000B4D74">
      <w:pPr>
        <w:spacing w:after="120" w:line="240" w:lineRule="auto"/>
        <w:jc w:val="both"/>
        <w:rPr>
          <w:rFonts w:ascii="Calibri" w:hAnsi="Calibri" w:cs="Calibri"/>
          <w:color w:val="000000"/>
          <w:sz w:val="22"/>
          <w:szCs w:val="22"/>
        </w:rPr>
      </w:pPr>
      <w:r w:rsidRPr="00EC4857">
        <w:rPr>
          <w:rFonts w:ascii="Calibri" w:hAnsi="Calibri" w:cs="Calibri"/>
          <w:color w:val="000000"/>
          <w:sz w:val="22"/>
          <w:szCs w:val="22"/>
        </w:rPr>
        <w:tab/>
        <w:t>Para além de sua utilidade epidemiológica, os autômatos celulares possuem relevância profunda na teoria da computação e na ciência da informação. Autômatos celulares elementares podem ser universais de Turin</w:t>
      </w:r>
      <w:r w:rsidR="00FB3D8A" w:rsidRPr="00EC4857">
        <w:rPr>
          <w:rFonts w:ascii="Calibri" w:hAnsi="Calibri" w:cs="Calibri"/>
          <w:color w:val="000000"/>
          <w:sz w:val="22"/>
          <w:szCs w:val="22"/>
        </w:rPr>
        <w:t>g</w:t>
      </w:r>
      <w:r w:rsidR="00712522" w:rsidRPr="00EC4857">
        <w:rPr>
          <w:rFonts w:ascii="Calibri" w:hAnsi="Calibri" w:cs="Calibri"/>
          <w:color w:val="000000"/>
          <w:sz w:val="22"/>
          <w:szCs w:val="22"/>
        </w:rPr>
        <w:t xml:space="preserve"> </w:t>
      </w:r>
      <w:sdt>
        <w:sdtPr>
          <w:rPr>
            <w:rFonts w:ascii="Calibri" w:hAnsi="Calibri" w:cs="Calibri"/>
            <w:color w:val="000000"/>
            <w:sz w:val="22"/>
            <w:szCs w:val="22"/>
          </w:rPr>
          <w:tag w:val="MENDELEY_CITATION_v3_eyJjaXRhdGlvbklEIjoiTUVOREVMRVlfQ0lUQVRJT05fYzAzOWViNDItNzZjZS00NmY5LWJmZjMtYTJmYmM1NGVjMDg0IiwicHJvcGVydGllcyI6eyJub3RlSW5kZXgiOjB9LCJpc0VkaXRlZCI6ZmFsc2UsIm1hbnVhbE92ZXJyaWRlIjp7ImlzTWFudWFsbHlPdmVycmlkZGVuIjpmYWxzZSwiY2l0ZXByb2NUZXh0IjoiWzEx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LCJzdXBwcmVzcy1hdXRob3IiOmZhbHNlLCJjb21wb3NpdGUiOmZhbHNlLCJhdXRob3Itb25seSI6ZmFsc2V9XX0="/>
          <w:id w:val="749014806"/>
          <w:placeholder>
            <w:docPart w:val="DefaultPlaceholder_-1854013440"/>
          </w:placeholder>
        </w:sdtPr>
        <w:sdtEndPr/>
        <w:sdtContent>
          <w:r w:rsidR="00641F0C" w:rsidRPr="00641F0C">
            <w:rPr>
              <w:rFonts w:ascii="Calibri" w:hAnsi="Calibri" w:cs="Calibri"/>
              <w:color w:val="000000"/>
              <w:sz w:val="22"/>
              <w:szCs w:val="22"/>
            </w:rPr>
            <w:t>[11]</w:t>
          </w:r>
        </w:sdtContent>
      </w:sdt>
      <w:r w:rsidR="00712522" w:rsidRPr="00EC4857">
        <w:rPr>
          <w:rFonts w:ascii="Calibri" w:hAnsi="Calibri" w:cs="Calibri"/>
          <w:color w:val="000000"/>
          <w:sz w:val="22"/>
          <w:szCs w:val="22"/>
        </w:rPr>
        <w:t>, s</w:t>
      </w:r>
      <w:r w:rsidR="00D576D0" w:rsidRPr="00EC4857">
        <w:rPr>
          <w:rFonts w:ascii="Calibri" w:hAnsi="Calibri" w:cs="Calibri"/>
          <w:color w:val="000000"/>
          <w:sz w:val="22"/>
          <w:szCs w:val="22"/>
        </w:rPr>
        <w:t>ugerindo que regras locais simples são capazes de gerar comportamentos arbitrariamente complexos. A classificação de Wolfram divide os CA em quatro classes com base no comportamento assintótico</w:t>
      </w:r>
      <w:r w:rsidR="00B74057" w:rsidRPr="00EC4857">
        <w:rPr>
          <w:rFonts w:ascii="Calibri" w:hAnsi="Calibri" w:cs="Calibri"/>
          <w:color w:val="000000"/>
          <w:sz w:val="22"/>
          <w:szCs w:val="22"/>
        </w:rPr>
        <w:t>: Classe 1 (pontos fixos) Classe 2 (periódico), Classe 3 (caótico) e classe 4 (complexo)</w:t>
      </w:r>
      <w:r w:rsidR="00800F5C" w:rsidRPr="00EC4857">
        <w:rPr>
          <w:rFonts w:ascii="Calibri" w:hAnsi="Calibri" w:cs="Calibri"/>
          <w:color w:val="000000"/>
          <w:sz w:val="22"/>
          <w:szCs w:val="22"/>
        </w:rPr>
        <w:t xml:space="preserve"> </w:t>
      </w:r>
      <w:sdt>
        <w:sdtPr>
          <w:rPr>
            <w:rFonts w:ascii="Calibri" w:hAnsi="Calibri" w:cs="Calibri"/>
            <w:color w:val="000000"/>
            <w:sz w:val="22"/>
            <w:szCs w:val="22"/>
          </w:rPr>
          <w:tag w:val="MENDELEY_CITATION_v3_eyJjaXRhdGlvbklEIjoiTUVOREVMRVlfQ0lUQVRJT05fZDFiMzY2MDQtYzQ0OS00OTk1LThkNWEtZjNmMWY5YTc3NTI1IiwicHJvcGVydGllcyI6eyJub3RlSW5kZXgiOjB9LCJpc0VkaXRlZCI6ZmFsc2UsIm1hbnVhbE92ZXJyaWRlIjp7ImlzTWFudWFsbHlPdmVycmlkZGVuIjpmYWxzZSwiY2l0ZXByb2NUZXh0IjoiWzEx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LCJzdXBwcmVzcy1hdXRob3IiOmZhbHNlLCJjb21wb3NpdGUiOmZhbHNlLCJhdXRob3Itb25seSI6ZmFsc2V9XX0="/>
          <w:id w:val="-1185129265"/>
          <w:placeholder>
            <w:docPart w:val="DefaultPlaceholder_-1854013440"/>
          </w:placeholder>
        </w:sdtPr>
        <w:sdtEndPr/>
        <w:sdtContent>
          <w:r w:rsidR="00641F0C" w:rsidRPr="00641F0C">
            <w:rPr>
              <w:rFonts w:ascii="Calibri" w:hAnsi="Calibri" w:cs="Calibri"/>
              <w:color w:val="000000"/>
              <w:sz w:val="22"/>
              <w:szCs w:val="22"/>
            </w:rPr>
            <w:t>[11]</w:t>
          </w:r>
        </w:sdtContent>
      </w:sdt>
      <w:r w:rsidR="00EC0A4E" w:rsidRPr="00EC4857">
        <w:rPr>
          <w:rFonts w:ascii="Calibri" w:hAnsi="Calibri" w:cs="Calibri"/>
          <w:color w:val="000000"/>
          <w:sz w:val="22"/>
          <w:szCs w:val="22"/>
        </w:rPr>
        <w:t>. A relação entre a dinâmica dos CA e medidas da teoria da informação, como a entropia de Shannon</w:t>
      </w:r>
      <w:r w:rsidR="004D5ED2" w:rsidRPr="00EC4857">
        <w:rPr>
          <w:rFonts w:ascii="Calibri" w:hAnsi="Calibri" w:cs="Calibri"/>
          <w:color w:val="000000"/>
          <w:sz w:val="22"/>
          <w:szCs w:val="22"/>
        </w:rPr>
        <w:t xml:space="preserve"> e a complexidade de Kolmogorov, permanece uma fronteira ativa de pesquisa</w:t>
      </w:r>
      <w:r w:rsidR="00411FB2" w:rsidRPr="00EC4857">
        <w:rPr>
          <w:rFonts w:ascii="Calibri" w:hAnsi="Calibri" w:cs="Calibri"/>
          <w:color w:val="000000"/>
          <w:sz w:val="22"/>
          <w:szCs w:val="22"/>
        </w:rPr>
        <w:t>. Em particular</w:t>
      </w:r>
      <w:r w:rsidR="006E79E5" w:rsidRPr="00EC4857">
        <w:rPr>
          <w:rFonts w:ascii="Calibri" w:hAnsi="Calibri" w:cs="Calibri"/>
          <w:color w:val="000000"/>
          <w:sz w:val="22"/>
          <w:szCs w:val="22"/>
        </w:rPr>
        <w:t>, medidas de complexidade algorítmica e de compressibilidade têm sido utilizadas para caracterizar o “conteúdo informacional” de configurações de CA</w:t>
      </w:r>
      <w:r w:rsidR="00406B4C" w:rsidRPr="00EC4857">
        <w:rPr>
          <w:rFonts w:ascii="Calibri" w:hAnsi="Calibri" w:cs="Calibri"/>
          <w:color w:val="000000"/>
          <w:sz w:val="22"/>
          <w:szCs w:val="22"/>
        </w:rPr>
        <w:t xml:space="preserve">, relacionando aleatoriedade, formação de padrões e universalidade computacional </w:t>
      </w:r>
      <w:sdt>
        <w:sdtPr>
          <w:rPr>
            <w:rFonts w:ascii="Calibri" w:hAnsi="Calibri" w:cs="Calibri"/>
            <w:color w:val="000000"/>
            <w:sz w:val="22"/>
            <w:szCs w:val="22"/>
          </w:rPr>
          <w:tag w:val="MENDELEY_CITATION_v3_eyJjaXRhdGlvbklEIjoiTUVOREVMRVlfQ0lUQVRJT05fZWIwNjQ5YzctOTAzZS00YTk5LTg4ZTUtNzdlOWEyNDUzODhjIiwicHJvcGVydGllcyI6eyJub3RlSW5kZXgiOjB9LCJpc0VkaXRlZCI6ZmFsc2UsIm1hbnVhbE92ZXJyaWRlIjp7ImlzTWFudWFsbHlPdmVycmlkZGVuIjpmYWxzZSwiY2l0ZXByb2NUZXh0IjoiWzExXSwgWzEy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"/>
          <w:id w:val="549588142"/>
          <w:placeholder>
            <w:docPart w:val="46050E336F7144F1BE542086C1B76262"/>
          </w:placeholder>
        </w:sdtPr>
        <w:sdtEndPr/>
        <w:sdtContent>
          <w:r w:rsidR="00641F0C" w:rsidRPr="00641F0C">
            <w:rPr>
              <w:rFonts w:ascii="Calibri" w:hAnsi="Calibri" w:cs="Calibri"/>
              <w:color w:val="000000"/>
              <w:sz w:val="22"/>
              <w:szCs w:val="22"/>
            </w:rPr>
            <w:t>[11], [12]</w:t>
          </w:r>
        </w:sdtContent>
      </w:sdt>
      <w:r w:rsidR="00406B4C" w:rsidRPr="00EC4857">
        <w:rPr>
          <w:rFonts w:ascii="Calibri" w:hAnsi="Calibri" w:cs="Calibri"/>
          <w:color w:val="000000"/>
          <w:sz w:val="22"/>
          <w:szCs w:val="22"/>
        </w:rPr>
        <w:t>.</w:t>
      </w:r>
    </w:p>
    <w:p w14:paraId="2AD507F7" w14:textId="302EBC16" w:rsidR="00406B4C" w:rsidRPr="00EC4857" w:rsidRDefault="00406B4C" w:rsidP="000B4D74">
      <w:pPr>
        <w:spacing w:after="120" w:line="240" w:lineRule="auto"/>
        <w:jc w:val="both"/>
        <w:rPr>
          <w:rFonts w:ascii="Calibri" w:hAnsi="Calibri" w:cs="Calibri"/>
          <w:color w:val="000000"/>
          <w:sz w:val="22"/>
          <w:szCs w:val="22"/>
        </w:rPr>
      </w:pPr>
      <w:r w:rsidRPr="00EC4857">
        <w:rPr>
          <w:rFonts w:ascii="Calibri" w:hAnsi="Calibri" w:cs="Calibri"/>
          <w:color w:val="000000"/>
          <w:sz w:val="22"/>
          <w:szCs w:val="22"/>
        </w:rPr>
        <w:tab/>
        <w:t xml:space="preserve">O presente estudo </w:t>
      </w:r>
      <w:r w:rsidR="00741B3F" w:rsidRPr="00EC4857">
        <w:rPr>
          <w:rFonts w:ascii="Calibri" w:hAnsi="Calibri" w:cs="Calibri"/>
          <w:color w:val="000000"/>
          <w:sz w:val="22"/>
          <w:szCs w:val="22"/>
        </w:rPr>
        <w:t>explora uma ponte entre esses dois dom</w:t>
      </w:r>
      <w:r w:rsidR="000D14B4" w:rsidRPr="00EC4857">
        <w:rPr>
          <w:rFonts w:ascii="Calibri" w:hAnsi="Calibri" w:cs="Calibri"/>
          <w:color w:val="000000"/>
          <w:sz w:val="22"/>
          <w:szCs w:val="22"/>
        </w:rPr>
        <w:t>ínios, a epidemiologia e a teoria da computação, por meio da implementação de um modelo de SI com mortalidade induzida pela infecção como um CA estocástico. Em vez de apenas agregar indicadores macroscópicos, como prevalência e mortes cumulativas, analisamos os padrões espaciais gerados pelo autômato e quantidicamos sua complexidade por meio da entropia de Shannon. A hipótese central é que a taxa de mortalidade</w:t>
      </w:r>
      <w:r w:rsidR="00101DB1" w:rsidRPr="00EC4857">
        <w:rPr>
          <w:rFonts w:ascii="Calibri" w:hAnsi="Calibri" w:cs="Calibri"/>
          <w:color w:val="000000"/>
          <w:sz w:val="22"/>
          <w:szCs w:val="22"/>
        </w:rPr>
        <w:t xml:space="preserve"> ρ atua como um parâmetro de controle que desloca o CA entre regimes distintos de ordem, caracterizados por baixa entropia e configurações homogêneas, e de complexidade, associados a alta entropia e padrões heterogêneos. Nesse sentido, o mesmo modelo cumpre simultaneamente três propósitos.</w:t>
      </w:r>
    </w:p>
    <w:p w14:paraId="2B42BDD9" w14:textId="21D7D0B1" w:rsidR="00BE5B2E" w:rsidRPr="00EC4857" w:rsidRDefault="00BE5B2E" w:rsidP="00BE5B2E">
      <w:pPr>
        <w:pStyle w:val="ListParagraph"/>
        <w:numPr>
          <w:ilvl w:val="0"/>
          <w:numId w:val="1"/>
        </w:numPr>
        <w:spacing w:after="240" w:line="240" w:lineRule="auto"/>
        <w:jc w:val="both"/>
        <w:rPr>
          <w:rFonts w:ascii="Calibri" w:hAnsi="Calibri" w:cs="Calibri"/>
          <w:color w:val="000000"/>
          <w:sz w:val="22"/>
          <w:szCs w:val="22"/>
        </w:rPr>
      </w:pPr>
      <w:r w:rsidRPr="00EC4857">
        <w:rPr>
          <w:rFonts w:ascii="Calibri" w:hAnsi="Calibri" w:cs="Calibri"/>
          <w:color w:val="000000"/>
          <w:sz w:val="22"/>
          <w:szCs w:val="22"/>
        </w:rPr>
        <w:t>Epidemiol</w:t>
      </w:r>
      <w:r w:rsidR="00952202" w:rsidRPr="00EC4857">
        <w:rPr>
          <w:rFonts w:ascii="Calibri" w:hAnsi="Calibri" w:cs="Calibri"/>
          <w:color w:val="000000"/>
          <w:sz w:val="22"/>
          <w:szCs w:val="22"/>
        </w:rPr>
        <w:t>ógico: compreender como a estrutura espacial e a mortalidade induzida pela infecção alteram a persistência epidêmica e o colapso populacional;</w:t>
      </w:r>
    </w:p>
    <w:p w14:paraId="66A40231" w14:textId="0FF614D3" w:rsidR="00952202" w:rsidRPr="00EC4857" w:rsidRDefault="00952202" w:rsidP="00BE5B2E">
      <w:pPr>
        <w:pStyle w:val="ListParagraph"/>
        <w:numPr>
          <w:ilvl w:val="0"/>
          <w:numId w:val="1"/>
        </w:numPr>
        <w:spacing w:after="240" w:line="240" w:lineRule="auto"/>
        <w:jc w:val="both"/>
        <w:rPr>
          <w:rFonts w:ascii="Calibri" w:hAnsi="Calibri" w:cs="Calibri"/>
          <w:color w:val="000000"/>
          <w:sz w:val="22"/>
          <w:szCs w:val="22"/>
        </w:rPr>
      </w:pPr>
      <w:r w:rsidRPr="00EC4857">
        <w:rPr>
          <w:rFonts w:ascii="Calibri" w:hAnsi="Calibri" w:cs="Calibri"/>
          <w:color w:val="000000"/>
          <w:sz w:val="22"/>
          <w:szCs w:val="22"/>
        </w:rPr>
        <w:t>Computacional: demonstrar como parâmetros biológicos podem controlar a dinâmica emergente de um sistema de computação distribu</w:t>
      </w:r>
      <w:r w:rsidR="004C4556" w:rsidRPr="00EC4857">
        <w:rPr>
          <w:rFonts w:ascii="Calibri" w:hAnsi="Calibri" w:cs="Calibri"/>
          <w:color w:val="000000"/>
          <w:sz w:val="22"/>
          <w:szCs w:val="22"/>
        </w:rPr>
        <w:t>ído;</w:t>
      </w:r>
    </w:p>
    <w:p w14:paraId="2EFB058B" w14:textId="78BAA600" w:rsidR="004C4556" w:rsidRDefault="004C4556" w:rsidP="000B4D74">
      <w:pPr>
        <w:pStyle w:val="ListParagraph"/>
        <w:numPr>
          <w:ilvl w:val="0"/>
          <w:numId w:val="1"/>
        </w:numPr>
        <w:spacing w:after="240" w:line="240" w:lineRule="auto"/>
        <w:jc w:val="both"/>
        <w:rPr>
          <w:rFonts w:ascii="Calibri" w:hAnsi="Calibri" w:cs="Calibri"/>
          <w:color w:val="000000"/>
          <w:sz w:val="22"/>
          <w:szCs w:val="22"/>
        </w:rPr>
      </w:pPr>
      <w:r w:rsidRPr="00EC4857">
        <w:rPr>
          <w:rFonts w:ascii="Calibri" w:hAnsi="Calibri" w:cs="Calibri"/>
          <w:color w:val="000000"/>
          <w:sz w:val="22"/>
          <w:szCs w:val="22"/>
        </w:rPr>
        <w:t>Informacional: demonstrar como medidas de entropia e complexidade provenientes da física e da ciência da computação se aplicam a dinâmicas biológicas.</w:t>
      </w:r>
    </w:p>
    <w:p w14:paraId="5A022979" w14:textId="77777777" w:rsidR="000B4D74" w:rsidRPr="00EC4857" w:rsidRDefault="000B4D74" w:rsidP="000B4D74">
      <w:pPr>
        <w:pStyle w:val="ListParagraph"/>
        <w:spacing w:after="240" w:line="240" w:lineRule="auto"/>
        <w:jc w:val="both"/>
        <w:rPr>
          <w:rFonts w:ascii="Calibri" w:hAnsi="Calibri" w:cs="Calibri"/>
          <w:color w:val="000000"/>
          <w:sz w:val="22"/>
          <w:szCs w:val="22"/>
        </w:rPr>
      </w:pPr>
    </w:p>
    <w:p w14:paraId="4F8E7FB3" w14:textId="304EC7B9" w:rsidR="004C4556" w:rsidRPr="00EC4857" w:rsidRDefault="004C4556" w:rsidP="000B4D74">
      <w:pPr>
        <w:pStyle w:val="ListParagraph"/>
        <w:numPr>
          <w:ilvl w:val="0"/>
          <w:numId w:val="3"/>
        </w:numPr>
        <w:spacing w:before="240" w:after="0" w:line="240" w:lineRule="auto"/>
        <w:ind w:left="360"/>
        <w:jc w:val="both"/>
        <w:rPr>
          <w:rFonts w:ascii="Calibri" w:hAnsi="Calibri" w:cs="Calibri"/>
          <w:b/>
          <w:bCs/>
          <w:color w:val="000000"/>
          <w:sz w:val="28"/>
          <w:szCs w:val="28"/>
        </w:rPr>
      </w:pPr>
      <w:r w:rsidRPr="00EC4857">
        <w:rPr>
          <w:rFonts w:ascii="Calibri" w:hAnsi="Calibri" w:cs="Calibri"/>
          <w:b/>
          <w:bCs/>
          <w:color w:val="000000"/>
          <w:sz w:val="28"/>
          <w:szCs w:val="28"/>
        </w:rPr>
        <w:t>Método</w:t>
      </w:r>
    </w:p>
    <w:p w14:paraId="34A0091C" w14:textId="0B83B7B5" w:rsidR="004C4556" w:rsidRPr="00E91486" w:rsidRDefault="00F85FF5" w:rsidP="000B4D74">
      <w:pPr>
        <w:pStyle w:val="ListParagraph"/>
        <w:numPr>
          <w:ilvl w:val="1"/>
          <w:numId w:val="3"/>
        </w:numPr>
        <w:spacing w:after="0" w:line="240" w:lineRule="auto"/>
        <w:ind w:left="833"/>
        <w:jc w:val="both"/>
        <w:rPr>
          <w:rFonts w:ascii="Calibri" w:hAnsi="Calibri" w:cs="Calibri"/>
          <w:b/>
          <w:bCs/>
          <w:color w:val="000000"/>
        </w:rPr>
      </w:pPr>
      <w:r w:rsidRPr="00E91486">
        <w:rPr>
          <w:rFonts w:ascii="Calibri" w:hAnsi="Calibri" w:cs="Calibri"/>
          <w:b/>
          <w:bCs/>
          <w:color w:val="000000"/>
        </w:rPr>
        <w:t>Modelo matemático e Espaço de Estado Discreto</w:t>
      </w:r>
    </w:p>
    <w:p w14:paraId="4E3B20E5" w14:textId="77777777" w:rsidR="00DE0717" w:rsidRPr="00EC4857" w:rsidRDefault="003659C4" w:rsidP="004C4556">
      <w:pPr>
        <w:spacing w:after="240" w:line="240" w:lineRule="auto"/>
        <w:jc w:val="both"/>
        <w:rPr>
          <w:rFonts w:ascii="Calibri" w:hAnsi="Calibri" w:cs="Calibri"/>
          <w:color w:val="000000"/>
          <w:sz w:val="22"/>
          <w:szCs w:val="22"/>
        </w:rPr>
      </w:pPr>
      <w:r w:rsidRPr="00EC4857">
        <w:rPr>
          <w:rFonts w:ascii="Calibri" w:hAnsi="Calibri" w:cs="Calibri"/>
          <w:color w:val="000000"/>
          <w:sz w:val="22"/>
          <w:szCs w:val="22"/>
        </w:rPr>
        <w:t>O autômato celular é definido sobre uma grade bi</w:t>
      </w:r>
      <w:r w:rsidR="00F10034" w:rsidRPr="00EC4857">
        <w:rPr>
          <w:rFonts w:ascii="Calibri" w:hAnsi="Calibri" w:cs="Calibri"/>
          <w:color w:val="000000"/>
          <w:sz w:val="22"/>
          <w:szCs w:val="22"/>
        </w:rPr>
        <w:t>dimensional de tamanho</w:t>
      </w:r>
      <w:r w:rsidR="00EE13B0" w:rsidRPr="00EC4857">
        <w:rPr>
          <w:rFonts w:ascii="Calibri" w:hAnsi="Calibri" w:cs="Calibri"/>
          <w:color w:val="000000"/>
          <w:sz w:val="22"/>
          <w:szCs w:val="22"/>
        </w:rPr>
        <w:t xml:space="preserve"> </w:t>
      </w:r>
      <m:oMath>
        <m:r>
          <m:rPr>
            <m:sty m:val="p"/>
          </m:rPr>
          <w:rPr>
            <w:rFonts w:ascii="Cambria Math" w:hAnsi="Cambria Math" w:cs="Calibri"/>
            <w:color w:val="000000"/>
            <w:sz w:val="22"/>
            <w:szCs w:val="22"/>
          </w:rPr>
          <m:t>L x L</m:t>
        </m:r>
      </m:oMath>
      <w:r w:rsidR="00EE13B0" w:rsidRPr="00EC4857">
        <w:rPr>
          <w:rFonts w:ascii="Calibri" w:hAnsi="Calibri" w:cs="Calibri"/>
          <w:color w:val="000000"/>
          <w:sz w:val="22"/>
          <w:szCs w:val="22"/>
        </w:rPr>
        <w:t xml:space="preserve">, </w:t>
      </w:r>
      <w:r w:rsidR="00C969FB" w:rsidRPr="00EC4857">
        <w:rPr>
          <w:rFonts w:ascii="Calibri" w:hAnsi="Calibri" w:cs="Calibri"/>
          <w:color w:val="000000"/>
          <w:sz w:val="22"/>
          <w:szCs w:val="22"/>
        </w:rPr>
        <w:t>na qual cada élula evolui de acordo com regras com regras locais estocásticas. Empregamos 3 estados</w:t>
      </w:r>
      <w:r w:rsidR="00DE0717" w:rsidRPr="00EC4857">
        <w:rPr>
          <w:rFonts w:ascii="Calibri" w:hAnsi="Calibri" w:cs="Calibri"/>
          <w:color w:val="000000"/>
          <w:sz w:val="22"/>
          <w:szCs w:val="22"/>
        </w:rPr>
        <w:t>:</w:t>
      </w:r>
    </w:p>
    <w:p w14:paraId="128997DB" w14:textId="77777777" w:rsidR="00DE0717" w:rsidRPr="00EC4857" w:rsidRDefault="00DE0717" w:rsidP="00DE0717">
      <w:pPr>
        <w:pStyle w:val="ListParagraph"/>
        <w:numPr>
          <w:ilvl w:val="0"/>
          <w:numId w:val="2"/>
        </w:numPr>
        <w:spacing w:after="240" w:line="240" w:lineRule="auto"/>
        <w:jc w:val="both"/>
        <w:rPr>
          <w:rFonts w:ascii="Calibri" w:eastAsiaTheme="minorEastAsia" w:hAnsi="Calibri" w:cs="Calibri"/>
          <w:color w:val="000000"/>
          <w:sz w:val="22"/>
          <w:szCs w:val="22"/>
        </w:rPr>
      </w:pPr>
      <w:r w:rsidRPr="00EC4857">
        <w:rPr>
          <w:rFonts w:ascii="Calibri" w:hAnsi="Calibri" w:cs="Calibri"/>
          <w:b/>
          <w:bCs/>
          <w:color w:val="000000"/>
          <w:sz w:val="22"/>
          <w:szCs w:val="22"/>
        </w:rPr>
        <w:t>S (Susceptible)</w:t>
      </w:r>
      <w:r w:rsidRPr="00EC4857">
        <w:rPr>
          <w:rFonts w:ascii="Calibri" w:hAnsi="Calibri" w:cs="Calibri"/>
          <w:color w:val="000000"/>
          <w:sz w:val="22"/>
          <w:szCs w:val="22"/>
        </w:rPr>
        <w:t xml:space="preserve"> = 1</w:t>
      </w:r>
    </w:p>
    <w:p w14:paraId="6483B300" w14:textId="77777777" w:rsidR="00DE0717" w:rsidRPr="00EC4857" w:rsidRDefault="00DE0717" w:rsidP="00DE0717">
      <w:pPr>
        <w:pStyle w:val="ListParagraph"/>
        <w:numPr>
          <w:ilvl w:val="0"/>
          <w:numId w:val="2"/>
        </w:numPr>
        <w:spacing w:after="240" w:line="240" w:lineRule="auto"/>
        <w:jc w:val="both"/>
        <w:rPr>
          <w:rFonts w:ascii="Calibri" w:eastAsiaTheme="minorEastAsia" w:hAnsi="Calibri" w:cs="Calibri"/>
          <w:color w:val="000000"/>
          <w:sz w:val="22"/>
          <w:szCs w:val="22"/>
        </w:rPr>
      </w:pPr>
      <w:r w:rsidRPr="00EC4857">
        <w:rPr>
          <w:rFonts w:ascii="Calibri" w:hAnsi="Calibri" w:cs="Calibri"/>
          <w:b/>
          <w:bCs/>
          <w:color w:val="000000"/>
          <w:sz w:val="22"/>
          <w:szCs w:val="22"/>
        </w:rPr>
        <w:t>I (Infected)</w:t>
      </w:r>
      <w:r w:rsidRPr="00EC4857">
        <w:rPr>
          <w:rFonts w:ascii="Calibri" w:hAnsi="Calibri" w:cs="Calibri"/>
          <w:color w:val="000000"/>
          <w:sz w:val="22"/>
          <w:szCs w:val="22"/>
        </w:rPr>
        <w:t xml:space="preserve"> = 2</w:t>
      </w:r>
    </w:p>
    <w:p w14:paraId="6CD24963" w14:textId="5A50F22D" w:rsidR="00F85FF5" w:rsidRPr="00EC4857" w:rsidRDefault="00DE0717" w:rsidP="00DE0717">
      <w:pPr>
        <w:pStyle w:val="ListParagraph"/>
        <w:numPr>
          <w:ilvl w:val="0"/>
          <w:numId w:val="2"/>
        </w:numPr>
        <w:spacing w:after="240" w:line="240" w:lineRule="auto"/>
        <w:jc w:val="both"/>
        <w:rPr>
          <w:rFonts w:ascii="Calibri" w:eastAsiaTheme="minorEastAsia" w:hAnsi="Calibri" w:cs="Calibri"/>
          <w:color w:val="000000"/>
          <w:sz w:val="22"/>
          <w:szCs w:val="22"/>
        </w:rPr>
      </w:pPr>
      <w:r w:rsidRPr="00EC4857">
        <w:rPr>
          <w:rFonts w:ascii="Calibri" w:hAnsi="Calibri" w:cs="Calibri"/>
          <w:b/>
          <w:bCs/>
          <w:color w:val="000000"/>
          <w:sz w:val="22"/>
          <w:szCs w:val="22"/>
        </w:rPr>
        <w:t>D (Dead)</w:t>
      </w:r>
      <w:r w:rsidRPr="00EC4857">
        <w:rPr>
          <w:rFonts w:ascii="Calibri" w:hAnsi="Calibri" w:cs="Calibri"/>
          <w:color w:val="000000"/>
          <w:sz w:val="22"/>
          <w:szCs w:val="22"/>
        </w:rPr>
        <w:t xml:space="preserve"> = 0</w:t>
      </w:r>
      <w:r w:rsidR="00EE13B0" w:rsidRPr="00EC4857">
        <w:rPr>
          <w:rFonts w:ascii="Calibri" w:hAnsi="Calibri" w:cs="Calibri"/>
          <w:color w:val="000000"/>
          <w:sz w:val="22"/>
          <w:szCs w:val="22"/>
        </w:rPr>
        <w:t xml:space="preserve"> </w:t>
      </w:r>
    </w:p>
    <w:p w14:paraId="1EA2342B" w14:textId="67FDD53C" w:rsidR="00C5370B" w:rsidRPr="00EC4857" w:rsidRDefault="00FB03AF"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A grade é equipada com condições de contorno periódicas (topologia toroidal), de modo que as células nas bordas se conectam às células nas bordas opostas, eliminando artefados de fronteira.</w:t>
      </w:r>
    </w:p>
    <w:p w14:paraId="29C1DD69" w14:textId="27C7BE96" w:rsidR="00FB03AF" w:rsidRPr="00EC4857" w:rsidRDefault="00B40CD7"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b/>
          <w:bCs/>
          <w:color w:val="000000"/>
          <w:sz w:val="22"/>
          <w:szCs w:val="22"/>
        </w:rPr>
        <w:t>Vizinhança:</w:t>
      </w:r>
      <w:r w:rsidRPr="00EC4857">
        <w:rPr>
          <w:rFonts w:ascii="Calibri" w:eastAsiaTheme="minorEastAsia" w:hAnsi="Calibri" w:cs="Calibri"/>
          <w:color w:val="000000"/>
          <w:sz w:val="22"/>
          <w:szCs w:val="22"/>
        </w:rPr>
        <w:t xml:space="preserve"> utiliza-se a vizinhança de Moore de raio 1, que inclui todas as oito células adjacentes mais a própria célula, totalizando uma vizinhança de 9 células. A cada passo de tempo, o restado de cada célula no instante </w:t>
      </w:r>
      <m:oMath>
        <m:r>
          <w:rPr>
            <w:rFonts w:ascii="Cambria Math" w:eastAsiaTheme="minorEastAsia" w:hAnsi="Cambria Math" w:cs="Calibri"/>
            <w:color w:val="000000"/>
            <w:sz w:val="22"/>
            <w:szCs w:val="22"/>
          </w:rPr>
          <m:t>t</m:t>
        </m:r>
      </m:oMath>
      <w:r w:rsidRPr="00EC4857">
        <w:rPr>
          <w:rFonts w:ascii="Calibri" w:eastAsiaTheme="minorEastAsia" w:hAnsi="Calibri" w:cs="Calibri"/>
          <w:color w:val="000000"/>
          <w:sz w:val="22"/>
          <w:szCs w:val="22"/>
        </w:rPr>
        <w:t xml:space="preserve"> determina seu estado no intante </w:t>
      </w:r>
      <m:oMath>
        <m:r>
          <w:rPr>
            <w:rFonts w:ascii="Cambria Math" w:eastAsiaTheme="minorEastAsia" w:hAnsi="Cambria Math" w:cs="Calibri"/>
            <w:color w:val="000000"/>
            <w:sz w:val="22"/>
            <w:szCs w:val="22"/>
          </w:rPr>
          <m:t>t+1</m:t>
        </m:r>
      </m:oMath>
      <w:r w:rsidR="00553D99" w:rsidRPr="00EC4857">
        <w:rPr>
          <w:rFonts w:ascii="Calibri" w:eastAsiaTheme="minorEastAsia" w:hAnsi="Calibri" w:cs="Calibri"/>
          <w:color w:val="000000"/>
          <w:sz w:val="22"/>
          <w:szCs w:val="22"/>
        </w:rPr>
        <w:t xml:space="preserve"> com base em seu estado atual e nos estados de seus viznhos.</w:t>
      </w:r>
    </w:p>
    <w:p w14:paraId="262032FD" w14:textId="17E61B2A" w:rsidR="00553D99" w:rsidRPr="00E91486" w:rsidRDefault="000B15C1" w:rsidP="00E91486">
      <w:pPr>
        <w:pStyle w:val="ListParagraph"/>
        <w:numPr>
          <w:ilvl w:val="1"/>
          <w:numId w:val="3"/>
        </w:numPr>
        <w:spacing w:after="120" w:line="240" w:lineRule="auto"/>
        <w:ind w:left="833"/>
        <w:jc w:val="both"/>
        <w:rPr>
          <w:rFonts w:ascii="Calibri" w:eastAsiaTheme="minorEastAsia" w:hAnsi="Calibri" w:cs="Calibri"/>
          <w:b/>
          <w:bCs/>
          <w:color w:val="000000"/>
        </w:rPr>
      </w:pPr>
      <w:r w:rsidRPr="00E91486">
        <w:rPr>
          <w:rFonts w:ascii="Calibri" w:eastAsiaTheme="minorEastAsia" w:hAnsi="Calibri" w:cs="Calibri"/>
          <w:b/>
          <w:bCs/>
          <w:color w:val="000000"/>
        </w:rPr>
        <w:t>Regras de transição</w:t>
      </w:r>
    </w:p>
    <w:p w14:paraId="78110BE6" w14:textId="43A7B40F" w:rsidR="000B15C1" w:rsidRPr="00EC4857" w:rsidRDefault="000B15C1" w:rsidP="00F0132E">
      <w:pPr>
        <w:spacing w:after="24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A cada passo de tempo discreto</w:t>
      </w:r>
      <w:r w:rsidR="00935C1E" w:rsidRPr="00EC4857">
        <w:rPr>
          <w:rFonts w:ascii="Calibri" w:eastAsiaTheme="minorEastAsia" w:hAnsi="Calibri" w:cs="Calibri"/>
          <w:color w:val="000000"/>
          <w:sz w:val="22"/>
          <w:szCs w:val="22"/>
        </w:rPr>
        <w:t>, todas as células são atualizadas de forma síncrona. A regra de atualização para cada célula é a seguinte</w:t>
      </w:r>
      <w:r w:rsidR="00400083" w:rsidRPr="00EC4857">
        <w:rPr>
          <w:rFonts w:ascii="Calibri" w:eastAsiaTheme="minorEastAsia" w:hAnsi="Calibri" w:cs="Calibri"/>
          <w:color w:val="000000"/>
          <w:sz w:val="22"/>
          <w:szCs w:val="22"/>
        </w:rPr>
        <w:t>:</w:t>
      </w:r>
    </w:p>
    <w:p w14:paraId="67C63DEC" w14:textId="3A9F8DAC" w:rsidR="00400083" w:rsidRPr="00EC4857" w:rsidRDefault="00400083" w:rsidP="00925451">
      <w:pPr>
        <w:spacing w:after="0" w:line="240" w:lineRule="auto"/>
        <w:jc w:val="both"/>
        <w:rPr>
          <w:rFonts w:ascii="Calibri" w:eastAsiaTheme="minorEastAsia" w:hAnsi="Calibri" w:cs="Calibri"/>
          <w:b/>
          <w:bCs/>
          <w:color w:val="000000"/>
          <w:sz w:val="22"/>
          <w:szCs w:val="22"/>
        </w:rPr>
      </w:pPr>
      <w:r w:rsidRPr="00EC4857">
        <w:rPr>
          <w:rFonts w:ascii="Calibri" w:eastAsiaTheme="minorEastAsia" w:hAnsi="Calibri" w:cs="Calibri"/>
          <w:b/>
          <w:bCs/>
          <w:color w:val="000000"/>
          <w:sz w:val="22"/>
          <w:szCs w:val="22"/>
        </w:rPr>
        <w:t>Regra 1 (Suscetível para infectado):</w:t>
      </w:r>
    </w:p>
    <w:p w14:paraId="36A534D4" w14:textId="2CF008F2" w:rsidR="00400083" w:rsidRPr="00EC4857" w:rsidRDefault="007A506C" w:rsidP="00C5370B">
      <w:pPr>
        <w:spacing w:after="24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lastRenderedPageBreak/>
        <w:t xml:space="preserve">Se a célula em </w:t>
      </w:r>
      <m:oMath>
        <m:d>
          <m:dPr>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i, j</m:t>
            </m:r>
          </m:e>
        </m:d>
      </m:oMath>
      <w:r w:rsidRPr="00EC4857">
        <w:rPr>
          <w:rFonts w:ascii="Calibri" w:eastAsiaTheme="minorEastAsia" w:hAnsi="Calibri" w:cs="Calibri"/>
          <w:color w:val="000000"/>
          <w:sz w:val="22"/>
          <w:szCs w:val="22"/>
        </w:rPr>
        <w:t xml:space="preserve"> é suscetível (estado 1), seja </w:t>
      </w:r>
      <m:oMath>
        <m:r>
          <w:rPr>
            <w:rFonts w:ascii="Cambria Math" w:eastAsiaTheme="minorEastAsia" w:hAnsi="Cambria Math" w:cs="Calibri"/>
            <w:color w:val="000000"/>
            <w:sz w:val="22"/>
            <w:szCs w:val="22"/>
          </w:rPr>
          <m:t>k</m:t>
        </m:r>
      </m:oMath>
      <w:r w:rsidRPr="00EC4857">
        <w:rPr>
          <w:rFonts w:ascii="Calibri" w:eastAsiaTheme="minorEastAsia" w:hAnsi="Calibri" w:cs="Calibri"/>
          <w:color w:val="000000"/>
          <w:sz w:val="22"/>
          <w:szCs w:val="22"/>
        </w:rPr>
        <w:t xml:space="preserve"> o número de vizinhos infectados</w:t>
      </w:r>
      <w:r w:rsidR="00925451" w:rsidRPr="00EC4857">
        <w:rPr>
          <w:rFonts w:ascii="Calibri" w:eastAsiaTheme="minorEastAsia" w:hAnsi="Calibri" w:cs="Calibri"/>
          <w:color w:val="000000"/>
          <w:sz w:val="22"/>
          <w:szCs w:val="22"/>
        </w:rPr>
        <w:t>. A célula torna-se infectada com pobabilidade igual a:</w:t>
      </w:r>
    </w:p>
    <w:p w14:paraId="3D69E274" w14:textId="3103B4E1" w:rsidR="00925451" w:rsidRPr="00EC4857" w:rsidRDefault="00A40D0C" w:rsidP="00C5370B">
      <w:pPr>
        <w:spacing w:after="240" w:line="240" w:lineRule="auto"/>
        <w:jc w:val="both"/>
        <w:rPr>
          <w:rFonts w:ascii="Calibri" w:eastAsiaTheme="minorEastAsia" w:hAnsi="Calibri" w:cs="Calibri"/>
          <w:color w:val="000000"/>
          <w:sz w:val="28"/>
          <w:szCs w:val="28"/>
        </w:rPr>
      </w:pPr>
      <m:oMathPara>
        <m:oMath>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P</m:t>
              </m:r>
            </m:e>
            <m:sub>
              <m:r>
                <w:rPr>
                  <w:rFonts w:ascii="Cambria Math" w:eastAsiaTheme="minorEastAsia" w:hAnsi="Cambria Math" w:cs="Calibri"/>
                  <w:color w:val="000000"/>
                  <w:sz w:val="28"/>
                  <w:szCs w:val="28"/>
                </w:rPr>
                <m:t>infect</m:t>
              </m:r>
            </m:sub>
          </m:sSub>
          <m:r>
            <w:rPr>
              <w:rFonts w:ascii="Cambria Math" w:eastAsiaTheme="minorEastAsia" w:hAnsi="Cambria Math" w:cs="Calibri"/>
              <w:color w:val="000000"/>
              <w:sz w:val="28"/>
              <w:szCs w:val="28"/>
            </w:rPr>
            <m:t>=1-</m:t>
          </m:r>
          <m:sSup>
            <m:sSupPr>
              <m:ctrlPr>
                <w:rPr>
                  <w:rFonts w:ascii="Cambria Math" w:eastAsiaTheme="minorEastAsia" w:hAnsi="Cambria Math" w:cs="Calibri"/>
                  <w:i/>
                  <w:color w:val="000000"/>
                  <w:sz w:val="28"/>
                  <w:szCs w:val="28"/>
                </w:rPr>
              </m:ctrlPr>
            </m:sSupPr>
            <m:e>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1-β</m:t>
                  </m:r>
                </m:e>
              </m:d>
            </m:e>
            <m:sup>
              <m:r>
                <w:rPr>
                  <w:rFonts w:ascii="Cambria Math" w:eastAsiaTheme="minorEastAsia" w:hAnsi="Cambria Math" w:cs="Calibri"/>
                  <w:color w:val="000000"/>
                  <w:sz w:val="28"/>
                  <w:szCs w:val="28"/>
                </w:rPr>
                <m:t>k</m:t>
              </m:r>
            </m:sup>
          </m:sSup>
        </m:oMath>
      </m:oMathPara>
    </w:p>
    <w:p w14:paraId="0964FC15" w14:textId="56BFB49E" w:rsidR="00925451" w:rsidRPr="00EC4857" w:rsidRDefault="00944B20" w:rsidP="00F0132E">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Onde </w:t>
      </w:r>
      <m:oMath>
        <m:r>
          <w:rPr>
            <w:rFonts w:ascii="Cambria Math" w:eastAsiaTheme="minorEastAsia" w:hAnsi="Cambria Math" w:cs="Calibri"/>
            <w:color w:val="000000"/>
            <w:sz w:val="22"/>
            <w:szCs w:val="22"/>
          </w:rPr>
          <m:t xml:space="preserve">β = 0.3 </m:t>
        </m:r>
      </m:oMath>
      <w:r w:rsidR="00085087" w:rsidRPr="00EC4857">
        <w:rPr>
          <w:rFonts w:ascii="Calibri" w:eastAsiaTheme="minorEastAsia" w:hAnsi="Calibri" w:cs="Calibri"/>
          <w:color w:val="000000"/>
          <w:sz w:val="22"/>
          <w:szCs w:val="22"/>
        </w:rPr>
        <w:t xml:space="preserve">é a probabilidade </w:t>
      </w:r>
      <w:r w:rsidR="003640F1" w:rsidRPr="00EC4857">
        <w:rPr>
          <w:rFonts w:ascii="Calibri" w:eastAsiaTheme="minorEastAsia" w:hAnsi="Calibri" w:cs="Calibri"/>
          <w:color w:val="000000"/>
          <w:sz w:val="22"/>
          <w:szCs w:val="22"/>
        </w:rPr>
        <w:t>de transmissão por contato. Caso contrário, permanece suscetível.</w:t>
      </w:r>
    </w:p>
    <w:p w14:paraId="321D91E2" w14:textId="10FD3CB0" w:rsidR="004714B1" w:rsidRPr="00EC4857" w:rsidRDefault="004714B1" w:rsidP="004714B1">
      <w:pPr>
        <w:spacing w:after="0" w:line="240" w:lineRule="auto"/>
        <w:jc w:val="both"/>
        <w:rPr>
          <w:rFonts w:ascii="Calibri" w:eastAsiaTheme="minorEastAsia" w:hAnsi="Calibri" w:cs="Calibri"/>
          <w:b/>
          <w:bCs/>
          <w:color w:val="000000"/>
          <w:sz w:val="22"/>
          <w:szCs w:val="22"/>
        </w:rPr>
      </w:pPr>
      <w:r w:rsidRPr="00EC4857">
        <w:rPr>
          <w:rFonts w:ascii="Calibri" w:eastAsiaTheme="minorEastAsia" w:hAnsi="Calibri" w:cs="Calibri"/>
          <w:b/>
          <w:bCs/>
          <w:color w:val="000000"/>
          <w:sz w:val="22"/>
          <w:szCs w:val="22"/>
        </w:rPr>
        <w:t>Regra 2 (</w:t>
      </w:r>
      <w:r w:rsidR="003211F1" w:rsidRPr="00EC4857">
        <w:rPr>
          <w:rFonts w:ascii="Calibri" w:eastAsiaTheme="minorEastAsia" w:hAnsi="Calibri" w:cs="Calibri"/>
          <w:b/>
          <w:bCs/>
          <w:color w:val="000000"/>
          <w:sz w:val="22"/>
          <w:szCs w:val="22"/>
        </w:rPr>
        <w:t>Infectado para Morto)</w:t>
      </w:r>
    </w:p>
    <w:p w14:paraId="533ABB6D" w14:textId="7DF64F7A" w:rsidR="003640F1" w:rsidRPr="00EC4857" w:rsidRDefault="004714B1"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Se a célula em </w:t>
      </w:r>
      <m:oMath>
        <m:d>
          <m:dPr>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i, j</m:t>
            </m:r>
          </m:e>
        </m:d>
      </m:oMath>
      <w:r w:rsidRPr="00EC4857">
        <w:rPr>
          <w:rFonts w:ascii="Calibri" w:eastAsiaTheme="minorEastAsia" w:hAnsi="Calibri" w:cs="Calibri"/>
          <w:color w:val="000000"/>
          <w:sz w:val="22"/>
          <w:szCs w:val="22"/>
        </w:rPr>
        <w:t xml:space="preserve"> é </w:t>
      </w:r>
      <w:r w:rsidR="003211F1" w:rsidRPr="00EC4857">
        <w:rPr>
          <w:rFonts w:ascii="Calibri" w:eastAsiaTheme="minorEastAsia" w:hAnsi="Calibri" w:cs="Calibri"/>
          <w:color w:val="000000"/>
          <w:sz w:val="22"/>
          <w:szCs w:val="22"/>
        </w:rPr>
        <w:t>infectada</w:t>
      </w:r>
      <w:r w:rsidRPr="00EC4857">
        <w:rPr>
          <w:rFonts w:ascii="Calibri" w:eastAsiaTheme="minorEastAsia" w:hAnsi="Calibri" w:cs="Calibri"/>
          <w:color w:val="000000"/>
          <w:sz w:val="22"/>
          <w:szCs w:val="22"/>
        </w:rPr>
        <w:t xml:space="preserve"> (estado </w:t>
      </w:r>
      <w:r w:rsidR="003211F1" w:rsidRPr="00EC4857">
        <w:rPr>
          <w:rFonts w:ascii="Calibri" w:eastAsiaTheme="minorEastAsia" w:hAnsi="Calibri" w:cs="Calibri"/>
          <w:color w:val="000000"/>
          <w:sz w:val="22"/>
          <w:szCs w:val="22"/>
        </w:rPr>
        <w:t>2</w:t>
      </w:r>
      <w:r w:rsidRPr="00EC4857">
        <w:rPr>
          <w:rFonts w:ascii="Calibri" w:eastAsiaTheme="minorEastAsia" w:hAnsi="Calibri" w:cs="Calibri"/>
          <w:color w:val="000000"/>
          <w:sz w:val="22"/>
          <w:szCs w:val="22"/>
        </w:rPr>
        <w:t xml:space="preserve">), </w:t>
      </w:r>
      <w:r w:rsidR="003211F1" w:rsidRPr="00EC4857">
        <w:rPr>
          <w:rFonts w:ascii="Calibri" w:eastAsiaTheme="minorEastAsia" w:hAnsi="Calibri" w:cs="Calibri"/>
          <w:color w:val="000000"/>
          <w:sz w:val="22"/>
          <w:szCs w:val="22"/>
        </w:rPr>
        <w:t xml:space="preserve">ela morre, transitando para o estado 0, com probabilidade </w:t>
      </w:r>
      <m:oMath>
        <m:r>
          <w:rPr>
            <w:rFonts w:ascii="Cambria Math" w:eastAsiaTheme="minorEastAsia" w:hAnsi="Cambria Math" w:cs="Calibri"/>
            <w:color w:val="000000"/>
            <w:sz w:val="22"/>
            <w:szCs w:val="22"/>
          </w:rPr>
          <m:t>ρ</m:t>
        </m:r>
      </m:oMath>
      <w:r w:rsidR="00022C8B" w:rsidRPr="00EC4857">
        <w:rPr>
          <w:rFonts w:ascii="Calibri" w:eastAsiaTheme="minorEastAsia" w:hAnsi="Calibri" w:cs="Calibri"/>
          <w:color w:val="000000"/>
          <w:sz w:val="22"/>
          <w:szCs w:val="22"/>
        </w:rPr>
        <w:t>, variada entre os experimentos. Caso não morra, permanece infectada</w:t>
      </w:r>
      <w:r w:rsidRPr="00EC4857">
        <w:rPr>
          <w:rFonts w:ascii="Calibri" w:eastAsiaTheme="minorEastAsia" w:hAnsi="Calibri" w:cs="Calibri"/>
          <w:color w:val="000000"/>
          <w:sz w:val="22"/>
          <w:szCs w:val="22"/>
        </w:rPr>
        <w:t>:</w:t>
      </w:r>
    </w:p>
    <w:p w14:paraId="7147DA08" w14:textId="02E0F386" w:rsidR="00022C8B" w:rsidRPr="00EC4857" w:rsidRDefault="00022C8B" w:rsidP="00022C8B">
      <w:pPr>
        <w:spacing w:after="0" w:line="240" w:lineRule="auto"/>
        <w:jc w:val="both"/>
        <w:rPr>
          <w:rFonts w:ascii="Calibri" w:eastAsiaTheme="minorEastAsia" w:hAnsi="Calibri" w:cs="Calibri"/>
          <w:b/>
          <w:bCs/>
          <w:color w:val="000000"/>
          <w:sz w:val="22"/>
          <w:szCs w:val="22"/>
        </w:rPr>
      </w:pPr>
      <w:r w:rsidRPr="00EC4857">
        <w:rPr>
          <w:rFonts w:ascii="Calibri" w:eastAsiaTheme="minorEastAsia" w:hAnsi="Calibri" w:cs="Calibri"/>
          <w:b/>
          <w:bCs/>
          <w:color w:val="000000"/>
          <w:sz w:val="22"/>
          <w:szCs w:val="22"/>
        </w:rPr>
        <w:t xml:space="preserve">Regra </w:t>
      </w:r>
      <w:r w:rsidR="00BE52AE" w:rsidRPr="00EC4857">
        <w:rPr>
          <w:rFonts w:ascii="Calibri" w:eastAsiaTheme="minorEastAsia" w:hAnsi="Calibri" w:cs="Calibri"/>
          <w:b/>
          <w:bCs/>
          <w:color w:val="000000"/>
          <w:sz w:val="22"/>
          <w:szCs w:val="22"/>
        </w:rPr>
        <w:t>3</w:t>
      </w:r>
      <w:r w:rsidRPr="00EC4857">
        <w:rPr>
          <w:rFonts w:ascii="Calibri" w:eastAsiaTheme="minorEastAsia" w:hAnsi="Calibri" w:cs="Calibri"/>
          <w:b/>
          <w:bCs/>
          <w:color w:val="000000"/>
          <w:sz w:val="22"/>
          <w:szCs w:val="22"/>
        </w:rPr>
        <w:t xml:space="preserve"> (</w:t>
      </w:r>
      <w:r w:rsidR="00BE52AE" w:rsidRPr="00EC4857">
        <w:rPr>
          <w:rFonts w:ascii="Calibri" w:eastAsiaTheme="minorEastAsia" w:hAnsi="Calibri" w:cs="Calibri"/>
          <w:b/>
          <w:bCs/>
          <w:color w:val="000000"/>
          <w:sz w:val="22"/>
          <w:szCs w:val="22"/>
        </w:rPr>
        <w:t>Células mortas</w:t>
      </w:r>
      <w:r w:rsidRPr="00EC4857">
        <w:rPr>
          <w:rFonts w:ascii="Calibri" w:eastAsiaTheme="minorEastAsia" w:hAnsi="Calibri" w:cs="Calibri"/>
          <w:b/>
          <w:bCs/>
          <w:color w:val="000000"/>
          <w:sz w:val="22"/>
          <w:szCs w:val="22"/>
        </w:rPr>
        <w:t>):</w:t>
      </w:r>
    </w:p>
    <w:p w14:paraId="36399B9E" w14:textId="6047D3A1" w:rsidR="00085087" w:rsidRPr="00EC4857" w:rsidRDefault="00BE52AE" w:rsidP="00F0132E">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Células mortas (estado 0) permanecem permanentemente mortas, constituindo um estado absorvente.</w:t>
      </w:r>
    </w:p>
    <w:p w14:paraId="01EF5842" w14:textId="2CE8D63B" w:rsidR="00BE52AE" w:rsidRPr="00EC4857" w:rsidRDefault="004172B7" w:rsidP="00F0132E">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b/>
          <w:bCs/>
          <w:color w:val="000000"/>
          <w:sz w:val="22"/>
          <w:szCs w:val="22"/>
        </w:rPr>
        <w:t>Implementação estocástica:</w:t>
      </w:r>
      <w:r w:rsidRPr="00EC4857">
        <w:rPr>
          <w:rFonts w:ascii="Calibri" w:eastAsiaTheme="minorEastAsia" w:hAnsi="Calibri" w:cs="Calibri"/>
          <w:color w:val="000000"/>
          <w:sz w:val="22"/>
          <w:szCs w:val="22"/>
        </w:rPr>
        <w:t xml:space="preserve"> em cada passo de atualização, números aleatórios uniformes independentes do intervalo [0, 1] são gerados para cada célula, e as transições ocorrem se o número aleatório for inferior ao limiar de probabilidade calculado.</w:t>
      </w:r>
    </w:p>
    <w:p w14:paraId="36130FC6" w14:textId="754F5D2C" w:rsidR="007A506C" w:rsidRPr="00E91486" w:rsidRDefault="00345E1D" w:rsidP="00E91486">
      <w:pPr>
        <w:pStyle w:val="ListParagraph"/>
        <w:numPr>
          <w:ilvl w:val="1"/>
          <w:numId w:val="3"/>
        </w:numPr>
        <w:spacing w:after="120" w:line="240" w:lineRule="auto"/>
        <w:ind w:left="833"/>
        <w:jc w:val="both"/>
        <w:rPr>
          <w:rFonts w:ascii="Calibri" w:eastAsiaTheme="minorEastAsia" w:hAnsi="Calibri" w:cs="Calibri"/>
          <w:b/>
          <w:bCs/>
          <w:color w:val="000000"/>
        </w:rPr>
      </w:pPr>
      <w:r w:rsidRPr="00E91486">
        <w:rPr>
          <w:rFonts w:ascii="Calibri" w:eastAsiaTheme="minorEastAsia" w:hAnsi="Calibri" w:cs="Calibri"/>
          <w:b/>
          <w:bCs/>
          <w:color w:val="000000"/>
        </w:rPr>
        <w:t xml:space="preserve">Condições iniciais e parâmetros de </w:t>
      </w:r>
      <w:r w:rsidR="00F0132E" w:rsidRPr="00E91486">
        <w:rPr>
          <w:rFonts w:ascii="Calibri" w:eastAsiaTheme="minorEastAsia" w:hAnsi="Calibri" w:cs="Calibri"/>
          <w:b/>
          <w:bCs/>
          <w:color w:val="000000"/>
        </w:rPr>
        <w:t>simulação</w:t>
      </w:r>
    </w:p>
    <w:p w14:paraId="76E41D35" w14:textId="3EDABF9E" w:rsidR="007A506C" w:rsidRPr="00EC4857" w:rsidRDefault="00F0132E" w:rsidP="00514DF2">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A grade é inicializada com uma fração </w:t>
      </w:r>
      <m:oMath>
        <m:sSub>
          <m:sSubPr>
            <m:ctrlPr>
              <w:rPr>
                <w:rFonts w:ascii="Cambria Math" w:eastAsiaTheme="minorEastAsia" w:hAnsi="Cambria Math" w:cs="Calibri"/>
                <w:i/>
                <w:color w:val="000000"/>
                <w:sz w:val="22"/>
                <w:szCs w:val="22"/>
              </w:rPr>
            </m:ctrlPr>
          </m:sSubPr>
          <m:e>
            <m:r>
              <w:rPr>
                <w:rFonts w:ascii="Cambria Math" w:eastAsiaTheme="minorEastAsia" w:hAnsi="Cambria Math" w:cs="Calibri"/>
                <w:color w:val="000000"/>
                <w:sz w:val="22"/>
                <w:szCs w:val="22"/>
              </w:rPr>
              <m:t>p</m:t>
            </m:r>
          </m:e>
          <m:sub>
            <m:r>
              <w:rPr>
                <w:rFonts w:ascii="Cambria Math" w:eastAsiaTheme="minorEastAsia" w:hAnsi="Cambria Math" w:cs="Calibri"/>
                <w:color w:val="000000"/>
                <w:sz w:val="22"/>
                <w:szCs w:val="22"/>
              </w:rPr>
              <m:t>I</m:t>
            </m:r>
            <m:d>
              <m:dPr>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1</m:t>
                </m:r>
              </m:e>
            </m:d>
          </m:sub>
        </m:sSub>
        <m:r>
          <w:rPr>
            <w:rFonts w:ascii="Cambria Math" w:eastAsiaTheme="minorEastAsia" w:hAnsi="Cambria Math" w:cs="Calibri"/>
            <w:color w:val="000000"/>
            <w:sz w:val="22"/>
            <w:szCs w:val="22"/>
          </w:rPr>
          <m:t>= 1%</m:t>
        </m:r>
      </m:oMath>
      <w:r w:rsidR="002A22E8" w:rsidRPr="00EC4857">
        <w:rPr>
          <w:rFonts w:ascii="Calibri" w:eastAsiaTheme="minorEastAsia" w:hAnsi="Calibri" w:cs="Calibri"/>
          <w:color w:val="000000"/>
          <w:sz w:val="22"/>
          <w:szCs w:val="22"/>
        </w:rPr>
        <w:t xml:space="preserve"> de células</w:t>
      </w:r>
      <w:r w:rsidR="007851F6" w:rsidRPr="00EC4857">
        <w:rPr>
          <w:rFonts w:ascii="Calibri" w:eastAsiaTheme="minorEastAsia" w:hAnsi="Calibri" w:cs="Calibri"/>
          <w:color w:val="000000"/>
          <w:sz w:val="22"/>
          <w:szCs w:val="22"/>
        </w:rPr>
        <w:t xml:space="preserve"> escolhidas aleatoriamente no estado infectado; </w:t>
      </w:r>
      <w:r w:rsidR="00891419" w:rsidRPr="00EC4857">
        <w:rPr>
          <w:rFonts w:ascii="Calibri" w:eastAsiaTheme="minorEastAsia" w:hAnsi="Calibri" w:cs="Calibri"/>
          <w:color w:val="000000"/>
          <w:sz w:val="22"/>
          <w:szCs w:val="22"/>
        </w:rPr>
        <w:t>todas as demais células são suscetíveis. Nenhuma célula está inicialmente morta</w:t>
      </w:r>
      <w:r w:rsidR="00F827B0" w:rsidRPr="00EC4857">
        <w:rPr>
          <w:rFonts w:ascii="Calibri" w:eastAsiaTheme="minorEastAsia" w:hAnsi="Calibri" w:cs="Calibri"/>
          <w:color w:val="000000"/>
          <w:sz w:val="22"/>
          <w:szCs w:val="22"/>
        </w:rPr>
        <w:t>.</w:t>
      </w:r>
    </w:p>
    <w:p w14:paraId="48FEB770" w14:textId="5E75D7C5" w:rsidR="00F827B0" w:rsidRPr="00EC4857" w:rsidRDefault="00F827B0" w:rsidP="00514DF2">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b/>
          <w:bCs/>
          <w:color w:val="000000"/>
          <w:sz w:val="22"/>
          <w:szCs w:val="22"/>
        </w:rPr>
        <w:t>Extensão da simulação:</w:t>
      </w:r>
      <w:r w:rsidRPr="00EC4857">
        <w:rPr>
          <w:rFonts w:ascii="Calibri" w:eastAsiaTheme="minorEastAsia" w:hAnsi="Calibri" w:cs="Calibri"/>
          <w:color w:val="000000"/>
          <w:sz w:val="22"/>
          <w:szCs w:val="22"/>
        </w:rPr>
        <w:t xml:space="preserve"> 300 passos de tempo</w:t>
      </w:r>
    </w:p>
    <w:p w14:paraId="57D00E76" w14:textId="2A168153" w:rsidR="00F827B0" w:rsidRPr="00EC4857" w:rsidRDefault="00F827B0" w:rsidP="00514DF2">
      <w:pPr>
        <w:spacing w:after="0" w:line="240" w:lineRule="auto"/>
        <w:jc w:val="both"/>
        <w:rPr>
          <w:rFonts w:ascii="Calibri" w:eastAsiaTheme="minorEastAsia" w:hAnsi="Calibri" w:cs="Calibri"/>
          <w:b/>
          <w:bCs/>
          <w:color w:val="000000"/>
          <w:sz w:val="22"/>
          <w:szCs w:val="22"/>
        </w:rPr>
      </w:pPr>
      <w:r w:rsidRPr="00EC4857">
        <w:rPr>
          <w:rFonts w:ascii="Calibri" w:eastAsiaTheme="minorEastAsia" w:hAnsi="Calibri" w:cs="Calibri"/>
          <w:b/>
          <w:bCs/>
          <w:color w:val="000000"/>
          <w:sz w:val="22"/>
          <w:szCs w:val="22"/>
        </w:rPr>
        <w:t>Parâmetros principais:</w:t>
      </w:r>
    </w:p>
    <w:p w14:paraId="7CC1B02C" w14:textId="3CDF4668" w:rsidR="00514DF2" w:rsidRPr="00EC4857" w:rsidRDefault="00514DF2" w:rsidP="00514DF2">
      <w:pPr>
        <w:spacing w:after="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Tamanho da grade L = 100 (total de 10.000 indivíduos)</w:t>
      </w:r>
    </w:p>
    <w:p w14:paraId="05B5FF05" w14:textId="2D61B4AF" w:rsidR="00514DF2" w:rsidRPr="00EC4857" w:rsidRDefault="00514DF2" w:rsidP="00D14189">
      <w:pPr>
        <w:spacing w:after="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Taxa de transmissão: </w:t>
      </w:r>
      <m:oMath>
        <m:r>
          <w:rPr>
            <w:rFonts w:ascii="Cambria Math" w:eastAsiaTheme="minorEastAsia" w:hAnsi="Cambria Math" w:cs="Calibri"/>
            <w:color w:val="000000"/>
            <w:sz w:val="22"/>
            <w:szCs w:val="22"/>
          </w:rPr>
          <m:t>β = 0,3</m:t>
        </m:r>
      </m:oMath>
    </w:p>
    <w:p w14:paraId="7FBD486B" w14:textId="3569065B" w:rsidR="00D14189" w:rsidRPr="00EC4857" w:rsidRDefault="00D14189" w:rsidP="00D14189">
      <w:pPr>
        <w:spacing w:after="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Taxas de mortalidade testadas: </w:t>
      </w:r>
      <m:oMath>
        <m:r>
          <w:rPr>
            <w:rFonts w:ascii="Cambria Math" w:eastAsiaTheme="minorEastAsia" w:hAnsi="Cambria Math" w:cs="Calibri"/>
            <w:color w:val="000000"/>
            <w:sz w:val="22"/>
            <w:szCs w:val="22"/>
          </w:rPr>
          <m:t xml:space="preserve">ρ ∈ </m:t>
        </m:r>
        <m:d>
          <m:dPr>
            <m:begChr m:val="{"/>
            <m:endChr m:val="}"/>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0.0, 0.3, 0.7</m:t>
            </m:r>
          </m:e>
        </m:d>
      </m:oMath>
    </w:p>
    <w:p w14:paraId="6C8E4249" w14:textId="3844CDD1" w:rsidR="000B4D74" w:rsidRPr="00EC4857" w:rsidRDefault="00CF0783"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Semente: 42, para reprodutibilidade</w:t>
      </w:r>
    </w:p>
    <w:p w14:paraId="5B1B8C10" w14:textId="048DB233" w:rsidR="00E20CAD" w:rsidRPr="00EC4857" w:rsidRDefault="00E20CAD" w:rsidP="00D14189">
      <w:pPr>
        <w:spacing w:after="0" w:line="240" w:lineRule="auto"/>
        <w:jc w:val="both"/>
        <w:rPr>
          <w:rFonts w:ascii="Calibri" w:eastAsiaTheme="minorEastAsia" w:hAnsi="Calibri" w:cs="Calibri"/>
          <w:b/>
          <w:bCs/>
          <w:color w:val="000000"/>
          <w:sz w:val="22"/>
          <w:szCs w:val="22"/>
        </w:rPr>
      </w:pPr>
      <w:r w:rsidRPr="00EC4857">
        <w:rPr>
          <w:rFonts w:ascii="Calibri" w:eastAsiaTheme="minorEastAsia" w:hAnsi="Calibri" w:cs="Calibri"/>
          <w:b/>
          <w:bCs/>
          <w:color w:val="000000"/>
          <w:sz w:val="22"/>
          <w:szCs w:val="22"/>
        </w:rPr>
        <w:t>Métricas coletadas em cada passo de tempo:</w:t>
      </w:r>
    </w:p>
    <w:p w14:paraId="25CC647B" w14:textId="22C2849C" w:rsidR="00E20CAD" w:rsidRPr="00EC4857" w:rsidRDefault="00E20CAD" w:rsidP="00E20CAD">
      <w:pPr>
        <w:spacing w:after="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Número de células em cada estado </w:t>
      </w:r>
      <m:oMath>
        <m:d>
          <m:dPr>
            <m:ctrlPr>
              <w:rPr>
                <w:rFonts w:ascii="Cambria Math" w:eastAsiaTheme="minorEastAsia" w:hAnsi="Cambria Math" w:cs="Calibri"/>
                <w:color w:val="000000"/>
                <w:sz w:val="22"/>
                <w:szCs w:val="22"/>
              </w:rPr>
            </m:ctrlPr>
          </m:dPr>
          <m:e>
            <m:r>
              <m:rPr>
                <m:sty m:val="p"/>
              </m:rPr>
              <w:rPr>
                <w:rFonts w:ascii="Cambria Math" w:eastAsiaTheme="minorEastAsia" w:hAnsi="Cambria Math" w:cs="Calibri"/>
                <w:color w:val="000000"/>
                <w:sz w:val="22"/>
                <w:szCs w:val="22"/>
              </w:rPr>
              <m:t>S, I, D</m:t>
            </m:r>
          </m:e>
        </m:d>
      </m:oMath>
    </w:p>
    <w:p w14:paraId="2D378D50" w14:textId="6A292BF1" w:rsidR="00E20CAD" w:rsidRPr="00EC4857" w:rsidRDefault="00E20CAD" w:rsidP="00E20CAD">
      <w:pPr>
        <w:spacing w:after="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Entropia de Shannon </w:t>
      </w:r>
      <m:oMath>
        <m:r>
          <m:rPr>
            <m:sty m:val="p"/>
          </m:rPr>
          <w:rPr>
            <w:rFonts w:ascii="Cambria Math" w:eastAsiaTheme="minorEastAsia" w:hAnsi="Cambria Math" w:cs="Calibri"/>
            <w:color w:val="000000"/>
            <w:sz w:val="22"/>
            <w:szCs w:val="22"/>
          </w:rPr>
          <m:t>H</m:t>
        </m:r>
        <m:d>
          <m:dPr>
            <m:ctrlPr>
              <w:rPr>
                <w:rFonts w:ascii="Cambria Math" w:eastAsiaTheme="minorEastAsia" w:hAnsi="Cambria Math" w:cs="Calibri"/>
                <w:color w:val="000000"/>
                <w:sz w:val="22"/>
                <w:szCs w:val="22"/>
              </w:rPr>
            </m:ctrlPr>
          </m:dPr>
          <m:e>
            <m:r>
              <m:rPr>
                <m:sty m:val="p"/>
              </m:rPr>
              <w:rPr>
                <w:rFonts w:ascii="Cambria Math" w:eastAsiaTheme="minorEastAsia" w:hAnsi="Cambria Math" w:cs="Calibri"/>
                <w:color w:val="000000"/>
                <w:sz w:val="22"/>
                <w:szCs w:val="22"/>
              </w:rPr>
              <m:t>t</m:t>
            </m:r>
          </m:e>
        </m:d>
      </m:oMath>
    </w:p>
    <w:p w14:paraId="2520BDC2" w14:textId="36EAD261" w:rsidR="002A22E8" w:rsidRPr="00EC4857" w:rsidRDefault="00E20CAD"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Configuração espacial</w:t>
      </w:r>
      <w:r w:rsidR="00C6062B" w:rsidRPr="00EC4857">
        <w:rPr>
          <w:rFonts w:ascii="Calibri" w:eastAsiaTheme="minorEastAsia" w:hAnsi="Calibri" w:cs="Calibri"/>
          <w:color w:val="000000"/>
          <w:sz w:val="22"/>
          <w:szCs w:val="22"/>
        </w:rPr>
        <w:t xml:space="preserve"> (</w:t>
      </w:r>
      <w:r w:rsidRPr="00EC4857">
        <w:rPr>
          <w:rFonts w:ascii="Calibri" w:eastAsiaTheme="minorEastAsia" w:hAnsi="Calibri" w:cs="Calibri"/>
          <w:color w:val="000000"/>
          <w:sz w:val="22"/>
          <w:szCs w:val="22"/>
        </w:rPr>
        <w:t>armazenada para visualização</w:t>
      </w:r>
      <w:r w:rsidR="00C6062B" w:rsidRPr="00EC4857">
        <w:rPr>
          <w:rFonts w:ascii="Calibri" w:eastAsiaTheme="minorEastAsia" w:hAnsi="Calibri" w:cs="Calibri"/>
          <w:color w:val="000000"/>
          <w:sz w:val="22"/>
          <w:szCs w:val="22"/>
        </w:rPr>
        <w:t>)</w:t>
      </w:r>
    </w:p>
    <w:p w14:paraId="2B5A89C1" w14:textId="4DA6E6EF" w:rsidR="00C6062B" w:rsidRPr="00E91486" w:rsidRDefault="00C6062B" w:rsidP="00E91486">
      <w:pPr>
        <w:pStyle w:val="ListParagraph"/>
        <w:numPr>
          <w:ilvl w:val="1"/>
          <w:numId w:val="3"/>
        </w:numPr>
        <w:spacing w:after="0" w:line="240" w:lineRule="auto"/>
        <w:ind w:left="833"/>
        <w:jc w:val="both"/>
        <w:rPr>
          <w:rFonts w:ascii="Calibri" w:eastAsiaTheme="minorEastAsia" w:hAnsi="Calibri" w:cs="Calibri"/>
          <w:b/>
          <w:bCs/>
          <w:color w:val="000000"/>
        </w:rPr>
      </w:pPr>
      <w:r w:rsidRPr="00E91486">
        <w:rPr>
          <w:rFonts w:ascii="Calibri" w:eastAsiaTheme="minorEastAsia" w:hAnsi="Calibri" w:cs="Calibri"/>
          <w:b/>
          <w:bCs/>
          <w:color w:val="000000"/>
        </w:rPr>
        <w:t>Cálculo de entropia</w:t>
      </w:r>
    </w:p>
    <w:p w14:paraId="1A5A2279" w14:textId="23CE7B95" w:rsidR="002E1517" w:rsidRPr="00EC4857" w:rsidRDefault="002E1517"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Em cada passo de tempo </w:t>
      </w:r>
      <m:oMath>
        <m:r>
          <w:rPr>
            <w:rFonts w:ascii="Cambria Math" w:eastAsiaTheme="minorEastAsia" w:hAnsi="Cambria Math" w:cs="Calibri"/>
            <w:color w:val="000000"/>
            <w:sz w:val="22"/>
            <w:szCs w:val="22"/>
          </w:rPr>
          <m:t>t</m:t>
        </m:r>
      </m:oMath>
      <w:r w:rsidRPr="00EC4857">
        <w:rPr>
          <w:rFonts w:ascii="Calibri" w:eastAsiaTheme="minorEastAsia" w:hAnsi="Calibri" w:cs="Calibri"/>
          <w:color w:val="000000"/>
          <w:sz w:val="22"/>
          <w:szCs w:val="22"/>
        </w:rPr>
        <w:t>, calculamos a fração de células em cada estado:</w:t>
      </w:r>
    </w:p>
    <w:p w14:paraId="5100BB16" w14:textId="456D122E" w:rsidR="002E1517" w:rsidRPr="00EC4857" w:rsidRDefault="00A40D0C" w:rsidP="007147E1">
      <w:pPr>
        <w:spacing w:after="120" w:line="240" w:lineRule="auto"/>
        <w:jc w:val="both"/>
        <w:rPr>
          <w:rFonts w:ascii="Calibri" w:eastAsiaTheme="minorEastAsia" w:hAnsi="Calibri" w:cs="Calibri"/>
          <w:color w:val="000000"/>
          <w:sz w:val="28"/>
          <w:szCs w:val="28"/>
        </w:rPr>
      </w:pPr>
      <m:oMathPara>
        <m:oMath>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p</m:t>
              </m:r>
            </m:e>
            <m:sub>
              <m:r>
                <w:rPr>
                  <w:rFonts w:ascii="Cambria Math" w:eastAsiaTheme="minorEastAsia" w:hAnsi="Cambria Math" w:cs="Calibri"/>
                  <w:color w:val="000000"/>
                  <w:sz w:val="28"/>
                  <w:szCs w:val="28"/>
                </w:rPr>
                <m:t>S</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r>
            <w:rPr>
              <w:rFonts w:ascii="Cambria Math" w:eastAsiaTheme="minorEastAsia" w:hAnsi="Cambria Math" w:cs="Calibri"/>
              <w:color w:val="000000"/>
              <w:sz w:val="28"/>
              <w:szCs w:val="28"/>
            </w:rPr>
            <m:t>=</m:t>
          </m:r>
          <m:f>
            <m:fPr>
              <m:ctrlPr>
                <w:rPr>
                  <w:rFonts w:ascii="Cambria Math" w:eastAsiaTheme="minorEastAsia" w:hAnsi="Cambria Math" w:cs="Calibri"/>
                  <w:i/>
                  <w:color w:val="000000"/>
                  <w:sz w:val="28"/>
                  <w:szCs w:val="28"/>
                </w:rPr>
              </m:ctrlPr>
            </m:fPr>
            <m:num>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N</m:t>
                  </m:r>
                </m:e>
                <m:sub>
                  <m:r>
                    <w:rPr>
                      <w:rFonts w:ascii="Cambria Math" w:eastAsiaTheme="minorEastAsia" w:hAnsi="Cambria Math" w:cs="Calibri"/>
                      <w:color w:val="000000"/>
                      <w:sz w:val="28"/>
                      <w:szCs w:val="28"/>
                    </w:rPr>
                    <m:t>S</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num>
            <m:den>
              <m:sSup>
                <m:sSupPr>
                  <m:ctrlPr>
                    <w:rPr>
                      <w:rFonts w:ascii="Cambria Math" w:eastAsiaTheme="minorEastAsia" w:hAnsi="Cambria Math" w:cs="Calibri"/>
                      <w:i/>
                      <w:color w:val="000000"/>
                      <w:sz w:val="28"/>
                      <w:szCs w:val="28"/>
                    </w:rPr>
                  </m:ctrlPr>
                </m:sSupPr>
                <m:e>
                  <m:r>
                    <w:rPr>
                      <w:rFonts w:ascii="Cambria Math" w:eastAsiaTheme="minorEastAsia" w:hAnsi="Cambria Math" w:cs="Calibri"/>
                      <w:color w:val="000000"/>
                      <w:sz w:val="28"/>
                      <w:szCs w:val="28"/>
                    </w:rPr>
                    <m:t>L</m:t>
                  </m:r>
                </m:e>
                <m:sup>
                  <m:r>
                    <w:rPr>
                      <w:rFonts w:ascii="Cambria Math" w:eastAsiaTheme="minorEastAsia" w:hAnsi="Cambria Math" w:cs="Calibri"/>
                      <w:color w:val="000000"/>
                      <w:sz w:val="28"/>
                      <w:szCs w:val="28"/>
                    </w:rPr>
                    <m:t>2</m:t>
                  </m:r>
                </m:sup>
              </m:sSup>
            </m:den>
          </m:f>
          <m:r>
            <w:rPr>
              <w:rFonts w:ascii="Cambria Math" w:eastAsiaTheme="minorEastAsia" w:hAnsi="Cambria Math" w:cs="Calibri"/>
              <w:color w:val="000000"/>
              <w:sz w:val="28"/>
              <w:szCs w:val="28"/>
            </w:rPr>
            <m:t xml:space="preserve">,  </m:t>
          </m:r>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p</m:t>
              </m:r>
            </m:e>
            <m:sub>
              <m:r>
                <w:rPr>
                  <w:rFonts w:ascii="Cambria Math" w:eastAsiaTheme="minorEastAsia" w:hAnsi="Cambria Math" w:cs="Calibri"/>
                  <w:color w:val="000000"/>
                  <w:sz w:val="28"/>
                  <w:szCs w:val="28"/>
                </w:rPr>
                <m:t>I</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r>
            <w:rPr>
              <w:rFonts w:ascii="Cambria Math" w:eastAsiaTheme="minorEastAsia" w:hAnsi="Cambria Math" w:cs="Calibri"/>
              <w:color w:val="000000"/>
              <w:sz w:val="28"/>
              <w:szCs w:val="28"/>
            </w:rPr>
            <m:t>=</m:t>
          </m:r>
          <m:f>
            <m:fPr>
              <m:ctrlPr>
                <w:rPr>
                  <w:rFonts w:ascii="Cambria Math" w:eastAsiaTheme="minorEastAsia" w:hAnsi="Cambria Math" w:cs="Calibri"/>
                  <w:i/>
                  <w:color w:val="000000"/>
                  <w:sz w:val="28"/>
                  <w:szCs w:val="28"/>
                </w:rPr>
              </m:ctrlPr>
            </m:fPr>
            <m:num>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N</m:t>
                  </m:r>
                </m:e>
                <m:sub>
                  <m:r>
                    <w:rPr>
                      <w:rFonts w:ascii="Cambria Math" w:eastAsiaTheme="minorEastAsia" w:hAnsi="Cambria Math" w:cs="Calibri"/>
                      <w:color w:val="000000"/>
                      <w:sz w:val="28"/>
                      <w:szCs w:val="28"/>
                    </w:rPr>
                    <m:t>I</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num>
            <m:den>
              <m:sSup>
                <m:sSupPr>
                  <m:ctrlPr>
                    <w:rPr>
                      <w:rFonts w:ascii="Cambria Math" w:eastAsiaTheme="minorEastAsia" w:hAnsi="Cambria Math" w:cs="Calibri"/>
                      <w:i/>
                      <w:color w:val="000000"/>
                      <w:sz w:val="28"/>
                      <w:szCs w:val="28"/>
                    </w:rPr>
                  </m:ctrlPr>
                </m:sSupPr>
                <m:e>
                  <m:r>
                    <w:rPr>
                      <w:rFonts w:ascii="Cambria Math" w:eastAsiaTheme="minorEastAsia" w:hAnsi="Cambria Math" w:cs="Calibri"/>
                      <w:color w:val="000000"/>
                      <w:sz w:val="28"/>
                      <w:szCs w:val="28"/>
                    </w:rPr>
                    <m:t>L</m:t>
                  </m:r>
                </m:e>
                <m:sup>
                  <m:r>
                    <w:rPr>
                      <w:rFonts w:ascii="Cambria Math" w:eastAsiaTheme="minorEastAsia" w:hAnsi="Cambria Math" w:cs="Calibri"/>
                      <w:color w:val="000000"/>
                      <w:sz w:val="28"/>
                      <w:szCs w:val="28"/>
                    </w:rPr>
                    <m:t>2</m:t>
                  </m:r>
                </m:sup>
              </m:sSup>
            </m:den>
          </m:f>
          <m:r>
            <w:rPr>
              <w:rFonts w:ascii="Cambria Math" w:eastAsiaTheme="minorEastAsia" w:hAnsi="Cambria Math" w:cs="Calibri"/>
              <w:color w:val="000000"/>
              <w:sz w:val="28"/>
              <w:szCs w:val="28"/>
            </w:rPr>
            <m:t xml:space="preserve">,  </m:t>
          </m:r>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p</m:t>
              </m:r>
            </m:e>
            <m:sub>
              <m:r>
                <w:rPr>
                  <w:rFonts w:ascii="Cambria Math" w:eastAsiaTheme="minorEastAsia" w:hAnsi="Cambria Math" w:cs="Calibri"/>
                  <w:color w:val="000000"/>
                  <w:sz w:val="28"/>
                  <w:szCs w:val="28"/>
                </w:rPr>
                <m:t>D</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r>
            <w:rPr>
              <w:rFonts w:ascii="Cambria Math" w:eastAsiaTheme="minorEastAsia" w:hAnsi="Cambria Math" w:cs="Calibri"/>
              <w:color w:val="000000"/>
              <w:sz w:val="28"/>
              <w:szCs w:val="28"/>
            </w:rPr>
            <m:t>=</m:t>
          </m:r>
          <m:f>
            <m:fPr>
              <m:ctrlPr>
                <w:rPr>
                  <w:rFonts w:ascii="Cambria Math" w:eastAsiaTheme="minorEastAsia" w:hAnsi="Cambria Math" w:cs="Calibri"/>
                  <w:i/>
                  <w:color w:val="000000"/>
                  <w:sz w:val="28"/>
                  <w:szCs w:val="28"/>
                </w:rPr>
              </m:ctrlPr>
            </m:fPr>
            <m:num>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N</m:t>
                  </m:r>
                </m:e>
                <m:sub>
                  <m:r>
                    <w:rPr>
                      <w:rFonts w:ascii="Cambria Math" w:eastAsiaTheme="minorEastAsia" w:hAnsi="Cambria Math" w:cs="Calibri"/>
                      <w:color w:val="000000"/>
                      <w:sz w:val="28"/>
                      <w:szCs w:val="28"/>
                    </w:rPr>
                    <m:t>D</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num>
            <m:den>
              <m:sSup>
                <m:sSupPr>
                  <m:ctrlPr>
                    <w:rPr>
                      <w:rFonts w:ascii="Cambria Math" w:eastAsiaTheme="minorEastAsia" w:hAnsi="Cambria Math" w:cs="Calibri"/>
                      <w:i/>
                      <w:color w:val="000000"/>
                      <w:sz w:val="28"/>
                      <w:szCs w:val="28"/>
                    </w:rPr>
                  </m:ctrlPr>
                </m:sSupPr>
                <m:e>
                  <m:r>
                    <w:rPr>
                      <w:rFonts w:ascii="Cambria Math" w:eastAsiaTheme="minorEastAsia" w:hAnsi="Cambria Math" w:cs="Calibri"/>
                      <w:color w:val="000000"/>
                      <w:sz w:val="28"/>
                      <w:szCs w:val="28"/>
                    </w:rPr>
                    <m:t>L</m:t>
                  </m:r>
                </m:e>
                <m:sup>
                  <m:r>
                    <w:rPr>
                      <w:rFonts w:ascii="Cambria Math" w:eastAsiaTheme="minorEastAsia" w:hAnsi="Cambria Math" w:cs="Calibri"/>
                      <w:color w:val="000000"/>
                      <w:sz w:val="28"/>
                      <w:szCs w:val="28"/>
                    </w:rPr>
                    <m:t>2</m:t>
                  </m:r>
                </m:sup>
              </m:sSup>
            </m:den>
          </m:f>
          <m:r>
            <w:rPr>
              <w:rFonts w:ascii="Cambria Math" w:eastAsiaTheme="minorEastAsia" w:hAnsi="Cambria Math" w:cs="Calibri"/>
              <w:color w:val="000000"/>
              <w:sz w:val="28"/>
              <w:szCs w:val="28"/>
            </w:rPr>
            <m:t xml:space="preserve"> </m:t>
          </m:r>
        </m:oMath>
      </m:oMathPara>
    </w:p>
    <w:p w14:paraId="7E5E93E4" w14:textId="6BF217A0" w:rsidR="00E82AED" w:rsidRPr="00EC4857" w:rsidRDefault="008F11D9" w:rsidP="007147E1">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Onde </w:t>
      </w:r>
      <m:oMath>
        <m:sSub>
          <m:sSubPr>
            <m:ctrlPr>
              <w:rPr>
                <w:rFonts w:ascii="Cambria Math" w:eastAsiaTheme="minorEastAsia" w:hAnsi="Cambria Math" w:cs="Calibri"/>
                <w:i/>
                <w:color w:val="000000"/>
                <w:sz w:val="22"/>
                <w:szCs w:val="22"/>
              </w:rPr>
            </m:ctrlPr>
          </m:sSubPr>
          <m:e>
            <m:r>
              <w:rPr>
                <w:rFonts w:ascii="Cambria Math" w:eastAsiaTheme="minorEastAsia" w:hAnsi="Cambria Math" w:cs="Calibri"/>
                <w:color w:val="000000"/>
                <w:sz w:val="22"/>
                <w:szCs w:val="22"/>
              </w:rPr>
              <m:t>N</m:t>
            </m:r>
          </m:e>
          <m:sub>
            <m:r>
              <w:rPr>
                <w:rFonts w:ascii="Cambria Math" w:eastAsiaTheme="minorEastAsia" w:hAnsi="Cambria Math" w:cs="Calibri"/>
                <w:color w:val="000000"/>
                <w:sz w:val="22"/>
                <w:szCs w:val="22"/>
              </w:rPr>
              <m:t>x</m:t>
            </m:r>
          </m:sub>
        </m:sSub>
        <m:d>
          <m:dPr>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t</m:t>
            </m:r>
          </m:e>
        </m:d>
      </m:oMath>
      <w:r w:rsidRPr="00EC4857">
        <w:rPr>
          <w:rFonts w:ascii="Calibri" w:eastAsiaTheme="minorEastAsia" w:hAnsi="Calibri" w:cs="Calibri"/>
          <w:color w:val="000000"/>
          <w:sz w:val="22"/>
          <w:szCs w:val="22"/>
        </w:rPr>
        <w:t xml:space="preserve"> é a contagem </w:t>
      </w:r>
      <w:r w:rsidR="00D94F93" w:rsidRPr="00EC4857">
        <w:rPr>
          <w:rFonts w:ascii="Calibri" w:eastAsiaTheme="minorEastAsia" w:hAnsi="Calibri" w:cs="Calibri"/>
          <w:color w:val="000000"/>
          <w:sz w:val="22"/>
          <w:szCs w:val="22"/>
        </w:rPr>
        <w:t xml:space="preserve">de células no estado </w:t>
      </w:r>
      <m:oMath>
        <m:r>
          <w:rPr>
            <w:rFonts w:ascii="Cambria Math" w:eastAsiaTheme="minorEastAsia" w:hAnsi="Cambria Math" w:cs="Calibri"/>
            <w:color w:val="000000"/>
            <w:sz w:val="22"/>
            <w:szCs w:val="22"/>
          </w:rPr>
          <m:t>x</m:t>
        </m:r>
      </m:oMath>
      <w:r w:rsidR="00D94F93" w:rsidRPr="00EC4857">
        <w:rPr>
          <w:rFonts w:ascii="Calibri" w:eastAsiaTheme="minorEastAsia" w:hAnsi="Calibri" w:cs="Calibri"/>
          <w:color w:val="000000"/>
          <w:sz w:val="22"/>
          <w:szCs w:val="22"/>
        </w:rPr>
        <w:t xml:space="preserve"> no instante </w:t>
      </w:r>
      <m:oMath>
        <m:r>
          <w:rPr>
            <w:rFonts w:ascii="Cambria Math" w:eastAsiaTheme="minorEastAsia" w:hAnsi="Cambria Math" w:cs="Calibri"/>
            <w:color w:val="000000"/>
            <w:sz w:val="22"/>
            <w:szCs w:val="22"/>
          </w:rPr>
          <m:t>t</m:t>
        </m:r>
      </m:oMath>
      <w:r w:rsidR="00D94F93" w:rsidRPr="00EC4857">
        <w:rPr>
          <w:rFonts w:ascii="Calibri" w:eastAsiaTheme="minorEastAsia" w:hAnsi="Calibri" w:cs="Calibri"/>
          <w:color w:val="000000"/>
          <w:sz w:val="22"/>
          <w:szCs w:val="22"/>
        </w:rPr>
        <w:t>.</w:t>
      </w:r>
    </w:p>
    <w:p w14:paraId="14D0E172" w14:textId="1FCE526C" w:rsidR="00D94F93" w:rsidRPr="00EC4857" w:rsidRDefault="00D94F93" w:rsidP="007147E1">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A entropia de Shannon é então dada por:</w:t>
      </w:r>
    </w:p>
    <w:p w14:paraId="378C95DC" w14:textId="77D9C5D2" w:rsidR="00D94F93" w:rsidRPr="00EC4857" w:rsidRDefault="00E924FE" w:rsidP="007147E1">
      <w:pPr>
        <w:spacing w:after="120" w:line="240" w:lineRule="auto"/>
        <w:jc w:val="both"/>
        <w:rPr>
          <w:rFonts w:ascii="Calibri" w:eastAsiaTheme="minorEastAsia" w:hAnsi="Calibri" w:cs="Calibri"/>
          <w:color w:val="000000"/>
          <w:sz w:val="28"/>
          <w:szCs w:val="28"/>
        </w:rPr>
      </w:pPr>
      <m:oMathPara>
        <m:oMath>
          <m:r>
            <w:rPr>
              <w:rFonts w:ascii="Cambria Math" w:eastAsiaTheme="minorEastAsia" w:hAnsi="Cambria Math" w:cs="Calibri"/>
              <w:color w:val="000000"/>
              <w:sz w:val="28"/>
              <w:szCs w:val="28"/>
            </w:rPr>
            <m:t>H</m:t>
          </m:r>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r>
            <w:rPr>
              <w:rFonts w:ascii="Cambria Math" w:eastAsiaTheme="minorEastAsia" w:hAnsi="Cambria Math" w:cs="Calibri"/>
              <w:color w:val="000000"/>
              <w:sz w:val="28"/>
              <w:szCs w:val="28"/>
            </w:rPr>
            <m:t>= -</m:t>
          </m:r>
          <m:nary>
            <m:naryPr>
              <m:chr m:val="∑"/>
              <m:supHide m:val="1"/>
              <m:ctrlPr>
                <w:rPr>
                  <w:rFonts w:ascii="Cambria Math" w:eastAsiaTheme="minorEastAsia" w:hAnsi="Cambria Math" w:cs="Calibri"/>
                  <w:i/>
                  <w:color w:val="000000"/>
                  <w:sz w:val="28"/>
                  <w:szCs w:val="28"/>
                </w:rPr>
              </m:ctrlPr>
            </m:naryPr>
            <m:sub>
              <m:r>
                <w:rPr>
                  <w:rFonts w:ascii="Cambria Math" w:eastAsiaTheme="minorEastAsia" w:hAnsi="Cambria Math" w:cs="Calibri"/>
                  <w:color w:val="000000"/>
                  <w:sz w:val="28"/>
                  <w:szCs w:val="28"/>
                </w:rPr>
                <m:t>x ∈</m:t>
              </m:r>
              <m:d>
                <m:dPr>
                  <m:begChr m:val="{"/>
                  <m:endChr m:val="}"/>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S,I,D</m:t>
                  </m:r>
                </m:e>
              </m:d>
            </m:sub>
            <m:sup/>
            <m:e>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P</m:t>
                  </m:r>
                </m:e>
                <m:sub>
                  <m:r>
                    <w:rPr>
                      <w:rFonts w:ascii="Cambria Math" w:eastAsiaTheme="minorEastAsia" w:hAnsi="Cambria Math" w:cs="Calibri"/>
                      <w:color w:val="000000"/>
                      <w:sz w:val="28"/>
                      <w:szCs w:val="28"/>
                    </w:rPr>
                    <m:t>x</m:t>
                  </m:r>
                </m:sub>
              </m:sSub>
              <m:d>
                <m:dPr>
                  <m:ctrlPr>
                    <w:rPr>
                      <w:rFonts w:ascii="Cambria Math" w:eastAsiaTheme="minorEastAsia" w:hAnsi="Cambria Math" w:cs="Calibri"/>
                      <w:i/>
                      <w:color w:val="000000"/>
                      <w:sz w:val="28"/>
                      <w:szCs w:val="28"/>
                    </w:rPr>
                  </m:ctrlPr>
                </m:dPr>
                <m:e>
                  <m:r>
                    <w:rPr>
                      <w:rFonts w:ascii="Cambria Math" w:eastAsiaTheme="minorEastAsia" w:hAnsi="Cambria Math" w:cs="Calibri"/>
                      <w:color w:val="000000"/>
                      <w:sz w:val="28"/>
                      <w:szCs w:val="28"/>
                    </w:rPr>
                    <m:t>t</m:t>
                  </m:r>
                </m:e>
              </m:d>
              <m:func>
                <m:funcPr>
                  <m:ctrlPr>
                    <w:rPr>
                      <w:rFonts w:ascii="Cambria Math" w:eastAsiaTheme="minorEastAsia" w:hAnsi="Cambria Math" w:cs="Calibri"/>
                      <w:i/>
                      <w:color w:val="000000"/>
                      <w:sz w:val="28"/>
                      <w:szCs w:val="28"/>
                    </w:rPr>
                  </m:ctrlPr>
                </m:funcPr>
                <m:fName>
                  <m:sSub>
                    <m:sSubPr>
                      <m:ctrlPr>
                        <w:rPr>
                          <w:rFonts w:ascii="Cambria Math" w:eastAsiaTheme="minorEastAsia" w:hAnsi="Cambria Math" w:cs="Calibri"/>
                          <w:color w:val="000000"/>
                          <w:sz w:val="28"/>
                          <w:szCs w:val="28"/>
                        </w:rPr>
                      </m:ctrlPr>
                    </m:sSubPr>
                    <m:e>
                      <m:r>
                        <m:rPr>
                          <m:sty m:val="p"/>
                        </m:rPr>
                        <w:rPr>
                          <w:rFonts w:ascii="Cambria Math" w:eastAsiaTheme="minorEastAsia" w:hAnsi="Cambria Math" w:cs="Calibri"/>
                          <w:color w:val="000000"/>
                          <w:sz w:val="28"/>
                          <w:szCs w:val="28"/>
                        </w:rPr>
                        <m:t>log</m:t>
                      </m:r>
                    </m:e>
                    <m:sub>
                      <m:r>
                        <m:rPr>
                          <m:sty m:val="p"/>
                        </m:rPr>
                        <w:rPr>
                          <w:rFonts w:ascii="Cambria Math" w:eastAsiaTheme="minorEastAsia" w:hAnsi="Cambria Math" w:cs="Calibri"/>
                          <w:color w:val="000000"/>
                          <w:sz w:val="28"/>
                          <w:szCs w:val="28"/>
                        </w:rPr>
                        <m:t>2</m:t>
                      </m:r>
                    </m:sub>
                  </m:sSub>
                </m:fName>
                <m:e>
                  <m:sSub>
                    <m:sSubPr>
                      <m:ctrlPr>
                        <w:rPr>
                          <w:rFonts w:ascii="Cambria Math" w:eastAsiaTheme="minorEastAsia" w:hAnsi="Cambria Math" w:cs="Calibri"/>
                          <w:i/>
                          <w:color w:val="000000"/>
                          <w:sz w:val="28"/>
                          <w:szCs w:val="28"/>
                        </w:rPr>
                      </m:ctrlPr>
                    </m:sSubPr>
                    <m:e>
                      <m:r>
                        <w:rPr>
                          <w:rFonts w:ascii="Cambria Math" w:eastAsiaTheme="minorEastAsia" w:hAnsi="Cambria Math" w:cs="Calibri"/>
                          <w:color w:val="000000"/>
                          <w:sz w:val="28"/>
                          <w:szCs w:val="28"/>
                        </w:rPr>
                        <m:t>P</m:t>
                      </m:r>
                    </m:e>
                    <m:sub>
                      <m:r>
                        <w:rPr>
                          <w:rFonts w:ascii="Cambria Math" w:eastAsiaTheme="minorEastAsia" w:hAnsi="Cambria Math" w:cs="Calibri"/>
                          <w:color w:val="000000"/>
                          <w:sz w:val="28"/>
                          <w:szCs w:val="28"/>
                        </w:rPr>
                        <m:t>x</m:t>
                      </m:r>
                    </m:sub>
                  </m:sSub>
                  <m:r>
                    <w:rPr>
                      <w:rFonts w:ascii="Cambria Math" w:eastAsiaTheme="minorEastAsia" w:hAnsi="Cambria Math" w:cs="Calibri"/>
                      <w:color w:val="000000"/>
                      <w:sz w:val="28"/>
                      <w:szCs w:val="28"/>
                    </w:rPr>
                    <m:t>(t)</m:t>
                  </m:r>
                </m:e>
              </m:func>
            </m:e>
          </m:nary>
        </m:oMath>
      </m:oMathPara>
    </w:p>
    <w:p w14:paraId="7447EE10" w14:textId="0376DFE2" w:rsidR="003D70AA" w:rsidRPr="00EC4857" w:rsidRDefault="002C41BC" w:rsidP="007147E1">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t xml:space="preserve">Adotando-se </w:t>
      </w:r>
      <w:r w:rsidR="00942ABF" w:rsidRPr="00EC4857">
        <w:rPr>
          <w:rFonts w:ascii="Calibri" w:eastAsiaTheme="minorEastAsia" w:hAnsi="Calibri" w:cs="Calibri"/>
          <w:color w:val="000000"/>
          <w:sz w:val="22"/>
          <w:szCs w:val="22"/>
        </w:rPr>
        <w:t xml:space="preserve">a convenção de que </w:t>
      </w:r>
      <m:oMath>
        <m:r>
          <w:rPr>
            <w:rFonts w:ascii="Cambria Math" w:eastAsiaTheme="minorEastAsia" w:hAnsi="Cambria Math" w:cs="Calibri"/>
            <w:color w:val="000000"/>
            <w:sz w:val="22"/>
            <w:szCs w:val="22"/>
          </w:rPr>
          <m:t>0 · lo</m:t>
        </m:r>
        <m:sSup>
          <m:sSupPr>
            <m:ctrlPr>
              <w:rPr>
                <w:rFonts w:ascii="Cambria Math" w:eastAsiaTheme="minorEastAsia" w:hAnsi="Cambria Math" w:cs="Calibri"/>
                <w:i/>
                <w:color w:val="000000"/>
                <w:sz w:val="22"/>
                <w:szCs w:val="22"/>
              </w:rPr>
            </m:ctrlPr>
          </m:sSupPr>
          <m:e>
            <m:r>
              <w:rPr>
                <w:rFonts w:ascii="Cambria Math" w:eastAsiaTheme="minorEastAsia" w:hAnsi="Cambria Math" w:cs="Calibri"/>
                <w:color w:val="000000"/>
                <w:sz w:val="22"/>
                <w:szCs w:val="22"/>
              </w:rPr>
              <m:t>g</m:t>
            </m:r>
          </m:e>
          <m:sup>
            <m:r>
              <w:rPr>
                <w:rFonts w:ascii="Cambria Math" w:eastAsiaTheme="minorEastAsia" w:hAnsi="Cambria Math" w:cs="Calibri"/>
                <w:color w:val="000000"/>
                <w:sz w:val="22"/>
                <w:szCs w:val="22"/>
              </w:rPr>
              <m:t>2</m:t>
            </m:r>
          </m:sup>
        </m:sSup>
        <m:d>
          <m:dPr>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0</m:t>
            </m:r>
          </m:e>
        </m:d>
        <m:r>
          <w:rPr>
            <w:rFonts w:ascii="Cambria Math" w:eastAsiaTheme="minorEastAsia" w:hAnsi="Cambria Math" w:cs="Calibri"/>
            <w:color w:val="000000"/>
            <w:sz w:val="22"/>
            <w:szCs w:val="22"/>
          </w:rPr>
          <m:t>= 0</m:t>
        </m:r>
      </m:oMath>
      <w:r w:rsidR="00942ABF" w:rsidRPr="00EC4857">
        <w:rPr>
          <w:rFonts w:ascii="Calibri" w:eastAsiaTheme="minorEastAsia" w:hAnsi="Calibri" w:cs="Calibri"/>
          <w:color w:val="000000"/>
          <w:sz w:val="22"/>
          <w:szCs w:val="22"/>
        </w:rPr>
        <w:t xml:space="preserve">. Essa entropia quantifica a incerteza ou diversidade no estado de uma célula escolhida aleatoriamente. Ela varia de </w:t>
      </w:r>
      <m:oMath>
        <m:r>
          <w:rPr>
            <w:rFonts w:ascii="Cambria Math" w:eastAsiaTheme="minorEastAsia" w:hAnsi="Cambria Math" w:cs="Calibri"/>
            <w:color w:val="000000"/>
            <w:sz w:val="22"/>
            <w:szCs w:val="22"/>
          </w:rPr>
          <m:t>H = 0</m:t>
        </m:r>
      </m:oMath>
      <w:r w:rsidR="003D70AA" w:rsidRPr="00EC4857">
        <w:rPr>
          <w:rFonts w:ascii="Calibri" w:eastAsiaTheme="minorEastAsia" w:hAnsi="Calibri" w:cs="Calibri"/>
          <w:color w:val="000000"/>
          <w:sz w:val="22"/>
          <w:szCs w:val="22"/>
        </w:rPr>
        <w:t xml:space="preserve">, quando todas as células estão em um único estado, até </w:t>
      </w:r>
      <m:oMath>
        <m:r>
          <w:rPr>
            <w:rFonts w:ascii="Cambria Math" w:eastAsiaTheme="minorEastAsia" w:hAnsi="Cambria Math" w:cs="Calibri"/>
            <w:color w:val="000000"/>
            <w:sz w:val="22"/>
            <w:szCs w:val="22"/>
          </w:rPr>
          <m:t>H = lo</m:t>
        </m:r>
        <m:sSup>
          <m:sSupPr>
            <m:ctrlPr>
              <w:rPr>
                <w:rFonts w:ascii="Cambria Math" w:eastAsiaTheme="minorEastAsia" w:hAnsi="Cambria Math" w:cs="Calibri"/>
                <w:i/>
                <w:color w:val="000000"/>
                <w:sz w:val="22"/>
                <w:szCs w:val="22"/>
              </w:rPr>
            </m:ctrlPr>
          </m:sSupPr>
          <m:e>
            <m:r>
              <w:rPr>
                <w:rFonts w:ascii="Cambria Math" w:eastAsiaTheme="minorEastAsia" w:hAnsi="Cambria Math" w:cs="Calibri"/>
                <w:color w:val="000000"/>
                <w:sz w:val="22"/>
                <w:szCs w:val="22"/>
              </w:rPr>
              <m:t>g</m:t>
            </m:r>
          </m:e>
          <m:sup>
            <m:r>
              <w:rPr>
                <w:rFonts w:ascii="Cambria Math" w:eastAsiaTheme="minorEastAsia" w:hAnsi="Cambria Math" w:cs="Calibri"/>
                <w:color w:val="000000"/>
                <w:sz w:val="22"/>
                <w:szCs w:val="22"/>
              </w:rPr>
              <m:t>2</m:t>
            </m:r>
          </m:sup>
        </m:sSup>
        <m:d>
          <m:dPr>
            <m:ctrlPr>
              <w:rPr>
                <w:rFonts w:ascii="Cambria Math" w:eastAsiaTheme="minorEastAsia" w:hAnsi="Cambria Math" w:cs="Calibri"/>
                <w:i/>
                <w:color w:val="000000"/>
                <w:sz w:val="22"/>
                <w:szCs w:val="22"/>
              </w:rPr>
            </m:ctrlPr>
          </m:dPr>
          <m:e>
            <m:r>
              <w:rPr>
                <w:rFonts w:ascii="Cambria Math" w:eastAsiaTheme="minorEastAsia" w:hAnsi="Cambria Math" w:cs="Calibri"/>
                <w:color w:val="000000"/>
                <w:sz w:val="22"/>
                <w:szCs w:val="22"/>
              </w:rPr>
              <m:t>3</m:t>
            </m:r>
          </m:e>
        </m:d>
        <m:r>
          <w:rPr>
            <w:rFonts w:ascii="Cambria Math" w:eastAsiaTheme="minorEastAsia" w:hAnsi="Cambria Math" w:cs="Calibri"/>
            <w:color w:val="000000"/>
            <w:sz w:val="22"/>
            <w:szCs w:val="22"/>
          </w:rPr>
          <m:t>≈ 1,585 bits</m:t>
        </m:r>
      </m:oMath>
      <w:r w:rsidR="003D70AA" w:rsidRPr="00EC4857">
        <w:rPr>
          <w:rFonts w:ascii="Calibri" w:eastAsiaTheme="minorEastAsia" w:hAnsi="Calibri" w:cs="Calibri"/>
          <w:color w:val="000000"/>
          <w:sz w:val="22"/>
          <w:szCs w:val="22"/>
        </w:rPr>
        <w:t>, quando as células estão igualmente distribuídas entro os três estados.</w:t>
      </w:r>
    </w:p>
    <w:p w14:paraId="41469B08" w14:textId="207123A9" w:rsidR="003D70AA" w:rsidRPr="00E91486" w:rsidRDefault="00141253" w:rsidP="00E91486">
      <w:pPr>
        <w:pStyle w:val="ListParagraph"/>
        <w:numPr>
          <w:ilvl w:val="1"/>
          <w:numId w:val="3"/>
        </w:numPr>
        <w:spacing w:after="120" w:line="240" w:lineRule="auto"/>
        <w:ind w:left="833"/>
        <w:jc w:val="both"/>
        <w:rPr>
          <w:rFonts w:ascii="Calibri" w:eastAsiaTheme="minorEastAsia" w:hAnsi="Calibri" w:cs="Calibri"/>
          <w:b/>
          <w:bCs/>
          <w:color w:val="000000"/>
        </w:rPr>
      </w:pPr>
      <w:r w:rsidRPr="00E91486">
        <w:rPr>
          <w:rFonts w:ascii="Calibri" w:eastAsiaTheme="minorEastAsia" w:hAnsi="Calibri" w:cs="Calibri"/>
          <w:b/>
          <w:bCs/>
          <w:color w:val="000000"/>
        </w:rPr>
        <w:t>Implementação computacional</w:t>
      </w:r>
    </w:p>
    <w:p w14:paraId="75131D38" w14:textId="4AB575E3" w:rsidR="00141253" w:rsidRDefault="00141253" w:rsidP="000B4D74">
      <w:pPr>
        <w:spacing w:after="120" w:line="240" w:lineRule="auto"/>
        <w:jc w:val="both"/>
        <w:rPr>
          <w:rFonts w:ascii="Calibri" w:eastAsiaTheme="minorEastAsia" w:hAnsi="Calibri" w:cs="Calibri"/>
          <w:color w:val="000000"/>
          <w:sz w:val="22"/>
          <w:szCs w:val="22"/>
        </w:rPr>
      </w:pPr>
      <w:r w:rsidRPr="00EC4857">
        <w:rPr>
          <w:rFonts w:ascii="Calibri" w:eastAsiaTheme="minorEastAsia" w:hAnsi="Calibri" w:cs="Calibri"/>
          <w:color w:val="000000"/>
          <w:sz w:val="22"/>
          <w:szCs w:val="22"/>
        </w:rPr>
        <w:lastRenderedPageBreak/>
        <w:t>O modelo foi implementado em Python</w:t>
      </w:r>
      <w:r w:rsidR="000003C7" w:rsidRPr="00EC4857">
        <w:rPr>
          <w:rFonts w:ascii="Calibri" w:eastAsiaTheme="minorEastAsia" w:hAnsi="Calibri" w:cs="Calibri"/>
          <w:color w:val="000000"/>
          <w:sz w:val="22"/>
          <w:szCs w:val="22"/>
        </w:rPr>
        <w:t xml:space="preserve">, </w:t>
      </w:r>
      <w:r w:rsidR="00E11392" w:rsidRPr="00EC4857">
        <w:rPr>
          <w:rFonts w:ascii="Calibri" w:eastAsiaTheme="minorEastAsia" w:hAnsi="Calibri" w:cs="Calibri"/>
          <w:color w:val="000000"/>
          <w:sz w:val="22"/>
          <w:szCs w:val="22"/>
        </w:rPr>
        <w:t>utilizando as bibliotecas Numpy 2.4.2</w:t>
      </w:r>
      <w:r w:rsidR="00CE4042" w:rsidRPr="00EC4857">
        <w:rPr>
          <w:rFonts w:ascii="Calibri" w:eastAsiaTheme="minorEastAsia" w:hAnsi="Calibri" w:cs="Calibri"/>
          <w:color w:val="000000"/>
          <w:sz w:val="22"/>
          <w:szCs w:val="22"/>
        </w:rPr>
        <w:t xml:space="preserve"> e Matplotlib 3.10.8. O núcleo da simulação emprega operações vetorizadas para atualizar toda a grade em uma única passagem, alcançando desempenho adequado para </w:t>
      </w:r>
      <m:oMath>
        <m:r>
          <w:rPr>
            <w:rFonts w:ascii="Cambria Math" w:eastAsiaTheme="minorEastAsia" w:hAnsi="Cambria Math" w:cs="Calibri"/>
            <w:color w:val="000000"/>
            <w:sz w:val="22"/>
            <w:szCs w:val="22"/>
          </w:rPr>
          <m:t>L=100</m:t>
        </m:r>
      </m:oMath>
      <w:r w:rsidR="00CE4042" w:rsidRPr="00EC4857">
        <w:rPr>
          <w:rFonts w:ascii="Calibri" w:eastAsiaTheme="minorEastAsia" w:hAnsi="Calibri" w:cs="Calibri"/>
          <w:color w:val="000000"/>
          <w:sz w:val="22"/>
          <w:szCs w:val="22"/>
        </w:rPr>
        <w:t xml:space="preserve"> e </w:t>
      </w:r>
      <m:oMath>
        <m:r>
          <w:rPr>
            <w:rFonts w:ascii="Cambria Math" w:eastAsiaTheme="minorEastAsia" w:hAnsi="Cambria Math" w:cs="Calibri"/>
            <w:color w:val="000000"/>
            <w:sz w:val="22"/>
            <w:szCs w:val="22"/>
          </w:rPr>
          <m:t>T=300</m:t>
        </m:r>
      </m:oMath>
      <w:r w:rsidR="000374D4" w:rsidRPr="00EC4857">
        <w:rPr>
          <w:rFonts w:ascii="Calibri" w:eastAsiaTheme="minorEastAsia" w:hAnsi="Calibri" w:cs="Calibri"/>
          <w:color w:val="000000"/>
          <w:sz w:val="22"/>
          <w:szCs w:val="22"/>
        </w:rPr>
        <w:t xml:space="preserve"> em hardware desktop padrão</w:t>
      </w:r>
      <w:r w:rsidR="006B749F" w:rsidRPr="00EC4857">
        <w:rPr>
          <w:rFonts w:ascii="Calibri" w:eastAsiaTheme="minorEastAsia" w:hAnsi="Calibri" w:cs="Calibri"/>
          <w:color w:val="000000"/>
          <w:sz w:val="22"/>
          <w:szCs w:val="22"/>
        </w:rPr>
        <w:t>.</w:t>
      </w:r>
      <w:r w:rsidR="00EC4857" w:rsidRPr="00EC4857">
        <w:rPr>
          <w:rFonts w:ascii="Calibri" w:eastAsiaTheme="minorEastAsia" w:hAnsi="Calibri" w:cs="Calibri"/>
          <w:color w:val="000000"/>
          <w:sz w:val="22"/>
          <w:szCs w:val="22"/>
        </w:rPr>
        <w:t xml:space="preserve"> O código completo é fornecido como material suplementar.</w:t>
      </w:r>
    </w:p>
    <w:p w14:paraId="3B564A6F" w14:textId="1614760F" w:rsidR="00EC4857" w:rsidRPr="008263B0" w:rsidRDefault="008263B0" w:rsidP="008263B0">
      <w:pPr>
        <w:pStyle w:val="ListParagraph"/>
        <w:numPr>
          <w:ilvl w:val="0"/>
          <w:numId w:val="3"/>
        </w:numPr>
        <w:spacing w:after="240" w:line="240" w:lineRule="auto"/>
        <w:ind w:left="360"/>
        <w:jc w:val="both"/>
        <w:rPr>
          <w:rFonts w:ascii="Calibri" w:eastAsiaTheme="minorEastAsia" w:hAnsi="Calibri" w:cs="Calibri"/>
          <w:b/>
          <w:bCs/>
          <w:color w:val="000000"/>
          <w:sz w:val="28"/>
          <w:szCs w:val="28"/>
        </w:rPr>
      </w:pPr>
      <w:r w:rsidRPr="008263B0">
        <w:rPr>
          <w:rFonts w:ascii="Calibri" w:eastAsiaTheme="minorEastAsia" w:hAnsi="Calibri" w:cs="Calibri"/>
          <w:b/>
          <w:bCs/>
          <w:color w:val="000000"/>
          <w:sz w:val="28"/>
          <w:szCs w:val="28"/>
        </w:rPr>
        <w:t>Resultados</w:t>
      </w:r>
    </w:p>
    <w:p w14:paraId="7501A805" w14:textId="6D4C1ECD" w:rsidR="00501C01" w:rsidRPr="000B4D74" w:rsidRDefault="00501C01" w:rsidP="000B4D74">
      <w:pPr>
        <w:pStyle w:val="ListParagraph"/>
        <w:numPr>
          <w:ilvl w:val="1"/>
          <w:numId w:val="3"/>
        </w:numPr>
        <w:spacing w:after="120" w:line="240" w:lineRule="auto"/>
        <w:ind w:left="833"/>
        <w:jc w:val="both"/>
        <w:rPr>
          <w:rFonts w:ascii="Calibri" w:eastAsiaTheme="minorEastAsia" w:hAnsi="Calibri" w:cs="Calibri"/>
          <w:b/>
          <w:bCs/>
          <w:color w:val="000000"/>
        </w:rPr>
      </w:pPr>
      <w:r w:rsidRPr="000B4D74">
        <w:rPr>
          <w:rFonts w:ascii="Calibri" w:eastAsiaTheme="minorEastAsia" w:hAnsi="Calibri" w:cs="Calibri"/>
          <w:b/>
          <w:bCs/>
          <w:color w:val="000000"/>
        </w:rPr>
        <w:t>Regime de Baixa Mortalidade (ρ = 0,0)</w:t>
      </w:r>
    </w:p>
    <w:p w14:paraId="6BE653BA" w14:textId="53F05CE8" w:rsidR="009F6104" w:rsidRDefault="009F6104" w:rsidP="009F6104">
      <w:pPr>
        <w:spacing w:after="120" w:line="240" w:lineRule="auto"/>
        <w:jc w:val="both"/>
        <w:rPr>
          <w:rFonts w:ascii="Calibri" w:eastAsiaTheme="minorEastAsia" w:hAnsi="Calibri" w:cs="Calibri"/>
          <w:color w:val="000000"/>
          <w:sz w:val="22"/>
          <w:szCs w:val="22"/>
        </w:rPr>
      </w:pPr>
      <w:r w:rsidRPr="009F6104">
        <w:rPr>
          <w:rFonts w:ascii="Calibri" w:eastAsiaTheme="minorEastAsia" w:hAnsi="Calibri" w:cs="Calibri"/>
          <w:color w:val="000000"/>
          <w:sz w:val="22"/>
          <w:szCs w:val="22"/>
        </w:rPr>
        <w:t>Na ausência de mortalidade induzida</w:t>
      </w:r>
      <m:oMath>
        <m:r>
          <w:rPr>
            <w:rFonts w:ascii="Cambria Math" w:eastAsiaTheme="minorEastAsia" w:hAnsi="Cambria Math" w:cs="Calibri"/>
            <w:color w:val="000000"/>
            <w:sz w:val="22"/>
            <w:szCs w:val="22"/>
          </w:rPr>
          <m:t xml:space="preserve"> </m:t>
        </m:r>
        <m:r>
          <m:rPr>
            <m:sty m:val="p"/>
          </m:rPr>
          <w:rPr>
            <w:rFonts w:ascii="Cambria Math" w:eastAsiaTheme="minorEastAsia" w:hAnsi="Cambria Math" w:cs="Calibri"/>
            <w:color w:val="000000"/>
            <w:sz w:val="22"/>
            <w:szCs w:val="22"/>
          </w:rPr>
          <m:t>(ρ = 0.0)</m:t>
        </m:r>
      </m:oMath>
      <w:r w:rsidRPr="009F6104">
        <w:rPr>
          <w:rFonts w:ascii="Calibri" w:eastAsiaTheme="minorEastAsia" w:hAnsi="Calibri" w:cs="Calibri"/>
          <w:color w:val="000000"/>
          <w:sz w:val="22"/>
          <w:szCs w:val="22"/>
        </w:rPr>
        <w:t>, o modelo SI sem estrutura espacial prevê a infecção total da população a uma taxa dependente do número básico de reprodução. No autômato celular, isso se traduz em rápida invasão espacial. As simulações (Figura 1, linha superior) mostram que, em</w:t>
      </w:r>
      <w:r w:rsidR="00616A42">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t = 50</m:t>
        </m:r>
      </m:oMath>
      <w:r w:rsidRPr="009F6104">
        <w:rPr>
          <w:rFonts w:ascii="Calibri" w:eastAsiaTheme="minorEastAsia" w:hAnsi="Calibri" w:cs="Calibri"/>
          <w:color w:val="000000"/>
          <w:sz w:val="22"/>
          <w:szCs w:val="22"/>
        </w:rPr>
        <w:t>, cerca de 90% da grade já está infectada; em</w:t>
      </w:r>
      <w:r w:rsidR="00265083">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t = 100</m:t>
        </m:r>
      </m:oMath>
      <w:r w:rsidRPr="009F6104">
        <w:rPr>
          <w:rFonts w:ascii="Calibri" w:eastAsiaTheme="minorEastAsia" w:hAnsi="Calibri" w:cs="Calibri"/>
          <w:color w:val="000000"/>
          <w:sz w:val="22"/>
          <w:szCs w:val="22"/>
        </w:rPr>
        <w:t>, quase todo o sistema encontra-se no estado I; e, em</w:t>
      </w:r>
      <w:r w:rsidR="00265083">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t = 200</m:t>
        </m:r>
      </m:oMath>
      <w:r w:rsidRPr="009F6104">
        <w:rPr>
          <w:rFonts w:ascii="Calibri" w:eastAsiaTheme="minorEastAsia" w:hAnsi="Calibri" w:cs="Calibri"/>
          <w:color w:val="000000"/>
          <w:sz w:val="22"/>
          <w:szCs w:val="22"/>
        </w:rPr>
        <w:t>, observa-se homogeneidade completa, com as 10.000 células infectadas.</w:t>
      </w:r>
    </w:p>
    <w:p w14:paraId="48B1E1F9" w14:textId="28DAC5E3" w:rsidR="009D33C3" w:rsidRDefault="009D33C3" w:rsidP="009F6104">
      <w:pPr>
        <w:spacing w:after="120" w:line="240" w:lineRule="auto"/>
        <w:jc w:val="center"/>
        <w:rPr>
          <w:rFonts w:ascii="Calibri" w:eastAsiaTheme="minorEastAsia" w:hAnsi="Calibri" w:cs="Calibri"/>
          <w:color w:val="000000"/>
          <w:sz w:val="22"/>
          <w:szCs w:val="22"/>
        </w:rPr>
      </w:pPr>
      <w:r>
        <w:rPr>
          <w:rFonts w:ascii="Calibri" w:eastAsiaTheme="minorEastAsia" w:hAnsi="Calibri" w:cs="Calibri"/>
          <w:noProof/>
          <w:color w:val="000000"/>
          <w:sz w:val="22"/>
          <w:szCs w:val="22"/>
        </w:rPr>
        <w:drawing>
          <wp:inline distT="0" distB="0" distL="0" distR="0" wp14:anchorId="4BBDACC3" wp14:editId="183381AC">
            <wp:extent cx="4190163" cy="2956023"/>
            <wp:effectExtent l="0" t="0" r="1270" b="0"/>
            <wp:docPr id="189639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93051" cy="2958061"/>
                    </a:xfrm>
                    <a:prstGeom prst="rect">
                      <a:avLst/>
                    </a:prstGeom>
                    <a:noFill/>
                    <a:ln>
                      <a:noFill/>
                    </a:ln>
                  </pic:spPr>
                </pic:pic>
              </a:graphicData>
            </a:graphic>
          </wp:inline>
        </w:drawing>
      </w:r>
    </w:p>
    <w:p w14:paraId="3EFF760E" w14:textId="696E7848" w:rsidR="009D33C3" w:rsidRPr="00787871" w:rsidRDefault="009D33C3" w:rsidP="009D33C3">
      <w:pPr>
        <w:spacing w:after="120" w:line="240" w:lineRule="auto"/>
        <w:jc w:val="center"/>
        <w:rPr>
          <w:rFonts w:ascii="Calibri" w:eastAsiaTheme="minorEastAsia" w:hAnsi="Calibri" w:cs="Calibri"/>
          <w:b/>
          <w:bCs/>
          <w:color w:val="000000"/>
          <w:sz w:val="22"/>
          <w:szCs w:val="22"/>
        </w:rPr>
      </w:pPr>
      <w:r w:rsidRPr="00787871">
        <w:rPr>
          <w:rFonts w:ascii="Calibri" w:eastAsiaTheme="minorEastAsia" w:hAnsi="Calibri" w:cs="Calibri"/>
          <w:b/>
          <w:bCs/>
          <w:color w:val="000000"/>
          <w:sz w:val="22"/>
          <w:szCs w:val="22"/>
        </w:rPr>
        <w:t>Figura 1: Padrões espaciais da grade celular (Preto = Morto, Azul = Suscetível, Vermelho = Infectado)</w:t>
      </w:r>
    </w:p>
    <w:p w14:paraId="7FC45526" w14:textId="0AF7B240" w:rsidR="00C1732C" w:rsidRDefault="00C1732C" w:rsidP="00501C01">
      <w:pPr>
        <w:spacing w:after="120" w:line="240" w:lineRule="auto"/>
        <w:jc w:val="both"/>
        <w:rPr>
          <w:rFonts w:ascii="Calibri" w:eastAsiaTheme="minorEastAsia" w:hAnsi="Calibri" w:cs="Calibri"/>
          <w:color w:val="000000"/>
          <w:sz w:val="22"/>
          <w:szCs w:val="22"/>
        </w:rPr>
      </w:pPr>
      <w:r w:rsidRPr="00C1732C">
        <w:rPr>
          <w:rFonts w:ascii="Calibri" w:eastAsiaTheme="minorEastAsia" w:hAnsi="Calibri" w:cs="Calibri"/>
          <w:color w:val="000000"/>
          <w:sz w:val="22"/>
          <w:szCs w:val="22"/>
        </w:rPr>
        <w:t>Quantitativamente (Tabela 1), a prevalência segue curva sigmoidal típica de crescimento logístico. O pico ocorre em</w:t>
      </w:r>
      <w:r w:rsidR="00265083">
        <w:rPr>
          <w:rFonts w:ascii="Calibri" w:eastAsiaTheme="minorEastAsia" w:hAnsi="Calibri" w:cs="Calibri"/>
          <w:color w:val="000000"/>
          <w:sz w:val="22"/>
          <w:szCs w:val="22"/>
        </w:rPr>
        <w:t xml:space="preserve"> </w:t>
      </w:r>
      <m:oMath>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23</m:t>
        </m:r>
      </m:oMath>
      <w:r w:rsidRPr="00C1732C">
        <w:rPr>
          <w:rFonts w:ascii="Calibri" w:eastAsiaTheme="minorEastAsia" w:hAnsi="Calibri" w:cs="Calibri"/>
          <w:color w:val="000000"/>
          <w:sz w:val="22"/>
          <w:szCs w:val="22"/>
        </w:rPr>
        <w:t>, atingindo 100%, permanecendo nesse valor devido à ausência de recuperação ou morte. A entropia de Shannon (Figura 2) apresenta dinâmica característica: na fase inicial</w:t>
      </w:r>
      <w:r w:rsidR="00265083">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m:t>
        </m:r>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0-10)</m:t>
        </m:r>
      </m:oMath>
      <w:r w:rsidRPr="00C1732C">
        <w:rPr>
          <w:rFonts w:ascii="Calibri" w:eastAsiaTheme="minorEastAsia" w:hAnsi="Calibri" w:cs="Calibri"/>
          <w:color w:val="000000"/>
          <w:sz w:val="22"/>
          <w:szCs w:val="22"/>
        </w:rPr>
        <w:t xml:space="preserve">, cresce de </w:t>
      </w:r>
      <m:oMath>
        <m:r>
          <m:rPr>
            <m:sty m:val="p"/>
          </m:rPr>
          <w:rPr>
            <w:rFonts w:ascii="Cambria Math" w:eastAsiaTheme="minorEastAsia" w:hAnsi="Cambria Math" w:cs="Calibri"/>
            <w:color w:val="000000"/>
            <w:sz w:val="22"/>
            <w:szCs w:val="22"/>
          </w:rPr>
          <m:t>H ≈ 0,08</m:t>
        </m:r>
      </m:oMath>
      <w:r w:rsidR="00616A42">
        <w:rPr>
          <w:rFonts w:ascii="Calibri" w:eastAsiaTheme="minorEastAsia" w:hAnsi="Calibri" w:cs="Calibri"/>
          <w:color w:val="000000"/>
          <w:sz w:val="22"/>
          <w:szCs w:val="22"/>
        </w:rPr>
        <w:t xml:space="preserve"> </w:t>
      </w:r>
      <w:r w:rsidRPr="00C1732C">
        <w:rPr>
          <w:rFonts w:ascii="Calibri" w:eastAsiaTheme="minorEastAsia" w:hAnsi="Calibri" w:cs="Calibri"/>
          <w:color w:val="000000"/>
          <w:sz w:val="22"/>
          <w:szCs w:val="22"/>
        </w:rPr>
        <w:t>para</w:t>
      </w:r>
      <w:r w:rsidR="00616A42">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H ≈ 0,69</m:t>
        </m:r>
      </m:oMath>
      <w:r w:rsidRPr="00C1732C">
        <w:rPr>
          <w:rFonts w:ascii="Calibri" w:eastAsiaTheme="minorEastAsia" w:hAnsi="Calibri" w:cs="Calibri"/>
          <w:color w:val="000000"/>
          <w:sz w:val="22"/>
          <w:szCs w:val="22"/>
        </w:rPr>
        <w:t>, refletindo coexistência de estados durante a expansão da infecção; na transição</w:t>
      </w:r>
      <w:r w:rsidR="00616A42">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m:t>
        </m:r>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10-30)</m:t>
        </m:r>
      </m:oMath>
      <w:r w:rsidRPr="00C1732C">
        <w:rPr>
          <w:rFonts w:ascii="Calibri" w:eastAsiaTheme="minorEastAsia" w:hAnsi="Calibri" w:cs="Calibri"/>
          <w:color w:val="000000"/>
          <w:sz w:val="22"/>
          <w:szCs w:val="22"/>
        </w:rPr>
        <w:t>, decai abruptamente para valores próximos de zero, acompanhando a homogeneização; e, no regime estacionário</w:t>
      </w:r>
      <w:r w:rsidR="00616A42">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m:t>
        </m:r>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&gt; 30)</m:t>
        </m:r>
      </m:oMath>
      <w:r w:rsidRPr="00C1732C">
        <w:rPr>
          <w:rFonts w:ascii="Calibri" w:eastAsiaTheme="minorEastAsia" w:hAnsi="Calibri" w:cs="Calibri"/>
          <w:color w:val="000000"/>
          <w:sz w:val="22"/>
          <w:szCs w:val="22"/>
        </w:rPr>
        <w:t>, mantém-se em</w:t>
      </w:r>
      <w:r w:rsidR="00616A42">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H ≈ 0</m:t>
        </m:r>
      </m:oMath>
      <w:r w:rsidRPr="00C1732C">
        <w:rPr>
          <w:rFonts w:ascii="Calibri" w:eastAsiaTheme="minorEastAsia" w:hAnsi="Calibri" w:cs="Calibri"/>
          <w:color w:val="000000"/>
          <w:sz w:val="22"/>
          <w:szCs w:val="22"/>
        </w:rPr>
        <w:t>, indicando configuração totalmente uniforme.</w:t>
      </w:r>
    </w:p>
    <w:p w14:paraId="58E9D6C6" w14:textId="2BCFB313" w:rsidR="009D33C3" w:rsidRDefault="00A01217" w:rsidP="00265083">
      <w:pPr>
        <w:spacing w:after="120" w:line="240" w:lineRule="auto"/>
        <w:jc w:val="center"/>
        <w:rPr>
          <w:rFonts w:ascii="Calibri" w:eastAsiaTheme="minorEastAsia" w:hAnsi="Calibri" w:cs="Calibri"/>
          <w:color w:val="000000"/>
          <w:sz w:val="22"/>
          <w:szCs w:val="22"/>
        </w:rPr>
      </w:pPr>
      <w:r>
        <w:rPr>
          <w:rFonts w:ascii="Calibri" w:eastAsiaTheme="minorEastAsia" w:hAnsi="Calibri" w:cs="Calibri"/>
          <w:noProof/>
          <w:color w:val="000000"/>
          <w:sz w:val="22"/>
          <w:szCs w:val="22"/>
        </w:rPr>
        <w:lastRenderedPageBreak/>
        <w:drawing>
          <wp:inline distT="0" distB="0" distL="0" distR="0" wp14:anchorId="79E18B01" wp14:editId="67174135">
            <wp:extent cx="4664485" cy="1870739"/>
            <wp:effectExtent l="0" t="0" r="3175" b="0"/>
            <wp:docPr id="995914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4762" cy="1878871"/>
                    </a:xfrm>
                    <a:prstGeom prst="rect">
                      <a:avLst/>
                    </a:prstGeom>
                    <a:noFill/>
                    <a:ln>
                      <a:noFill/>
                    </a:ln>
                  </pic:spPr>
                </pic:pic>
              </a:graphicData>
            </a:graphic>
          </wp:inline>
        </w:drawing>
      </w:r>
    </w:p>
    <w:p w14:paraId="34AC68E2" w14:textId="06A9B4CA" w:rsidR="00A01217" w:rsidRPr="008928B3" w:rsidRDefault="008928B3" w:rsidP="008928B3">
      <w:pPr>
        <w:spacing w:after="120" w:line="240" w:lineRule="auto"/>
        <w:jc w:val="center"/>
        <w:rPr>
          <w:rFonts w:ascii="Calibri" w:eastAsiaTheme="minorEastAsia" w:hAnsi="Calibri" w:cs="Calibri"/>
          <w:b/>
          <w:bCs/>
          <w:color w:val="000000"/>
          <w:sz w:val="22"/>
          <w:szCs w:val="22"/>
        </w:rPr>
      </w:pPr>
      <w:r w:rsidRPr="008928B3">
        <w:rPr>
          <w:rFonts w:ascii="Calibri" w:eastAsiaTheme="minorEastAsia" w:hAnsi="Calibri" w:cs="Calibri"/>
          <w:b/>
          <w:bCs/>
          <w:color w:val="000000"/>
          <w:sz w:val="22"/>
          <w:szCs w:val="22"/>
        </w:rPr>
        <w:t>Figura 2: Evolução da Entropia de Shannon para Diferentes Taxas de Mortalidade</w:t>
      </w:r>
    </w:p>
    <w:p w14:paraId="6B822B66" w14:textId="318275D3" w:rsidR="00265083" w:rsidRPr="00265083" w:rsidRDefault="00265083" w:rsidP="00265083">
      <w:pPr>
        <w:spacing w:after="120" w:line="240" w:lineRule="auto"/>
        <w:jc w:val="both"/>
        <w:rPr>
          <w:rFonts w:ascii="Calibri" w:eastAsiaTheme="minorEastAsia" w:hAnsi="Calibri" w:cs="Calibri"/>
          <w:color w:val="000000"/>
          <w:sz w:val="22"/>
          <w:szCs w:val="22"/>
        </w:rPr>
      </w:pPr>
      <w:r w:rsidRPr="00265083">
        <w:rPr>
          <w:rFonts w:ascii="Calibri" w:eastAsiaTheme="minorEastAsia" w:hAnsi="Calibri" w:cs="Calibri"/>
          <w:color w:val="000000"/>
          <w:sz w:val="22"/>
          <w:szCs w:val="22"/>
        </w:rPr>
        <w:t xml:space="preserve">A entropia máxima é </w:t>
      </w:r>
      <m:oMath>
        <m:r>
          <m:rPr>
            <m:sty m:val="p"/>
          </m:rPr>
          <w:rPr>
            <w:rFonts w:ascii="Cambria Math" w:eastAsiaTheme="minorEastAsia" w:hAnsi="Cambria Math" w:cs="Calibri"/>
            <w:color w:val="000000"/>
            <w:sz w:val="22"/>
            <w:szCs w:val="22"/>
          </w:rPr>
          <m:t xml:space="preserve">H_max = 0,995 bits </m:t>
        </m:r>
      </m:oMath>
      <w:r w:rsidRPr="00265083">
        <w:rPr>
          <w:rFonts w:ascii="Calibri" w:eastAsiaTheme="minorEastAsia" w:hAnsi="Calibri" w:cs="Calibri"/>
          <w:color w:val="000000"/>
          <w:sz w:val="22"/>
          <w:szCs w:val="22"/>
        </w:rPr>
        <w:t>(fase transitória), enquanto a média é</w:t>
      </w:r>
      <w:r w:rsidR="00D53263">
        <w:rPr>
          <w:rFonts w:ascii="Calibri" w:eastAsiaTheme="minorEastAsia" w:hAnsi="Calibri" w:cs="Calibri"/>
          <w:color w:val="000000"/>
          <w:sz w:val="22"/>
          <w:szCs w:val="22"/>
        </w:rPr>
        <w:t xml:space="preserve"> </w:t>
      </w:r>
      <m:oMath>
        <m:sSub>
          <m:sSubPr>
            <m:ctrlPr>
              <w:rPr>
                <w:rFonts w:ascii="Cambria Math" w:eastAsiaTheme="minorEastAsia" w:hAnsi="Cambria Math" w:cs="Calibri"/>
                <w:color w:val="000000"/>
                <w:sz w:val="22"/>
                <w:szCs w:val="22"/>
              </w:rPr>
            </m:ctrlPr>
          </m:sSubPr>
          <m:e>
            <m:r>
              <m:rPr>
                <m:sty m:val="p"/>
              </m:rPr>
              <w:rPr>
                <w:rFonts w:ascii="Cambria Math" w:eastAsiaTheme="minorEastAsia" w:hAnsi="Cambria Math" w:cs="Calibri"/>
                <w:color w:val="000000"/>
                <w:sz w:val="22"/>
                <w:szCs w:val="22"/>
              </w:rPr>
              <m:t>H</m:t>
            </m:r>
          </m:e>
          <m:sub>
            <m:r>
              <w:rPr>
                <w:rFonts w:ascii="Cambria Math" w:eastAsiaTheme="minorEastAsia" w:hAnsi="Cambria Math" w:cs="Calibri"/>
                <w:color w:val="000000"/>
                <w:sz w:val="22"/>
                <w:szCs w:val="22"/>
              </w:rPr>
              <m:t>mean</m:t>
            </m:r>
          </m:sub>
        </m:sSub>
        <m:r>
          <m:rPr>
            <m:sty m:val="p"/>
          </m:rPr>
          <w:rPr>
            <w:rFonts w:ascii="Cambria Math" w:eastAsiaTheme="minorEastAsia" w:hAnsi="Cambria Math" w:cs="Calibri"/>
            <w:color w:val="000000"/>
            <w:sz w:val="22"/>
            <w:szCs w:val="22"/>
          </w:rPr>
          <m:t xml:space="preserve"> = 0,032 bits</m:t>
        </m:r>
      </m:oMath>
      <w:r w:rsidRPr="00265083">
        <w:rPr>
          <w:rFonts w:ascii="Calibri" w:eastAsiaTheme="minorEastAsia" w:hAnsi="Calibri" w:cs="Calibri"/>
          <w:color w:val="000000"/>
          <w:sz w:val="22"/>
          <w:szCs w:val="22"/>
        </w:rPr>
        <w:t>, evidenciando predominância de estados altamente ordenados ao longo da simulação. Segundo a classificação de Wolfram, o regime corresponde à Classe 1, caracterizada por atrator de ponto fixo. O sistema converge rapidamente para a configuração estável “todas as células infectadas” e nela permanece indefinidamente, exibindo comportamento determinístico e complexidade algorítmica mínima, pois a configuração pode ser descrita por uma regra simples (e.g., matriz 100 × 100 com valor 2).</w:t>
      </w:r>
    </w:p>
    <w:p w14:paraId="0D9CBC9E" w14:textId="16F9CBF3" w:rsidR="005F5175" w:rsidRPr="000B4D74" w:rsidRDefault="005F5175" w:rsidP="000B4D74">
      <w:pPr>
        <w:pStyle w:val="ListParagraph"/>
        <w:numPr>
          <w:ilvl w:val="1"/>
          <w:numId w:val="3"/>
        </w:numPr>
        <w:spacing w:after="120" w:line="240" w:lineRule="auto"/>
        <w:ind w:left="833"/>
        <w:jc w:val="both"/>
        <w:rPr>
          <w:rFonts w:ascii="Calibri" w:eastAsiaTheme="minorEastAsia" w:hAnsi="Calibri" w:cs="Calibri"/>
          <w:b/>
          <w:bCs/>
          <w:color w:val="000000"/>
        </w:rPr>
      </w:pPr>
      <w:r w:rsidRPr="000B4D74">
        <w:rPr>
          <w:rFonts w:ascii="Calibri" w:eastAsiaTheme="minorEastAsia" w:hAnsi="Calibri" w:cs="Calibri"/>
          <w:b/>
          <w:bCs/>
          <w:color w:val="000000"/>
        </w:rPr>
        <w:t>Regime de Mortalidade Intermediária (ρ = 0,3)</w:t>
      </w:r>
    </w:p>
    <w:p w14:paraId="7EAADBDE" w14:textId="1B2F73CD" w:rsidR="000B07BA" w:rsidRPr="005F5175" w:rsidRDefault="000B07BA" w:rsidP="000B07BA">
      <w:pPr>
        <w:spacing w:after="240" w:line="240" w:lineRule="auto"/>
        <w:jc w:val="both"/>
        <w:rPr>
          <w:rFonts w:ascii="Calibri" w:eastAsiaTheme="minorEastAsia" w:hAnsi="Calibri" w:cs="Calibri"/>
          <w:color w:val="000000"/>
          <w:sz w:val="22"/>
          <w:szCs w:val="22"/>
        </w:rPr>
      </w:pPr>
      <w:r w:rsidRPr="000B07BA">
        <w:rPr>
          <w:rFonts w:ascii="Calibri" w:eastAsiaTheme="minorEastAsia" w:hAnsi="Calibri" w:cs="Calibri"/>
          <w:color w:val="000000"/>
          <w:sz w:val="22"/>
          <w:szCs w:val="22"/>
        </w:rPr>
        <w:t xml:space="preserve">Quando a mortalidade induzida é intermediária (ρ = 0,3), a dinâmica sofre mudança qualitativa. A Figura 1 (linha central) mostra que, em </w:t>
      </w:r>
      <w:r w:rsidRPr="000B07BA">
        <w:rPr>
          <w:rFonts w:ascii="Calibri" w:eastAsiaTheme="minorEastAsia" w:hAnsi="Calibri" w:cs="Calibri"/>
          <w:i/>
          <w:iCs/>
          <w:color w:val="000000"/>
          <w:sz w:val="22"/>
          <w:szCs w:val="22"/>
        </w:rPr>
        <w:t>t</w:t>
      </w:r>
      <w:r w:rsidRPr="000B07BA">
        <w:rPr>
          <w:rFonts w:ascii="Calibri" w:eastAsiaTheme="minorEastAsia" w:hAnsi="Calibri" w:cs="Calibri"/>
          <w:color w:val="000000"/>
          <w:sz w:val="22"/>
          <w:szCs w:val="22"/>
        </w:rPr>
        <w:t xml:space="preserve"> = 50, há mistura complexa de suscetíveis (azul), infectados (vermelho) e mortos (preto), com células mortas formando barreiras que fragmentam a paisagem e isolam bolsões de suscetíveis. Em </w:t>
      </w:r>
      <w:r w:rsidRPr="000B07BA">
        <w:rPr>
          <w:rFonts w:ascii="Calibri" w:eastAsiaTheme="minorEastAsia" w:hAnsi="Calibri" w:cs="Calibri"/>
          <w:i/>
          <w:iCs/>
          <w:color w:val="000000"/>
          <w:sz w:val="22"/>
          <w:szCs w:val="22"/>
        </w:rPr>
        <w:t>t</w:t>
      </w:r>
      <w:r w:rsidRPr="000B07BA">
        <w:rPr>
          <w:rFonts w:ascii="Calibri" w:eastAsiaTheme="minorEastAsia" w:hAnsi="Calibri" w:cs="Calibri"/>
          <w:color w:val="000000"/>
          <w:sz w:val="22"/>
          <w:szCs w:val="22"/>
        </w:rPr>
        <w:t xml:space="preserve"> = 100, a infecção colapsa e predominam células mortas; em </w:t>
      </w:r>
      <w:r w:rsidRPr="000B07BA">
        <w:rPr>
          <w:rFonts w:ascii="Calibri" w:eastAsiaTheme="minorEastAsia" w:hAnsi="Calibri" w:cs="Calibri"/>
          <w:i/>
          <w:iCs/>
          <w:color w:val="000000"/>
          <w:sz w:val="22"/>
          <w:szCs w:val="22"/>
        </w:rPr>
        <w:t>t</w:t>
      </w:r>
      <w:r w:rsidRPr="000B07BA">
        <w:rPr>
          <w:rFonts w:ascii="Calibri" w:eastAsiaTheme="minorEastAsia" w:hAnsi="Calibri" w:cs="Calibri"/>
          <w:color w:val="000000"/>
          <w:sz w:val="22"/>
          <w:szCs w:val="22"/>
        </w:rPr>
        <w:t xml:space="preserve"> = 200, cerca de 99,94% da grade está no estado D, com infecção praticamente inexistente.</w:t>
      </w:r>
    </w:p>
    <w:tbl>
      <w:tblPr>
        <w:tblStyle w:val="PlainTable1"/>
        <w:tblpPr w:leftFromText="180" w:rightFromText="180" w:vertAnchor="text" w:horzAnchor="margin" w:tblpY="-38"/>
        <w:tblW w:w="0" w:type="auto"/>
        <w:tblLook w:val="04A0" w:firstRow="1" w:lastRow="0" w:firstColumn="1" w:lastColumn="0" w:noHBand="0" w:noVBand="1"/>
      </w:tblPr>
      <w:tblGrid>
        <w:gridCol w:w="2405"/>
        <w:gridCol w:w="1985"/>
        <w:gridCol w:w="1980"/>
        <w:gridCol w:w="2124"/>
      </w:tblGrid>
      <w:tr w:rsidR="00D53263" w14:paraId="09976F83" w14:textId="77777777" w:rsidTr="00D53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191B57" w14:textId="77777777" w:rsidR="00D53263" w:rsidRDefault="00D53263" w:rsidP="00D53263">
            <w:pPr>
              <w:spacing w:after="120"/>
              <w:jc w:val="both"/>
              <w:rPr>
                <w:rFonts w:ascii="Calibri" w:eastAsiaTheme="minorEastAsia" w:hAnsi="Calibri" w:cs="Calibri"/>
                <w:color w:val="000000"/>
                <w:sz w:val="22"/>
                <w:szCs w:val="22"/>
              </w:rPr>
            </w:pPr>
            <w:r>
              <w:rPr>
                <w:rFonts w:ascii="Calibri" w:eastAsiaTheme="minorEastAsia" w:hAnsi="Calibri" w:cs="Calibri"/>
                <w:color w:val="000000"/>
                <w:sz w:val="22"/>
                <w:szCs w:val="22"/>
              </w:rPr>
              <w:t>Métrica</w:t>
            </w:r>
          </w:p>
        </w:tc>
        <w:tc>
          <w:tcPr>
            <w:tcW w:w="1985" w:type="dxa"/>
          </w:tcPr>
          <w:p w14:paraId="6A3AC938" w14:textId="77777777" w:rsidR="00D53263" w:rsidRDefault="00D53263" w:rsidP="00D53263">
            <w:pPr>
              <w:spacing w:after="12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95785A">
              <w:rPr>
                <w:rFonts w:ascii="Calibri" w:eastAsiaTheme="minorEastAsia" w:hAnsi="Calibri" w:cs="Calibri"/>
                <w:color w:val="000000"/>
                <w:sz w:val="22"/>
                <w:szCs w:val="22"/>
              </w:rPr>
              <w:t>ρ = 0.0</w:t>
            </w:r>
          </w:p>
        </w:tc>
        <w:tc>
          <w:tcPr>
            <w:tcW w:w="1980" w:type="dxa"/>
          </w:tcPr>
          <w:p w14:paraId="6C4669D8" w14:textId="77777777" w:rsidR="00D53263" w:rsidRDefault="00D53263" w:rsidP="00D53263">
            <w:pPr>
              <w:spacing w:after="12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95785A">
              <w:rPr>
                <w:rFonts w:ascii="Calibri" w:eastAsiaTheme="minorEastAsia" w:hAnsi="Calibri" w:cs="Calibri"/>
                <w:color w:val="000000"/>
                <w:sz w:val="22"/>
                <w:szCs w:val="22"/>
              </w:rPr>
              <w:t>ρ = 0.3</w:t>
            </w:r>
          </w:p>
        </w:tc>
        <w:tc>
          <w:tcPr>
            <w:tcW w:w="2124" w:type="dxa"/>
          </w:tcPr>
          <w:p w14:paraId="64577103" w14:textId="77777777" w:rsidR="00D53263" w:rsidRDefault="00D53263" w:rsidP="00D53263">
            <w:pPr>
              <w:spacing w:after="12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95785A">
              <w:rPr>
                <w:rFonts w:ascii="Calibri" w:eastAsiaTheme="minorEastAsia" w:hAnsi="Calibri" w:cs="Calibri"/>
                <w:color w:val="000000"/>
                <w:sz w:val="22"/>
                <w:szCs w:val="22"/>
              </w:rPr>
              <w:t>ρ = 0.7</w:t>
            </w:r>
          </w:p>
        </w:tc>
      </w:tr>
      <w:tr w:rsidR="00D53263" w14:paraId="65544365" w14:textId="77777777" w:rsidTr="00D5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9DABE4" w14:textId="77777777" w:rsidR="00D53263" w:rsidRDefault="00D53263" w:rsidP="00D53263">
            <w:pPr>
              <w:spacing w:after="120"/>
              <w:jc w:val="both"/>
              <w:rPr>
                <w:rFonts w:ascii="Calibri" w:eastAsiaTheme="minorEastAsia" w:hAnsi="Calibri" w:cs="Calibri"/>
                <w:color w:val="000000"/>
                <w:sz w:val="22"/>
                <w:szCs w:val="22"/>
              </w:rPr>
            </w:pPr>
            <w:r w:rsidRPr="00752D7B">
              <w:rPr>
                <w:rFonts w:ascii="Calibri" w:eastAsiaTheme="minorEastAsia" w:hAnsi="Calibri" w:cs="Calibri"/>
                <w:color w:val="000000"/>
                <w:sz w:val="22"/>
                <w:szCs w:val="22"/>
              </w:rPr>
              <w:t>Entropia (H) máxima</w:t>
            </w:r>
          </w:p>
        </w:tc>
        <w:tc>
          <w:tcPr>
            <w:tcW w:w="1985" w:type="dxa"/>
          </w:tcPr>
          <w:p w14:paraId="68D7FF40" w14:textId="77777777" w:rsidR="00D53263" w:rsidRPr="0095785A"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0.995</w:t>
            </w:r>
          </w:p>
        </w:tc>
        <w:tc>
          <w:tcPr>
            <w:tcW w:w="1980" w:type="dxa"/>
          </w:tcPr>
          <w:p w14:paraId="416827A5" w14:textId="77777777" w:rsidR="00D53263" w:rsidRPr="0095785A"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1.578 1</w:t>
            </w:r>
          </w:p>
        </w:tc>
        <w:tc>
          <w:tcPr>
            <w:tcW w:w="2124" w:type="dxa"/>
          </w:tcPr>
          <w:p w14:paraId="53C5C646" w14:textId="77777777" w:rsidR="00D53263" w:rsidRPr="0095785A"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1.424</w:t>
            </w:r>
          </w:p>
        </w:tc>
      </w:tr>
      <w:tr w:rsidR="00D53263" w14:paraId="1728393A" w14:textId="77777777" w:rsidTr="00D53263">
        <w:tc>
          <w:tcPr>
            <w:cnfStyle w:val="001000000000" w:firstRow="0" w:lastRow="0" w:firstColumn="1" w:lastColumn="0" w:oddVBand="0" w:evenVBand="0" w:oddHBand="0" w:evenHBand="0" w:firstRowFirstColumn="0" w:firstRowLastColumn="0" w:lastRowFirstColumn="0" w:lastRowLastColumn="0"/>
            <w:tcW w:w="2405" w:type="dxa"/>
          </w:tcPr>
          <w:p w14:paraId="6CAA5CF8" w14:textId="77777777" w:rsidR="00D53263" w:rsidRDefault="00D53263" w:rsidP="00D53263">
            <w:pPr>
              <w:spacing w:after="120"/>
              <w:jc w:val="both"/>
              <w:rPr>
                <w:rFonts w:ascii="Calibri" w:eastAsiaTheme="minorEastAsia" w:hAnsi="Calibri" w:cs="Calibri"/>
                <w:color w:val="000000"/>
                <w:sz w:val="22"/>
                <w:szCs w:val="22"/>
              </w:rPr>
            </w:pPr>
            <w:r w:rsidRPr="0095785A">
              <w:rPr>
                <w:rFonts w:ascii="Calibri" w:eastAsiaTheme="minorEastAsia" w:hAnsi="Calibri" w:cs="Calibri"/>
                <w:color w:val="000000"/>
                <w:sz w:val="22"/>
                <w:szCs w:val="22"/>
              </w:rPr>
              <w:t>Entropia (H) mínima</w:t>
            </w:r>
          </w:p>
        </w:tc>
        <w:tc>
          <w:tcPr>
            <w:tcW w:w="1985" w:type="dxa"/>
          </w:tcPr>
          <w:p w14:paraId="5EBD89C8"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0.000</w:t>
            </w:r>
          </w:p>
        </w:tc>
        <w:tc>
          <w:tcPr>
            <w:tcW w:w="1980" w:type="dxa"/>
          </w:tcPr>
          <w:p w14:paraId="285BA8E1"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0.000</w:t>
            </w:r>
          </w:p>
        </w:tc>
        <w:tc>
          <w:tcPr>
            <w:tcW w:w="2124" w:type="dxa"/>
          </w:tcPr>
          <w:p w14:paraId="5F6A96CE"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0.200</w:t>
            </w:r>
          </w:p>
        </w:tc>
      </w:tr>
      <w:tr w:rsidR="00D53263" w14:paraId="782EEBDF" w14:textId="77777777" w:rsidTr="00D5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28181E" w14:textId="77777777" w:rsidR="00D53263" w:rsidRDefault="00D53263" w:rsidP="00D53263">
            <w:pPr>
              <w:spacing w:after="120"/>
              <w:rPr>
                <w:rFonts w:ascii="Calibri" w:eastAsiaTheme="minorEastAsia" w:hAnsi="Calibri" w:cs="Calibri"/>
                <w:color w:val="000000"/>
                <w:sz w:val="22"/>
                <w:szCs w:val="22"/>
              </w:rPr>
            </w:pPr>
            <w:r w:rsidRPr="0095785A">
              <w:rPr>
                <w:rFonts w:ascii="Calibri" w:eastAsiaTheme="minorEastAsia" w:hAnsi="Calibri" w:cs="Calibri"/>
                <w:color w:val="000000"/>
                <w:sz w:val="22"/>
                <w:szCs w:val="22"/>
              </w:rPr>
              <w:t>Entropia (H) média</w:t>
            </w:r>
          </w:p>
        </w:tc>
        <w:tc>
          <w:tcPr>
            <w:tcW w:w="1985" w:type="dxa"/>
          </w:tcPr>
          <w:p w14:paraId="063243FE"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0.032</w:t>
            </w:r>
          </w:p>
        </w:tc>
        <w:tc>
          <w:tcPr>
            <w:tcW w:w="1980" w:type="dxa"/>
          </w:tcPr>
          <w:p w14:paraId="51671BF3"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0.072</w:t>
            </w:r>
          </w:p>
        </w:tc>
        <w:tc>
          <w:tcPr>
            <w:tcW w:w="2124" w:type="dxa"/>
          </w:tcPr>
          <w:p w14:paraId="7BA80759"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0.235</w:t>
            </w:r>
          </w:p>
        </w:tc>
      </w:tr>
      <w:tr w:rsidR="00D53263" w14:paraId="338E9580" w14:textId="77777777" w:rsidTr="00D53263">
        <w:tc>
          <w:tcPr>
            <w:cnfStyle w:val="001000000000" w:firstRow="0" w:lastRow="0" w:firstColumn="1" w:lastColumn="0" w:oddVBand="0" w:evenVBand="0" w:oddHBand="0" w:evenHBand="0" w:firstRowFirstColumn="0" w:firstRowLastColumn="0" w:lastRowFirstColumn="0" w:lastRowLastColumn="0"/>
            <w:tcW w:w="2405" w:type="dxa"/>
          </w:tcPr>
          <w:p w14:paraId="3B1BC4AC" w14:textId="77777777" w:rsidR="00D53263" w:rsidRDefault="00D53263" w:rsidP="00D53263">
            <w:pPr>
              <w:spacing w:after="120"/>
              <w:jc w:val="both"/>
              <w:rPr>
                <w:rFonts w:ascii="Calibri" w:eastAsiaTheme="minorEastAsia" w:hAnsi="Calibri" w:cs="Calibri"/>
                <w:color w:val="000000"/>
                <w:sz w:val="22"/>
                <w:szCs w:val="22"/>
              </w:rPr>
            </w:pPr>
            <w:r w:rsidRPr="0095785A">
              <w:rPr>
                <w:rFonts w:ascii="Calibri" w:eastAsiaTheme="minorEastAsia" w:hAnsi="Calibri" w:cs="Calibri"/>
                <w:color w:val="000000"/>
                <w:sz w:val="22"/>
                <w:szCs w:val="22"/>
              </w:rPr>
              <w:t>Pico de prevalência (%)</w:t>
            </w:r>
          </w:p>
        </w:tc>
        <w:tc>
          <w:tcPr>
            <w:tcW w:w="1985" w:type="dxa"/>
          </w:tcPr>
          <w:p w14:paraId="3354BB4C"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100.00</w:t>
            </w:r>
          </w:p>
        </w:tc>
        <w:tc>
          <w:tcPr>
            <w:tcW w:w="1980" w:type="dxa"/>
          </w:tcPr>
          <w:p w14:paraId="54A23105"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29.95</w:t>
            </w:r>
          </w:p>
        </w:tc>
        <w:tc>
          <w:tcPr>
            <w:tcW w:w="2124" w:type="dxa"/>
          </w:tcPr>
          <w:p w14:paraId="6D3F618F"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AA4001">
              <w:rPr>
                <w:rFonts w:ascii="Calibri" w:eastAsiaTheme="minorEastAsia" w:hAnsi="Calibri" w:cs="Calibri"/>
                <w:color w:val="000000"/>
                <w:sz w:val="22"/>
                <w:szCs w:val="22"/>
              </w:rPr>
              <w:t>12.94</w:t>
            </w:r>
          </w:p>
        </w:tc>
      </w:tr>
      <w:tr w:rsidR="00D53263" w14:paraId="6D7E5B59" w14:textId="77777777" w:rsidTr="00D5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0A0E5E" w14:textId="77777777" w:rsidR="00D53263" w:rsidRDefault="00D53263" w:rsidP="00D53263">
            <w:pPr>
              <w:spacing w:after="120"/>
              <w:jc w:val="both"/>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Pico de prevalência (%)</w:t>
            </w:r>
          </w:p>
        </w:tc>
        <w:tc>
          <w:tcPr>
            <w:tcW w:w="1985" w:type="dxa"/>
          </w:tcPr>
          <w:p w14:paraId="1CD5EED6"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23</w:t>
            </w:r>
          </w:p>
        </w:tc>
        <w:tc>
          <w:tcPr>
            <w:tcW w:w="1980" w:type="dxa"/>
          </w:tcPr>
          <w:p w14:paraId="5638548B"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8</w:t>
            </w:r>
          </w:p>
        </w:tc>
        <w:tc>
          <w:tcPr>
            <w:tcW w:w="2124" w:type="dxa"/>
          </w:tcPr>
          <w:p w14:paraId="4A1046F1"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8</w:t>
            </w:r>
          </w:p>
        </w:tc>
      </w:tr>
      <w:tr w:rsidR="00D53263" w14:paraId="764BFCDC" w14:textId="77777777" w:rsidTr="00D53263">
        <w:tc>
          <w:tcPr>
            <w:cnfStyle w:val="001000000000" w:firstRow="0" w:lastRow="0" w:firstColumn="1" w:lastColumn="0" w:oddVBand="0" w:evenVBand="0" w:oddHBand="0" w:evenHBand="0" w:firstRowFirstColumn="0" w:firstRowLastColumn="0" w:lastRowFirstColumn="0" w:lastRowLastColumn="0"/>
            <w:tcW w:w="2405" w:type="dxa"/>
          </w:tcPr>
          <w:p w14:paraId="23835055" w14:textId="77777777" w:rsidR="00D53263" w:rsidRDefault="00D53263" w:rsidP="00D53263">
            <w:pPr>
              <w:spacing w:after="120"/>
              <w:jc w:val="both"/>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Estado final S (%)</w:t>
            </w:r>
          </w:p>
        </w:tc>
        <w:tc>
          <w:tcPr>
            <w:tcW w:w="1985" w:type="dxa"/>
          </w:tcPr>
          <w:p w14:paraId="7FAD8F09"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0.00</w:t>
            </w:r>
          </w:p>
        </w:tc>
        <w:tc>
          <w:tcPr>
            <w:tcW w:w="1980" w:type="dxa"/>
          </w:tcPr>
          <w:p w14:paraId="40555B62"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0.06</w:t>
            </w:r>
          </w:p>
        </w:tc>
        <w:tc>
          <w:tcPr>
            <w:tcW w:w="2124" w:type="dxa"/>
          </w:tcPr>
          <w:p w14:paraId="259F960B"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2.93</w:t>
            </w:r>
          </w:p>
        </w:tc>
      </w:tr>
      <w:tr w:rsidR="00D53263" w14:paraId="63AE068A" w14:textId="77777777" w:rsidTr="00D5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306E18" w14:textId="77777777" w:rsidR="00D53263" w:rsidRDefault="00D53263" w:rsidP="00D53263">
            <w:pPr>
              <w:spacing w:after="120"/>
              <w:jc w:val="both"/>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Estado final I (%)</w:t>
            </w:r>
          </w:p>
        </w:tc>
        <w:tc>
          <w:tcPr>
            <w:tcW w:w="1985" w:type="dxa"/>
          </w:tcPr>
          <w:p w14:paraId="48FC7765"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100.00</w:t>
            </w:r>
          </w:p>
        </w:tc>
        <w:tc>
          <w:tcPr>
            <w:tcW w:w="1980" w:type="dxa"/>
          </w:tcPr>
          <w:p w14:paraId="187D2E04"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0.00</w:t>
            </w:r>
          </w:p>
        </w:tc>
        <w:tc>
          <w:tcPr>
            <w:tcW w:w="2124" w:type="dxa"/>
          </w:tcPr>
          <w:p w14:paraId="155B1E81"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0.00</w:t>
            </w:r>
          </w:p>
        </w:tc>
      </w:tr>
      <w:tr w:rsidR="00D53263" w14:paraId="4F91EA54" w14:textId="77777777" w:rsidTr="00D53263">
        <w:tc>
          <w:tcPr>
            <w:cnfStyle w:val="001000000000" w:firstRow="0" w:lastRow="0" w:firstColumn="1" w:lastColumn="0" w:oddVBand="0" w:evenVBand="0" w:oddHBand="0" w:evenHBand="0" w:firstRowFirstColumn="0" w:firstRowLastColumn="0" w:lastRowFirstColumn="0" w:lastRowLastColumn="0"/>
            <w:tcW w:w="2405" w:type="dxa"/>
          </w:tcPr>
          <w:p w14:paraId="263DC782" w14:textId="77777777" w:rsidR="00D53263" w:rsidRDefault="00D53263" w:rsidP="00D53263">
            <w:pPr>
              <w:spacing w:after="120"/>
              <w:jc w:val="both"/>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Estado final D (%)</w:t>
            </w:r>
          </w:p>
        </w:tc>
        <w:tc>
          <w:tcPr>
            <w:tcW w:w="1985" w:type="dxa"/>
          </w:tcPr>
          <w:p w14:paraId="2B1B84DE"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0.00</w:t>
            </w:r>
          </w:p>
        </w:tc>
        <w:tc>
          <w:tcPr>
            <w:tcW w:w="1980" w:type="dxa"/>
          </w:tcPr>
          <w:p w14:paraId="59C50CCB"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99.94</w:t>
            </w:r>
          </w:p>
        </w:tc>
        <w:tc>
          <w:tcPr>
            <w:tcW w:w="2124" w:type="dxa"/>
          </w:tcPr>
          <w:p w14:paraId="7788A0E8"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97.07</w:t>
            </w:r>
          </w:p>
        </w:tc>
      </w:tr>
      <w:tr w:rsidR="00D53263" w14:paraId="0948DCF4" w14:textId="77777777" w:rsidTr="00D5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D770B5" w14:textId="77777777" w:rsidR="00D53263" w:rsidRDefault="00D53263" w:rsidP="00D53263">
            <w:pPr>
              <w:spacing w:after="120"/>
              <w:jc w:val="both"/>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Classe de Wolfram</w:t>
            </w:r>
          </w:p>
        </w:tc>
        <w:tc>
          <w:tcPr>
            <w:tcW w:w="1985" w:type="dxa"/>
          </w:tcPr>
          <w:p w14:paraId="030BA194"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150168">
              <w:rPr>
                <w:rFonts w:ascii="Calibri" w:eastAsiaTheme="minorEastAsia" w:hAnsi="Calibri" w:cs="Calibri"/>
                <w:color w:val="000000"/>
                <w:sz w:val="22"/>
                <w:szCs w:val="22"/>
              </w:rPr>
              <w:t>Classe 1</w:t>
            </w:r>
          </w:p>
        </w:tc>
        <w:tc>
          <w:tcPr>
            <w:tcW w:w="1980" w:type="dxa"/>
          </w:tcPr>
          <w:p w14:paraId="70426BBA"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752D7B">
              <w:rPr>
                <w:rFonts w:ascii="Calibri" w:eastAsiaTheme="minorEastAsia" w:hAnsi="Calibri" w:cs="Calibri"/>
                <w:color w:val="000000"/>
                <w:sz w:val="22"/>
                <w:szCs w:val="22"/>
              </w:rPr>
              <w:t>Classe 2–</w:t>
            </w:r>
            <w:r>
              <w:rPr>
                <w:rFonts w:ascii="Calibri" w:eastAsiaTheme="minorEastAsia" w:hAnsi="Calibri" w:cs="Calibri"/>
                <w:color w:val="000000"/>
                <w:sz w:val="22"/>
                <w:szCs w:val="22"/>
              </w:rPr>
              <w:t>3</w:t>
            </w:r>
          </w:p>
        </w:tc>
        <w:tc>
          <w:tcPr>
            <w:tcW w:w="2124" w:type="dxa"/>
          </w:tcPr>
          <w:p w14:paraId="3F2BAAEB" w14:textId="77777777" w:rsidR="00D53263" w:rsidRDefault="00D53263" w:rsidP="00D53263">
            <w:pPr>
              <w:spacing w:after="120"/>
              <w:jc w:val="both"/>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color w:val="000000"/>
                <w:sz w:val="22"/>
                <w:szCs w:val="22"/>
              </w:rPr>
            </w:pPr>
            <w:r w:rsidRPr="00752D7B">
              <w:rPr>
                <w:rFonts w:ascii="Calibri" w:eastAsiaTheme="minorEastAsia" w:hAnsi="Calibri" w:cs="Calibri"/>
                <w:color w:val="000000"/>
                <w:sz w:val="22"/>
                <w:szCs w:val="22"/>
              </w:rPr>
              <w:t>Classe 2–3</w:t>
            </w:r>
          </w:p>
        </w:tc>
      </w:tr>
      <w:tr w:rsidR="00D53263" w14:paraId="79851FD5" w14:textId="77777777" w:rsidTr="00D53263">
        <w:tc>
          <w:tcPr>
            <w:cnfStyle w:val="001000000000" w:firstRow="0" w:lastRow="0" w:firstColumn="1" w:lastColumn="0" w:oddVBand="0" w:evenVBand="0" w:oddHBand="0" w:evenHBand="0" w:firstRowFirstColumn="0" w:firstRowLastColumn="0" w:lastRowFirstColumn="0" w:lastRowLastColumn="0"/>
            <w:tcW w:w="2405" w:type="dxa"/>
          </w:tcPr>
          <w:p w14:paraId="4B513F7A" w14:textId="77777777" w:rsidR="00D53263" w:rsidRDefault="00D53263" w:rsidP="00D53263">
            <w:pPr>
              <w:spacing w:after="120"/>
              <w:jc w:val="both"/>
              <w:rPr>
                <w:rFonts w:ascii="Calibri" w:eastAsiaTheme="minorEastAsia" w:hAnsi="Calibri" w:cs="Calibri"/>
                <w:color w:val="000000"/>
                <w:sz w:val="22"/>
                <w:szCs w:val="22"/>
              </w:rPr>
            </w:pPr>
            <w:r w:rsidRPr="004D4659">
              <w:rPr>
                <w:rFonts w:ascii="Calibri" w:eastAsiaTheme="minorEastAsia" w:hAnsi="Calibri" w:cs="Calibri"/>
                <w:color w:val="000000"/>
                <w:sz w:val="22"/>
                <w:szCs w:val="22"/>
              </w:rPr>
              <w:t>Fenômeno principal</w:t>
            </w:r>
          </w:p>
        </w:tc>
        <w:tc>
          <w:tcPr>
            <w:tcW w:w="1985" w:type="dxa"/>
          </w:tcPr>
          <w:p w14:paraId="06FD0610"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C863EC">
              <w:rPr>
                <w:rFonts w:ascii="Calibri" w:eastAsiaTheme="minorEastAsia" w:hAnsi="Calibri" w:cs="Calibri"/>
                <w:color w:val="000000"/>
                <w:sz w:val="22"/>
                <w:szCs w:val="22"/>
              </w:rPr>
              <w:t>Invasão total</w:t>
            </w:r>
          </w:p>
        </w:tc>
        <w:tc>
          <w:tcPr>
            <w:tcW w:w="1980" w:type="dxa"/>
          </w:tcPr>
          <w:p w14:paraId="33DE4604"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C863EC">
              <w:rPr>
                <w:rFonts w:ascii="Calibri" w:eastAsiaTheme="minorEastAsia" w:hAnsi="Calibri" w:cs="Calibri"/>
                <w:color w:val="000000"/>
                <w:sz w:val="22"/>
                <w:szCs w:val="22"/>
              </w:rPr>
              <w:t>Colapso rápido</w:t>
            </w:r>
          </w:p>
        </w:tc>
        <w:tc>
          <w:tcPr>
            <w:tcW w:w="2124" w:type="dxa"/>
          </w:tcPr>
          <w:p w14:paraId="7130D5C0" w14:textId="77777777" w:rsidR="00D53263" w:rsidRDefault="00D53263" w:rsidP="00D53263">
            <w:pPr>
              <w:spacing w:after="120"/>
              <w:jc w:val="both"/>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color w:val="000000"/>
                <w:sz w:val="22"/>
                <w:szCs w:val="22"/>
              </w:rPr>
            </w:pPr>
            <w:r w:rsidRPr="00C863EC">
              <w:rPr>
                <w:rFonts w:ascii="Calibri" w:eastAsiaTheme="minorEastAsia" w:hAnsi="Calibri" w:cs="Calibri"/>
                <w:color w:val="000000"/>
                <w:sz w:val="22"/>
                <w:szCs w:val="22"/>
              </w:rPr>
              <w:t>Heterogeneidade persistente</w:t>
            </w:r>
          </w:p>
        </w:tc>
      </w:tr>
    </w:tbl>
    <w:p w14:paraId="1FA04B07" w14:textId="0E6F1053" w:rsidR="00B22447" w:rsidRPr="00674207" w:rsidRDefault="00674207" w:rsidP="00674207">
      <w:pPr>
        <w:spacing w:after="120" w:line="240" w:lineRule="auto"/>
        <w:jc w:val="center"/>
        <w:rPr>
          <w:rFonts w:ascii="Calibri" w:eastAsiaTheme="minorEastAsia" w:hAnsi="Calibri" w:cs="Calibri"/>
          <w:b/>
          <w:bCs/>
          <w:color w:val="000000"/>
          <w:sz w:val="22"/>
          <w:szCs w:val="22"/>
        </w:rPr>
      </w:pPr>
      <w:r w:rsidRPr="005B4DEC">
        <w:rPr>
          <w:rFonts w:ascii="Calibri" w:eastAsiaTheme="minorEastAsia" w:hAnsi="Calibri" w:cs="Calibri"/>
          <w:b/>
          <w:bCs/>
          <w:color w:val="000000"/>
          <w:sz w:val="22"/>
          <w:szCs w:val="22"/>
        </w:rPr>
        <w:t>Tabela 1 - Resumo quantitativo dos resultados da simulação</w:t>
      </w:r>
    </w:p>
    <w:p w14:paraId="7D4DAE5C" w14:textId="0A574779" w:rsidR="00ED202B" w:rsidRDefault="00ED202B" w:rsidP="00ED202B">
      <w:pPr>
        <w:spacing w:after="120" w:line="240" w:lineRule="auto"/>
        <w:jc w:val="both"/>
        <w:rPr>
          <w:rFonts w:ascii="Calibri" w:eastAsiaTheme="minorEastAsia" w:hAnsi="Calibri" w:cs="Calibri"/>
          <w:color w:val="000000"/>
          <w:sz w:val="22"/>
          <w:szCs w:val="22"/>
        </w:rPr>
      </w:pPr>
      <w:r w:rsidRPr="00ED202B">
        <w:rPr>
          <w:rFonts w:ascii="Calibri" w:eastAsiaTheme="minorEastAsia" w:hAnsi="Calibri" w:cs="Calibri"/>
          <w:color w:val="000000"/>
          <w:sz w:val="22"/>
          <w:szCs w:val="22"/>
        </w:rPr>
        <w:t>Segundo a Tabela 1, a prevalência atinge pico de 29,95% em</w:t>
      </w:r>
      <w:r w:rsidR="00FC56C1">
        <w:rPr>
          <w:rFonts w:ascii="Calibri" w:eastAsiaTheme="minorEastAsia" w:hAnsi="Calibri" w:cs="Calibri"/>
          <w:color w:val="000000"/>
          <w:sz w:val="22"/>
          <w:szCs w:val="22"/>
        </w:rPr>
        <w:t xml:space="preserve"> </w:t>
      </w:r>
      <m:oMath>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8</m:t>
        </m:r>
      </m:oMath>
      <w:r w:rsidR="00FC56C1">
        <w:rPr>
          <w:rFonts w:ascii="Calibri" w:eastAsiaTheme="minorEastAsia" w:hAnsi="Calibri" w:cs="Calibri"/>
          <w:color w:val="000000"/>
          <w:sz w:val="22"/>
          <w:szCs w:val="22"/>
        </w:rPr>
        <w:t>,</w:t>
      </w:r>
      <w:r w:rsidRPr="00ED202B">
        <w:rPr>
          <w:rFonts w:ascii="Calibri" w:eastAsiaTheme="minorEastAsia" w:hAnsi="Calibri" w:cs="Calibri"/>
          <w:color w:val="000000"/>
          <w:sz w:val="22"/>
          <w:szCs w:val="22"/>
        </w:rPr>
        <w:t xml:space="preserve"> muito inferior ao caso</w:t>
      </w:r>
      <w:r w:rsidR="00FC56C1">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ρ = 0.0</m:t>
        </m:r>
      </m:oMath>
      <w:r w:rsidR="00FC56C1">
        <w:rPr>
          <w:rFonts w:ascii="Calibri" w:eastAsiaTheme="minorEastAsia" w:hAnsi="Calibri" w:cs="Calibri"/>
          <w:color w:val="000000"/>
          <w:sz w:val="22"/>
          <w:szCs w:val="22"/>
        </w:rPr>
        <w:t>,</w:t>
      </w:r>
      <w:r w:rsidRPr="00ED202B">
        <w:rPr>
          <w:rFonts w:ascii="Calibri" w:eastAsiaTheme="minorEastAsia" w:hAnsi="Calibri" w:cs="Calibri"/>
          <w:color w:val="000000"/>
          <w:sz w:val="22"/>
          <w:szCs w:val="22"/>
        </w:rPr>
        <w:t xml:space="preserve"> e a epidemia colapsa em </w:t>
      </w:r>
      <m:oMath>
        <m:r>
          <m:rPr>
            <m:sty m:val="p"/>
          </m:rPr>
          <w:rPr>
            <w:rFonts w:ascii="Cambria Math" w:eastAsiaTheme="minorEastAsia" w:hAnsi="Cambria Math" w:cs="Calibri"/>
            <w:color w:val="000000"/>
            <w:sz w:val="22"/>
            <w:szCs w:val="22"/>
          </w:rPr>
          <m:t>~60</m:t>
        </m:r>
      </m:oMath>
      <w:r w:rsidRPr="00ED202B">
        <w:rPr>
          <w:rFonts w:ascii="Calibri" w:eastAsiaTheme="minorEastAsia" w:hAnsi="Calibri" w:cs="Calibri"/>
          <w:color w:val="000000"/>
          <w:sz w:val="22"/>
          <w:szCs w:val="22"/>
        </w:rPr>
        <w:t xml:space="preserve"> passos. A mortalidade total alcança 99,94%, caracterizando quase extinção populacional. A entropia (Figura 2, linha laranja) exibe pico transitório pronunciado: na fase inicial</w:t>
      </w:r>
      <w:r w:rsidR="00691923">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m:t>
        </m:r>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0 - 15)</m:t>
        </m:r>
      </m:oMath>
      <w:r w:rsidRPr="00ED202B">
        <w:rPr>
          <w:rFonts w:ascii="Calibri" w:eastAsiaTheme="minorEastAsia" w:hAnsi="Calibri" w:cs="Calibri"/>
          <w:color w:val="000000"/>
          <w:sz w:val="22"/>
          <w:szCs w:val="22"/>
        </w:rPr>
        <w:t>, cresce até</w:t>
      </w:r>
      <w:r w:rsidR="00FC56C1">
        <w:rPr>
          <w:rFonts w:ascii="Calibri" w:eastAsiaTheme="minorEastAsia" w:hAnsi="Calibri" w:cs="Calibri"/>
          <w:color w:val="000000"/>
          <w:sz w:val="22"/>
          <w:szCs w:val="22"/>
        </w:rPr>
        <w:t xml:space="preserve"> </w:t>
      </w:r>
      <m:oMath>
        <m:sSub>
          <m:sSubPr>
            <m:ctrlPr>
              <w:rPr>
                <w:rFonts w:ascii="Cambria Math" w:eastAsiaTheme="minorEastAsia" w:hAnsi="Cambria Math" w:cs="Calibri"/>
                <w:color w:val="000000"/>
                <w:sz w:val="22"/>
                <w:szCs w:val="22"/>
              </w:rPr>
            </m:ctrlPr>
          </m:sSubPr>
          <m:e>
            <m:r>
              <m:rPr>
                <m:sty m:val="p"/>
              </m:rPr>
              <w:rPr>
                <w:rFonts w:ascii="Cambria Math" w:eastAsiaTheme="minorEastAsia" w:hAnsi="Cambria Math" w:cs="Calibri"/>
                <w:color w:val="000000"/>
                <w:sz w:val="22"/>
                <w:szCs w:val="22"/>
              </w:rPr>
              <m:t>H</m:t>
            </m:r>
          </m:e>
          <m:sub>
            <m:r>
              <w:rPr>
                <w:rFonts w:ascii="Cambria Math" w:eastAsiaTheme="minorEastAsia" w:hAnsi="Cambria Math" w:cs="Calibri"/>
                <w:color w:val="000000"/>
                <w:sz w:val="22"/>
                <w:szCs w:val="22"/>
              </w:rPr>
              <m:t>max</m:t>
            </m:r>
          </m:sub>
        </m:sSub>
        <m:r>
          <m:rPr>
            <m:sty m:val="p"/>
          </m:rPr>
          <w:rPr>
            <w:rFonts w:ascii="Cambria Math" w:eastAsiaTheme="minorEastAsia" w:hAnsi="Cambria Math" w:cs="Calibri"/>
            <w:color w:val="000000"/>
            <w:sz w:val="22"/>
            <w:szCs w:val="22"/>
          </w:rPr>
          <m:t xml:space="preserve"> = 1,578 bits</m:t>
        </m:r>
      </m:oMath>
      <w:r w:rsidRPr="00ED202B">
        <w:rPr>
          <w:rFonts w:ascii="Calibri" w:eastAsiaTheme="minorEastAsia" w:hAnsi="Calibri" w:cs="Calibri"/>
          <w:color w:val="000000"/>
          <w:sz w:val="22"/>
          <w:szCs w:val="22"/>
        </w:rPr>
        <w:t xml:space="preserve">, refletindo </w:t>
      </w:r>
      <w:r w:rsidRPr="00ED202B">
        <w:rPr>
          <w:rFonts w:ascii="Calibri" w:eastAsiaTheme="minorEastAsia" w:hAnsi="Calibri" w:cs="Calibri"/>
          <w:color w:val="000000"/>
          <w:sz w:val="22"/>
          <w:szCs w:val="22"/>
        </w:rPr>
        <w:lastRenderedPageBreak/>
        <w:t>coexistência de S, I e D; na fase de colapso</w:t>
      </w:r>
      <w:r w:rsidR="00FC56C1">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m:t>
        </m:r>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15-100)</m:t>
        </m:r>
      </m:oMath>
      <w:r w:rsidRPr="00ED202B">
        <w:rPr>
          <w:rFonts w:ascii="Calibri" w:eastAsiaTheme="minorEastAsia" w:hAnsi="Calibri" w:cs="Calibri"/>
          <w:color w:val="000000"/>
          <w:sz w:val="22"/>
          <w:szCs w:val="22"/>
        </w:rPr>
        <w:t>, decai com a dominância de D; e, para</w:t>
      </w:r>
      <w:r w:rsidR="001D7EFA">
        <w:rPr>
          <w:rFonts w:ascii="Calibri" w:eastAsiaTheme="minorEastAsia" w:hAnsi="Calibri" w:cs="Calibri"/>
          <w:color w:val="000000"/>
          <w:sz w:val="22"/>
          <w:szCs w:val="22"/>
        </w:rPr>
        <w:t xml:space="preserve"> </w:t>
      </w:r>
      <m:oMath>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&gt; 100</m:t>
        </m:r>
      </m:oMath>
      <w:r w:rsidRPr="00ED202B">
        <w:rPr>
          <w:rFonts w:ascii="Calibri" w:eastAsiaTheme="minorEastAsia" w:hAnsi="Calibri" w:cs="Calibri"/>
          <w:color w:val="000000"/>
          <w:sz w:val="22"/>
          <w:szCs w:val="22"/>
        </w:rPr>
        <w:t>, estabiliza-se em</w:t>
      </w:r>
      <w:r w:rsidR="00BE2902">
        <w:rPr>
          <w:rFonts w:ascii="Calibri" w:eastAsiaTheme="minorEastAsia" w:hAnsi="Calibri" w:cs="Calibri"/>
          <w:color w:val="000000"/>
          <w:sz w:val="22"/>
          <w:szCs w:val="22"/>
        </w:rPr>
        <w:t xml:space="preserve"> </w:t>
      </w:r>
      <m:oMath>
        <m:sSub>
          <m:sSubPr>
            <m:ctrlPr>
              <w:rPr>
                <w:rFonts w:ascii="Cambria Math" w:eastAsiaTheme="minorEastAsia" w:hAnsi="Cambria Math" w:cs="Calibri"/>
                <w:color w:val="000000"/>
                <w:sz w:val="22"/>
                <w:szCs w:val="22"/>
              </w:rPr>
            </m:ctrlPr>
          </m:sSubPr>
          <m:e>
            <m:r>
              <m:rPr>
                <m:sty m:val="p"/>
              </m:rPr>
              <w:rPr>
                <w:rFonts w:ascii="Cambria Math" w:eastAsiaTheme="minorEastAsia" w:hAnsi="Cambria Math" w:cs="Calibri"/>
                <w:color w:val="000000"/>
                <w:sz w:val="22"/>
                <w:szCs w:val="22"/>
              </w:rPr>
              <m:t>H</m:t>
            </m:r>
          </m:e>
          <m:sub>
            <m:r>
              <w:rPr>
                <w:rFonts w:ascii="Cambria Math" w:eastAsiaTheme="minorEastAsia" w:hAnsi="Cambria Math" w:cs="Calibri"/>
                <w:color w:val="000000"/>
                <w:sz w:val="22"/>
                <w:szCs w:val="22"/>
              </w:rPr>
              <m:t>mean</m:t>
            </m:r>
          </m:sub>
        </m:sSub>
        <m:r>
          <m:rPr>
            <m:sty m:val="p"/>
          </m:rPr>
          <w:rPr>
            <w:rFonts w:ascii="Cambria Math" w:eastAsiaTheme="minorEastAsia" w:hAnsi="Cambria Math" w:cs="Calibri"/>
            <w:color w:val="000000"/>
            <w:sz w:val="22"/>
            <w:szCs w:val="22"/>
          </w:rPr>
          <m:t xml:space="preserve"> ≈ 0,072 bits</m:t>
        </m:r>
      </m:oMath>
      <w:r w:rsidRPr="00ED202B">
        <w:rPr>
          <w:rFonts w:ascii="Calibri" w:eastAsiaTheme="minorEastAsia" w:hAnsi="Calibri" w:cs="Calibri"/>
          <w:color w:val="000000"/>
          <w:sz w:val="22"/>
          <w:szCs w:val="22"/>
        </w:rPr>
        <w:t>, indicando sobreviventes isolados.</w:t>
      </w:r>
    </w:p>
    <w:p w14:paraId="62167519" w14:textId="62BEC288" w:rsidR="00700079" w:rsidRPr="00700079" w:rsidRDefault="00700079" w:rsidP="00ED202B">
      <w:pPr>
        <w:spacing w:after="120" w:line="240" w:lineRule="auto"/>
        <w:jc w:val="both"/>
        <w:rPr>
          <w:rFonts w:ascii="Calibri" w:eastAsiaTheme="minorEastAsia" w:hAnsi="Calibri" w:cs="Calibri"/>
          <w:color w:val="000000"/>
          <w:sz w:val="22"/>
          <w:szCs w:val="22"/>
        </w:rPr>
      </w:pPr>
      <w:r w:rsidRPr="00700079">
        <w:rPr>
          <w:rFonts w:ascii="Calibri" w:eastAsiaTheme="minorEastAsia" w:hAnsi="Calibri" w:cs="Calibri"/>
          <w:color w:val="000000"/>
          <w:sz w:val="22"/>
          <w:szCs w:val="22"/>
        </w:rPr>
        <w:t xml:space="preserve">Diferentemente de </w:t>
      </w:r>
      <m:oMath>
        <m:r>
          <m:rPr>
            <m:sty m:val="p"/>
          </m:rPr>
          <w:rPr>
            <w:rFonts w:ascii="Cambria Math" w:eastAsiaTheme="minorEastAsia" w:hAnsi="Cambria Math" w:cs="Calibri"/>
            <w:color w:val="000000"/>
            <w:sz w:val="22"/>
            <w:szCs w:val="22"/>
          </w:rPr>
          <m:t>ρ = 0,0</m:t>
        </m:r>
      </m:oMath>
      <w:r w:rsidR="00BE2902">
        <w:rPr>
          <w:rFonts w:ascii="Calibri" w:eastAsiaTheme="minorEastAsia" w:hAnsi="Calibri" w:cs="Calibri"/>
          <w:color w:val="000000"/>
          <w:sz w:val="22"/>
          <w:szCs w:val="22"/>
        </w:rPr>
        <w:t xml:space="preserve"> </w:t>
      </w:r>
      <w:r w:rsidRPr="00700079">
        <w:rPr>
          <w:rFonts w:ascii="Calibri" w:eastAsiaTheme="minorEastAsia" w:hAnsi="Calibri" w:cs="Calibri"/>
          <w:color w:val="000000"/>
          <w:sz w:val="22"/>
          <w:szCs w:val="22"/>
        </w:rPr>
        <w:t>(baixa entropia estável), este regime apresenta pico agudo seguido de rápido decaimento</w:t>
      </w:r>
      <w:r>
        <w:rPr>
          <w:rFonts w:ascii="Calibri" w:eastAsiaTheme="minorEastAsia" w:hAnsi="Calibri" w:cs="Calibri"/>
          <w:color w:val="000000"/>
          <w:sz w:val="22"/>
          <w:szCs w:val="22"/>
        </w:rPr>
        <w:t>,</w:t>
      </w:r>
      <w:r w:rsidRPr="00700079">
        <w:rPr>
          <w:rFonts w:ascii="Calibri" w:eastAsiaTheme="minorEastAsia" w:hAnsi="Calibri" w:cs="Calibri"/>
          <w:color w:val="000000"/>
          <w:sz w:val="22"/>
          <w:szCs w:val="22"/>
        </w:rPr>
        <w:t xml:space="preserve"> assinatura de complexidade transitória típica de sistemas na fronteira entre ordem e caos </w:t>
      </w:r>
      <w:sdt>
        <w:sdtPr>
          <w:rPr>
            <w:rFonts w:ascii="Calibri" w:eastAsiaTheme="minorEastAsia" w:hAnsi="Calibri" w:cs="Calibri"/>
            <w:color w:val="000000"/>
            <w:sz w:val="22"/>
            <w:szCs w:val="22"/>
          </w:rPr>
          <w:tag w:val="MENDELEY_CITATION_v3_eyJjaXRhdGlvbklEIjoiTUVOREVMRVlfQ0lUQVRJT05fN2JmZGJmMmEtZDZjMS00MTA2LTgzOWItYjY1OTJhN2Q0ZTEzIiwicHJvcGVydGllcyI6eyJub3RlSW5kZXgiOjB9LCJpc0VkaXRlZCI6ZmFsc2UsIm1hbnVhbE92ZXJyaWRlIjp7ImlzTWFudWFsbHlPdmVycmlkZGVuIjpmYWxzZSwiY2l0ZXByb2NUZXh0IjoiWzEx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LCJzdXBwcmVzcy1hdXRob3IiOmZhbHNlLCJjb21wb3NpdGUiOmZhbHNlLCJhdXRob3Itb25seSI6ZmFsc2V9XX0="/>
          <w:id w:val="1116802503"/>
          <w:placeholder>
            <w:docPart w:val="DefaultPlaceholder_-1854013440"/>
          </w:placeholder>
        </w:sdtPr>
        <w:sdtEndPr/>
        <w:sdtContent>
          <w:r w:rsidR="00641F0C" w:rsidRPr="00641F0C">
            <w:rPr>
              <w:rFonts w:ascii="Calibri" w:eastAsiaTheme="minorEastAsia" w:hAnsi="Calibri" w:cs="Calibri"/>
              <w:color w:val="000000"/>
              <w:sz w:val="22"/>
              <w:szCs w:val="22"/>
            </w:rPr>
            <w:t>[11]</w:t>
          </w:r>
        </w:sdtContent>
      </w:sdt>
      <w:r w:rsidRPr="00700079">
        <w:rPr>
          <w:rFonts w:ascii="Calibri" w:eastAsiaTheme="minorEastAsia" w:hAnsi="Calibri" w:cs="Calibri"/>
          <w:color w:val="000000"/>
          <w:sz w:val="22"/>
          <w:szCs w:val="22"/>
        </w:rPr>
        <w:t>.</w:t>
      </w:r>
      <w:r>
        <w:rPr>
          <w:rFonts w:ascii="Calibri" w:eastAsiaTheme="minorEastAsia" w:hAnsi="Calibri" w:cs="Calibri"/>
          <w:color w:val="000000"/>
          <w:sz w:val="22"/>
          <w:szCs w:val="22"/>
        </w:rPr>
        <w:t xml:space="preserve"> </w:t>
      </w:r>
      <w:r w:rsidR="00FC56C1" w:rsidRPr="00FC56C1">
        <w:rPr>
          <w:rFonts w:ascii="Calibri" w:eastAsiaTheme="minorEastAsia" w:hAnsi="Calibri" w:cs="Calibri"/>
          <w:color w:val="000000"/>
          <w:sz w:val="22"/>
          <w:szCs w:val="22"/>
        </w:rPr>
        <w:t>Mecanisticamente, a morte rápida de infectados cria “lacunas” de células D que atuam como barreiras à transmissão. O agrupamento espacial, inicialmente favorável à propagação, torna-se desvantajoso ao fragmentar suscetíveis em aglomerados desconectados. Surge, assim, um efeito de Allee espacial efetivo: embora biologicamente suscetíveis, indivíduos remanescentes tornam-se isolados por barreiras de células mortas e não podem ser reinfectados por focos distantes.</w:t>
      </w:r>
    </w:p>
    <w:p w14:paraId="1C24329C" w14:textId="29E0E12F" w:rsidR="000D2AF1" w:rsidRPr="000B4D74" w:rsidRDefault="000D2AF1" w:rsidP="00FC56C1">
      <w:pPr>
        <w:pStyle w:val="ListParagraph"/>
        <w:numPr>
          <w:ilvl w:val="1"/>
          <w:numId w:val="3"/>
        </w:numPr>
        <w:spacing w:after="120" w:line="240" w:lineRule="auto"/>
        <w:ind w:left="833"/>
        <w:jc w:val="both"/>
        <w:rPr>
          <w:rFonts w:ascii="Calibri" w:eastAsiaTheme="minorEastAsia" w:hAnsi="Calibri" w:cs="Calibri"/>
          <w:b/>
          <w:bCs/>
          <w:color w:val="000000"/>
        </w:rPr>
      </w:pPr>
      <w:r w:rsidRPr="000B4D74">
        <w:rPr>
          <w:rFonts w:ascii="Calibri" w:eastAsiaTheme="minorEastAsia" w:hAnsi="Calibri" w:cs="Calibri"/>
          <w:b/>
          <w:bCs/>
          <w:color w:val="000000"/>
        </w:rPr>
        <w:t>Regime de Alta Mortalidade (ρ = 0,7)</w:t>
      </w:r>
    </w:p>
    <w:p w14:paraId="5246FC40" w14:textId="7664E2FB" w:rsidR="00691923" w:rsidRDefault="00FD4CC7" w:rsidP="00FD4CC7">
      <w:pPr>
        <w:spacing w:after="120"/>
        <w:jc w:val="both"/>
        <w:rPr>
          <w:rFonts w:ascii="Calibri" w:eastAsiaTheme="minorEastAsia" w:hAnsi="Calibri" w:cs="Calibri"/>
          <w:color w:val="000000"/>
          <w:sz w:val="22"/>
          <w:szCs w:val="22"/>
        </w:rPr>
      </w:pPr>
      <w:r w:rsidRPr="00FD4CC7">
        <w:rPr>
          <w:rFonts w:ascii="Calibri" w:eastAsiaTheme="minorEastAsia" w:hAnsi="Calibri" w:cs="Calibri"/>
          <w:color w:val="000000"/>
          <w:sz w:val="22"/>
          <w:szCs w:val="22"/>
        </w:rPr>
        <w:t>Em alta mortalidade induzida</w:t>
      </w:r>
      <w:r w:rsidR="00115071">
        <w:rPr>
          <w:rFonts w:ascii="Calibri" w:eastAsiaTheme="minorEastAsia" w:hAnsi="Calibri" w:cs="Calibri"/>
          <w:color w:val="000000"/>
          <w:sz w:val="22"/>
          <w:szCs w:val="22"/>
        </w:rPr>
        <w:t xml:space="preserve"> </w:t>
      </w:r>
      <m:oMath>
        <m:d>
          <m:dPr>
            <m:ctrlPr>
              <w:rPr>
                <w:rFonts w:ascii="Cambria Math" w:eastAsiaTheme="minorEastAsia" w:hAnsi="Cambria Math" w:cs="Calibri"/>
                <w:color w:val="000000"/>
                <w:sz w:val="22"/>
                <w:szCs w:val="22"/>
              </w:rPr>
            </m:ctrlPr>
          </m:dPr>
          <m:e>
            <m:r>
              <m:rPr>
                <m:sty m:val="p"/>
              </m:rPr>
              <w:rPr>
                <w:rFonts w:ascii="Cambria Math" w:eastAsiaTheme="minorEastAsia" w:hAnsi="Cambria Math" w:cs="Calibri"/>
                <w:color w:val="000000"/>
                <w:sz w:val="22"/>
                <w:szCs w:val="22"/>
              </w:rPr>
              <m:t>ρ = 0,7</m:t>
            </m:r>
          </m:e>
        </m:d>
      </m:oMath>
      <w:r w:rsidRPr="00FD4CC7">
        <w:rPr>
          <w:rFonts w:ascii="Calibri" w:eastAsiaTheme="minorEastAsia" w:hAnsi="Calibri" w:cs="Calibri"/>
          <w:color w:val="000000"/>
          <w:sz w:val="22"/>
          <w:szCs w:val="22"/>
        </w:rPr>
        <w:t>, infectados morrem com probabilidade 0,7 por passo. A Figura 1 (linha inferior) mostra que, em</w:t>
      </w:r>
      <w:r w:rsidR="00115071">
        <w:rPr>
          <w:rFonts w:ascii="Calibri" w:eastAsiaTheme="minorEastAsia" w:hAnsi="Calibri" w:cs="Calibri"/>
          <w:color w:val="000000"/>
          <w:sz w:val="22"/>
          <w:szCs w:val="22"/>
        </w:rPr>
        <w:t xml:space="preserve"> </w:t>
      </w:r>
      <m:oMath>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50, 100 e 200</m:t>
        </m:r>
      </m:oMath>
      <w:r w:rsidRPr="00FD4CC7">
        <w:rPr>
          <w:rFonts w:ascii="Calibri" w:eastAsiaTheme="minorEastAsia" w:hAnsi="Calibri" w:cs="Calibri"/>
          <w:color w:val="000000"/>
          <w:sz w:val="22"/>
          <w:szCs w:val="22"/>
        </w:rPr>
        <w:t>, a grade é dominada por células mortas (preto), com poucos suscetíveis isolados (branco), formando um mosaico heterogêneo aparentemente “congelado”.</w:t>
      </w:r>
      <w:r>
        <w:rPr>
          <w:rFonts w:ascii="Calibri" w:eastAsiaTheme="minorEastAsia" w:hAnsi="Calibri" w:cs="Calibri"/>
          <w:color w:val="000000"/>
          <w:sz w:val="22"/>
          <w:szCs w:val="22"/>
        </w:rPr>
        <w:t xml:space="preserve"> </w:t>
      </w:r>
      <w:r w:rsidRPr="00FD4CC7">
        <w:rPr>
          <w:rFonts w:ascii="Calibri" w:eastAsiaTheme="minorEastAsia" w:hAnsi="Calibri" w:cs="Calibri"/>
          <w:color w:val="000000"/>
          <w:sz w:val="22"/>
          <w:szCs w:val="22"/>
        </w:rPr>
        <w:t>Conforme a Tabela 1, a prevalência máxima é 12,94% em</w:t>
      </w:r>
      <w:r w:rsidR="00115071">
        <w:rPr>
          <w:rFonts w:ascii="Calibri" w:eastAsiaTheme="minorEastAsia" w:hAnsi="Calibri" w:cs="Calibri"/>
          <w:color w:val="000000"/>
          <w:sz w:val="22"/>
          <w:szCs w:val="22"/>
        </w:rPr>
        <w:t xml:space="preserve"> </w:t>
      </w:r>
      <m:oMath>
        <m:r>
          <w:rPr>
            <w:rFonts w:ascii="Cambria Math" w:eastAsiaTheme="minorEastAsia" w:hAnsi="Cambria Math" w:cs="Calibri"/>
            <w:color w:val="000000"/>
            <w:sz w:val="22"/>
            <w:szCs w:val="22"/>
          </w:rPr>
          <m:t>t</m:t>
        </m:r>
        <m:r>
          <m:rPr>
            <m:sty m:val="p"/>
          </m:rPr>
          <w:rPr>
            <w:rFonts w:ascii="Cambria Math" w:eastAsiaTheme="minorEastAsia" w:hAnsi="Cambria Math" w:cs="Calibri"/>
            <w:color w:val="000000"/>
            <w:sz w:val="22"/>
            <w:szCs w:val="22"/>
          </w:rPr>
          <m:t xml:space="preserve"> ≈ 8</m:t>
        </m:r>
      </m:oMath>
      <w:r>
        <w:rPr>
          <w:rFonts w:ascii="Calibri" w:eastAsiaTheme="minorEastAsia" w:hAnsi="Calibri" w:cs="Calibri"/>
          <w:color w:val="000000"/>
          <w:sz w:val="22"/>
          <w:szCs w:val="22"/>
        </w:rPr>
        <w:t>,</w:t>
      </w:r>
      <w:r w:rsidRPr="00FD4CC7">
        <w:rPr>
          <w:rFonts w:ascii="Calibri" w:eastAsiaTheme="minorEastAsia" w:hAnsi="Calibri" w:cs="Calibri"/>
          <w:color w:val="000000"/>
          <w:sz w:val="22"/>
          <w:szCs w:val="22"/>
        </w:rPr>
        <w:t xml:space="preserve"> a menor entre os regimes. O estado final é S = 2,93%, I = 0% e D = 97,07%. Embora a entropia máxima </w:t>
      </w:r>
      <m:oMath>
        <m:d>
          <m:dPr>
            <m:ctrlPr>
              <w:rPr>
                <w:rFonts w:ascii="Cambria Math" w:eastAsiaTheme="minorEastAsia" w:hAnsi="Cambria Math" w:cs="Calibri"/>
                <w:color w:val="000000"/>
                <w:sz w:val="22"/>
                <w:szCs w:val="22"/>
              </w:rPr>
            </m:ctrlPr>
          </m:dPr>
          <m:e>
            <m:sSub>
              <m:sSubPr>
                <m:ctrlPr>
                  <w:rPr>
                    <w:rFonts w:ascii="Cambria Math" w:eastAsiaTheme="minorEastAsia" w:hAnsi="Cambria Math" w:cs="Calibri"/>
                    <w:color w:val="000000"/>
                    <w:sz w:val="22"/>
                    <w:szCs w:val="22"/>
                  </w:rPr>
                </m:ctrlPr>
              </m:sSubPr>
              <m:e>
                <m:r>
                  <m:rPr>
                    <m:sty m:val="p"/>
                  </m:rPr>
                  <w:rPr>
                    <w:rFonts w:ascii="Cambria Math" w:eastAsiaTheme="minorEastAsia" w:hAnsi="Cambria Math" w:cs="Calibri"/>
                    <w:color w:val="000000"/>
                    <w:sz w:val="22"/>
                    <w:szCs w:val="22"/>
                  </w:rPr>
                  <m:t>H</m:t>
                </m:r>
              </m:e>
              <m:sub>
                <m:r>
                  <w:rPr>
                    <w:rFonts w:ascii="Cambria Math" w:eastAsiaTheme="minorEastAsia" w:hAnsi="Cambria Math" w:cs="Calibri"/>
                    <w:color w:val="000000"/>
                    <w:sz w:val="22"/>
                    <w:szCs w:val="22"/>
                  </w:rPr>
                  <m:t>max</m:t>
                </m:r>
              </m:sub>
            </m:sSub>
            <m:r>
              <m:rPr>
                <m:sty m:val="p"/>
              </m:rPr>
              <w:rPr>
                <w:rFonts w:ascii="Cambria Math" w:eastAsiaTheme="minorEastAsia" w:hAnsi="Cambria Math" w:cs="Calibri"/>
                <w:color w:val="000000"/>
                <w:sz w:val="22"/>
                <w:szCs w:val="22"/>
              </w:rPr>
              <m:t>= 1,424 bits</m:t>
            </m:r>
          </m:e>
        </m:d>
      </m:oMath>
      <w:r w:rsidRPr="00FD4CC7">
        <w:rPr>
          <w:rFonts w:ascii="Calibri" w:eastAsiaTheme="minorEastAsia" w:hAnsi="Calibri" w:cs="Calibri"/>
          <w:color w:val="000000"/>
          <w:sz w:val="22"/>
          <w:szCs w:val="22"/>
        </w:rPr>
        <w:t xml:space="preserve"> seja próxima à de</w:t>
      </w:r>
      <w:r w:rsidR="00115071">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ρ = 0,3</m:t>
        </m:r>
      </m:oMath>
      <w:r w:rsidRPr="00FD4CC7">
        <w:rPr>
          <w:rFonts w:ascii="Calibri" w:eastAsiaTheme="minorEastAsia" w:hAnsi="Calibri" w:cs="Calibri"/>
          <w:color w:val="000000"/>
          <w:sz w:val="22"/>
          <w:szCs w:val="22"/>
        </w:rPr>
        <w:t xml:space="preserve">, a entropia média é maior </w:t>
      </w:r>
      <m:oMath>
        <m:r>
          <m:rPr>
            <m:sty m:val="p"/>
          </m:rPr>
          <w:rPr>
            <w:rFonts w:ascii="Cambria Math" w:eastAsiaTheme="minorEastAsia" w:hAnsi="Cambria Math" w:cs="Calibri"/>
            <w:color w:val="000000"/>
            <w:sz w:val="22"/>
            <w:szCs w:val="22"/>
          </w:rPr>
          <m:t>(</m:t>
        </m:r>
        <m:sSub>
          <m:sSubPr>
            <m:ctrlPr>
              <w:rPr>
                <w:rFonts w:ascii="Cambria Math" w:eastAsiaTheme="minorEastAsia" w:hAnsi="Cambria Math" w:cs="Calibri"/>
                <w:color w:val="000000"/>
                <w:sz w:val="22"/>
                <w:szCs w:val="22"/>
              </w:rPr>
            </m:ctrlPr>
          </m:sSubPr>
          <m:e>
            <m:r>
              <m:rPr>
                <m:sty m:val="p"/>
              </m:rPr>
              <w:rPr>
                <w:rFonts w:ascii="Cambria Math" w:eastAsiaTheme="minorEastAsia" w:hAnsi="Cambria Math" w:cs="Calibri"/>
                <w:color w:val="000000"/>
                <w:sz w:val="22"/>
                <w:szCs w:val="22"/>
              </w:rPr>
              <m:t>H</m:t>
            </m:r>
          </m:e>
          <m:sub>
            <m:r>
              <w:rPr>
                <w:rFonts w:ascii="Cambria Math" w:eastAsiaTheme="minorEastAsia" w:hAnsi="Cambria Math" w:cs="Calibri"/>
                <w:color w:val="000000"/>
                <w:sz w:val="22"/>
                <w:szCs w:val="22"/>
              </w:rPr>
              <m:t>mean</m:t>
            </m:r>
          </m:sub>
        </m:sSub>
        <m:r>
          <m:rPr>
            <m:sty m:val="p"/>
          </m:rPr>
          <w:rPr>
            <w:rFonts w:ascii="Cambria Math" w:eastAsiaTheme="minorEastAsia" w:hAnsi="Cambria Math" w:cs="Calibri"/>
            <w:color w:val="000000"/>
            <w:sz w:val="22"/>
            <w:szCs w:val="22"/>
          </w:rPr>
          <m:t xml:space="preserve"> = 0,235 bits).</m:t>
        </m:r>
      </m:oMath>
    </w:p>
    <w:p w14:paraId="0B7ABE22" w14:textId="51FC3072" w:rsidR="00691923" w:rsidRDefault="00691923" w:rsidP="00FD4CC7">
      <w:pPr>
        <w:spacing w:after="120"/>
        <w:jc w:val="both"/>
        <w:rPr>
          <w:rFonts w:ascii="Calibri" w:eastAsiaTheme="minorEastAsia" w:hAnsi="Calibri" w:cs="Calibri"/>
          <w:color w:val="000000"/>
          <w:sz w:val="22"/>
          <w:szCs w:val="22"/>
        </w:rPr>
      </w:pPr>
      <w:r w:rsidRPr="00691923">
        <w:rPr>
          <w:rFonts w:ascii="Calibri" w:eastAsiaTheme="minorEastAsia" w:hAnsi="Calibri" w:cs="Calibri"/>
          <w:color w:val="000000"/>
          <w:sz w:val="22"/>
          <w:szCs w:val="22"/>
        </w:rPr>
        <w:t>A dinâmica da entropia (Figura 2, linha verde) difere do caso intermediário: após o pico inicial, não há decaimento monotônico para valores próximos de zero. Em vez disso, H estabiliza entre 0,20</w:t>
      </w:r>
      <w:r>
        <w:rPr>
          <w:rFonts w:ascii="Calibri" w:eastAsiaTheme="minorEastAsia" w:hAnsi="Calibri" w:cs="Calibri"/>
          <w:color w:val="000000"/>
          <w:sz w:val="22"/>
          <w:szCs w:val="22"/>
        </w:rPr>
        <w:t xml:space="preserve"> </w:t>
      </w:r>
      <w:r w:rsidRPr="00691923">
        <w:rPr>
          <w:rFonts w:ascii="Calibri" w:eastAsiaTheme="minorEastAsia" w:hAnsi="Calibri" w:cs="Calibri"/>
          <w:color w:val="000000"/>
          <w:sz w:val="22"/>
          <w:szCs w:val="22"/>
        </w:rPr>
        <w:t>–</w:t>
      </w:r>
      <w:r>
        <w:rPr>
          <w:rFonts w:ascii="Calibri" w:eastAsiaTheme="minorEastAsia" w:hAnsi="Calibri" w:cs="Calibri"/>
          <w:color w:val="000000"/>
          <w:sz w:val="22"/>
          <w:szCs w:val="22"/>
        </w:rPr>
        <w:t xml:space="preserve"> </w:t>
      </w:r>
      <w:r w:rsidRPr="00691923">
        <w:rPr>
          <w:rFonts w:ascii="Calibri" w:eastAsiaTheme="minorEastAsia" w:hAnsi="Calibri" w:cs="Calibri"/>
          <w:color w:val="000000"/>
          <w:sz w:val="22"/>
          <w:szCs w:val="22"/>
        </w:rPr>
        <w:t>0,30 bits ao longo do tempo, indicando persistência de heterogeneidade espacial e ausência de convergência para estado homogêneo ou periódico simples.</w:t>
      </w:r>
    </w:p>
    <w:p w14:paraId="1435FB8D" w14:textId="2CC6B409" w:rsidR="00691923" w:rsidRPr="00691923" w:rsidRDefault="00691923" w:rsidP="00FD4CC7">
      <w:pPr>
        <w:spacing w:after="120"/>
        <w:jc w:val="both"/>
        <w:rPr>
          <w:rFonts w:ascii="Calibri" w:eastAsiaTheme="minorEastAsia" w:hAnsi="Calibri" w:cs="Calibri"/>
          <w:color w:val="000000"/>
          <w:sz w:val="22"/>
          <w:szCs w:val="22"/>
        </w:rPr>
      </w:pPr>
      <w:r w:rsidRPr="00691923">
        <w:rPr>
          <w:rFonts w:ascii="Calibri" w:eastAsiaTheme="minorEastAsia" w:hAnsi="Calibri" w:cs="Calibri"/>
          <w:color w:val="000000"/>
          <w:sz w:val="22"/>
          <w:szCs w:val="22"/>
        </w:rPr>
        <w:t>Mecanisticamente, a alta mortalidade impede que infectados transmitam a múltiplos vizinhos. A infecção é rapidamente eliminada, restando rede esparsa de células mortas e suscetíveis isolados. Diferentemente de</w:t>
      </w:r>
      <w:r>
        <w:rPr>
          <w:rFonts w:ascii="Calibri" w:eastAsiaTheme="minorEastAsia" w:hAnsi="Calibri" w:cs="Calibri"/>
          <w:color w:val="000000"/>
          <w:sz w:val="22"/>
          <w:szCs w:val="22"/>
        </w:rPr>
        <w:t xml:space="preserve"> </w:t>
      </w:r>
      <m:oMath>
        <m:r>
          <m:rPr>
            <m:sty m:val="p"/>
          </m:rPr>
          <w:rPr>
            <w:rFonts w:ascii="Cambria Math" w:eastAsiaTheme="minorEastAsia" w:hAnsi="Cambria Math" w:cs="Calibri"/>
            <w:color w:val="000000"/>
            <w:sz w:val="22"/>
            <w:szCs w:val="22"/>
          </w:rPr>
          <m:t>ρ = 0.3</m:t>
        </m:r>
      </m:oMath>
      <w:r w:rsidRPr="00691923">
        <w:rPr>
          <w:rFonts w:ascii="Calibri" w:eastAsiaTheme="minorEastAsia" w:hAnsi="Calibri" w:cs="Calibri"/>
          <w:color w:val="000000"/>
          <w:sz w:val="22"/>
          <w:szCs w:val="22"/>
        </w:rPr>
        <w:t>, não há acumulação progressiva dominante, mas um equilíbrio precoce: os suscetíveis remanescentes estão espacialmente isolados e não podem ser reinfectados. O resultado é um mosaico aleatório de células mortas e suscetíveis, cuja proporção espacial sustenta entropia de Shannon moderada no longo prazo.</w:t>
      </w:r>
    </w:p>
    <w:p w14:paraId="1E52DE3B" w14:textId="6433D6B6" w:rsidR="00101D6F" w:rsidRDefault="00101D6F" w:rsidP="000B4D74">
      <w:pPr>
        <w:pStyle w:val="ListParagraph"/>
        <w:numPr>
          <w:ilvl w:val="0"/>
          <w:numId w:val="3"/>
        </w:numPr>
        <w:spacing w:after="120"/>
        <w:ind w:left="360"/>
        <w:rPr>
          <w:rFonts w:ascii="Calibri" w:eastAsiaTheme="minorEastAsia" w:hAnsi="Calibri" w:cs="Calibri"/>
          <w:b/>
          <w:bCs/>
          <w:color w:val="000000"/>
          <w:sz w:val="28"/>
          <w:szCs w:val="28"/>
        </w:rPr>
      </w:pPr>
      <w:r w:rsidRPr="00101D6F">
        <w:rPr>
          <w:rFonts w:ascii="Calibri" w:eastAsiaTheme="minorEastAsia" w:hAnsi="Calibri" w:cs="Calibri"/>
          <w:b/>
          <w:bCs/>
          <w:color w:val="000000"/>
          <w:sz w:val="28"/>
          <w:szCs w:val="28"/>
        </w:rPr>
        <w:t>Discussões</w:t>
      </w:r>
    </w:p>
    <w:p w14:paraId="385D3CF0" w14:textId="2404885F" w:rsidR="00101D6F" w:rsidRDefault="00902C48" w:rsidP="000B4D74">
      <w:pPr>
        <w:spacing w:after="120"/>
        <w:jc w:val="both"/>
        <w:rPr>
          <w:rFonts w:ascii="Calibri" w:eastAsiaTheme="minorEastAsia" w:hAnsi="Calibri" w:cs="Calibri"/>
          <w:color w:val="000000"/>
          <w:sz w:val="22"/>
          <w:szCs w:val="22"/>
        </w:rPr>
      </w:pPr>
      <w:r w:rsidRPr="00902C48">
        <w:rPr>
          <w:rFonts w:ascii="Calibri" w:eastAsiaTheme="minorEastAsia" w:hAnsi="Calibri" w:cs="Calibri"/>
          <w:color w:val="000000"/>
          <w:sz w:val="22"/>
          <w:szCs w:val="22"/>
        </w:rPr>
        <w:t>Os três regimes revelados por este modelo de autômato celular evidenciam um princípio fundamental: a mortalidade induzida pela infecção não é apenas uma redução passiva da densidade de transmissores, mas um agente ativo de reconfiguração da topologia populacional e da conectividade. Em modelos compartimentais tradicionais, o aumento da taxa de mortalidade μ simplesmente reduz a força de infecção e pode eliminar estados endêmicos. Aqui, a estrutura espacial introduz um mecanismo adicional: células mortas atuam como barreiras espaciais, fragmentando a paisagem e isolando subpopulações.</w:t>
      </w:r>
    </w:p>
    <w:p w14:paraId="2C64D7F3" w14:textId="1919EE2A" w:rsidR="00902C48" w:rsidRDefault="00902C48" w:rsidP="000B4D74">
      <w:pPr>
        <w:spacing w:after="120"/>
        <w:jc w:val="both"/>
        <w:rPr>
          <w:rFonts w:ascii="Calibri" w:eastAsiaTheme="minorEastAsia" w:hAnsi="Calibri" w:cs="Calibri"/>
          <w:color w:val="000000"/>
          <w:sz w:val="22"/>
          <w:szCs w:val="22"/>
        </w:rPr>
      </w:pPr>
      <w:r w:rsidRPr="00902C48">
        <w:rPr>
          <w:rFonts w:ascii="Calibri" w:eastAsiaTheme="minorEastAsia" w:hAnsi="Calibri" w:cs="Calibri"/>
          <w:color w:val="000000"/>
          <w:sz w:val="22"/>
          <w:szCs w:val="22"/>
        </w:rPr>
        <w:t xml:space="preserve">Esse fenômeno tem implicações diretas para epidemias reais. Em populações humanas, mortes causadas por doenças podem levar à despovoação regional, à ruptura de redes sociais e à fragmentação geográfica. O modelo de autômato celular sugere que tal fragmentação pode ser tão eficaz quanto quarentenas ou vacinação na redução da transmissão, porém por meio de um mecanismo estrutural passivo, e não de uma intervenção ativa. Além disso, o efeito de Allee espacial identificado neste estudo, no qual suscetíveis se tornam isolados por barreiras de células mortas apesar de manterem a suscetibilidade biológica, implica que estimativas ingênuas </w:t>
      </w:r>
      <w:r w:rsidRPr="00902C48">
        <w:rPr>
          <w:rFonts w:ascii="Calibri" w:eastAsiaTheme="minorEastAsia" w:hAnsi="Calibri" w:cs="Calibri"/>
          <w:color w:val="000000"/>
          <w:sz w:val="22"/>
          <w:szCs w:val="22"/>
        </w:rPr>
        <w:lastRenderedPageBreak/>
        <w:t>do potencial epidêmico baseadas em modelos bem misturados podem superestimar a persistência real da infecção em populações espacialmente heterogêneas.</w:t>
      </w:r>
    </w:p>
    <w:p w14:paraId="637CCD14" w14:textId="0861E5DB" w:rsidR="00787871" w:rsidRDefault="00902C48" w:rsidP="000B4D74">
      <w:pPr>
        <w:jc w:val="both"/>
        <w:rPr>
          <w:rFonts w:ascii="Calibri" w:eastAsiaTheme="minorEastAsia" w:hAnsi="Calibri" w:cs="Calibri"/>
          <w:color w:val="000000"/>
          <w:sz w:val="22"/>
          <w:szCs w:val="22"/>
        </w:rPr>
      </w:pPr>
      <w:r w:rsidRPr="00902C48">
        <w:rPr>
          <w:rFonts w:ascii="Calibri" w:eastAsiaTheme="minorEastAsia" w:hAnsi="Calibri" w:cs="Calibri"/>
          <w:color w:val="000000"/>
          <w:sz w:val="22"/>
          <w:szCs w:val="22"/>
        </w:rPr>
        <w:t>Sob a perspectiva da saúde pública, a predominância do regime</w:t>
      </w:r>
      <m:oMath>
        <m:r>
          <m:rPr>
            <m:sty m:val="p"/>
          </m:rPr>
          <w:rPr>
            <w:rFonts w:ascii="Cambria Math" w:eastAsiaTheme="minorEastAsia" w:hAnsi="Cambria Math" w:cs="Calibri"/>
            <w:color w:val="000000"/>
            <w:sz w:val="22"/>
            <w:szCs w:val="22"/>
          </w:rPr>
          <m:t>ρ = 0.3</m:t>
        </m:r>
      </m:oMath>
      <w:r w:rsidRPr="00902C48">
        <w:rPr>
          <w:rFonts w:ascii="Calibri" w:eastAsiaTheme="minorEastAsia" w:hAnsi="Calibri" w:cs="Calibri"/>
          <w:color w:val="000000"/>
          <w:sz w:val="22"/>
          <w:szCs w:val="22"/>
        </w:rPr>
        <w:t>, caracterizado por colapso epidêmico rápido seguido de alta mortalidade e baixa prevalência final, sugere que taxas intermediárias de letalidade podem conduzir a epidemias autolimitadas em contextos espacialmente explícitos. Esse resultado é contraintuitivo, uma vez que, em modelos bem misturados, maior letalidade tende a acelerar o declínio da transmissão. O arcabouço de autômatos celulares aponta, assim, para uma fenomenologia mais rica do que aquela capturada por abordagens compartimentais homogêneas.</w:t>
      </w:r>
    </w:p>
    <w:p w14:paraId="5A4B22F6" w14:textId="10A27E48" w:rsidR="00101D6F" w:rsidRPr="00101D6F" w:rsidRDefault="00101D6F" w:rsidP="00101D6F">
      <w:pPr>
        <w:pStyle w:val="ListParagraph"/>
        <w:numPr>
          <w:ilvl w:val="0"/>
          <w:numId w:val="3"/>
        </w:numPr>
        <w:ind w:left="360"/>
        <w:rPr>
          <w:rFonts w:ascii="Calibri" w:eastAsiaTheme="minorEastAsia" w:hAnsi="Calibri" w:cs="Calibri"/>
          <w:b/>
          <w:bCs/>
          <w:color w:val="000000"/>
          <w:sz w:val="28"/>
          <w:szCs w:val="28"/>
        </w:rPr>
      </w:pPr>
      <w:r w:rsidRPr="00101D6F">
        <w:rPr>
          <w:rFonts w:ascii="Calibri" w:eastAsiaTheme="minorEastAsia" w:hAnsi="Calibri" w:cs="Calibri"/>
          <w:b/>
          <w:bCs/>
          <w:color w:val="000000"/>
          <w:sz w:val="28"/>
          <w:szCs w:val="28"/>
        </w:rPr>
        <w:t>Referências</w:t>
      </w:r>
    </w:p>
    <w:sdt>
      <w:sdtPr>
        <w:rPr>
          <w:rFonts w:ascii="Calibri" w:eastAsiaTheme="minorEastAsia" w:hAnsi="Calibri" w:cs="Calibri"/>
          <w:color w:val="000000"/>
          <w:sz w:val="20"/>
          <w:szCs w:val="20"/>
        </w:rPr>
        <w:tag w:val="MENDELEY_BIBLIOGRAPHY"/>
        <w:id w:val="1897308545"/>
        <w:placeholder>
          <w:docPart w:val="DefaultPlaceholder_-1854013440"/>
        </w:placeholder>
      </w:sdtPr>
      <w:sdtEndPr/>
      <w:sdtContent>
        <w:p w14:paraId="177DBF4B" w14:textId="77777777" w:rsidR="00641F0C" w:rsidRPr="00641F0C" w:rsidRDefault="00641F0C">
          <w:pPr>
            <w:autoSpaceDE w:val="0"/>
            <w:autoSpaceDN w:val="0"/>
            <w:ind w:hanging="640"/>
            <w:divId w:val="1818499498"/>
            <w:rPr>
              <w:rFonts w:ascii="Calibri" w:eastAsia="Times New Roman" w:hAnsi="Calibri" w:cs="Calibri"/>
              <w:color w:val="000000"/>
              <w:kern w:val="0"/>
              <w:sz w:val="20"/>
              <w:lang w:val="en-US"/>
              <w14:ligatures w14:val="none"/>
            </w:rPr>
          </w:pPr>
          <w:r w:rsidRPr="00641F0C">
            <w:rPr>
              <w:rFonts w:ascii="Calibri" w:eastAsia="Times New Roman" w:hAnsi="Calibri" w:cs="Calibri"/>
              <w:color w:val="000000"/>
              <w:sz w:val="20"/>
              <w:lang w:val="en-US"/>
            </w:rPr>
            <w:t>[1]</w:t>
          </w:r>
          <w:r w:rsidRPr="00641F0C">
            <w:rPr>
              <w:rFonts w:ascii="Calibri" w:eastAsia="Times New Roman" w:hAnsi="Calibri" w:cs="Calibri"/>
              <w:color w:val="000000"/>
              <w:sz w:val="20"/>
              <w:lang w:val="en-US"/>
            </w:rPr>
            <w:tab/>
            <w:t>M. J. Keeling and P. Rohani, “Modeling Infectious Diseases in Humans and Animals,” 2008.</w:t>
          </w:r>
        </w:p>
        <w:p w14:paraId="4E2058AB" w14:textId="77777777" w:rsidR="00641F0C" w:rsidRPr="00641F0C" w:rsidRDefault="00641F0C">
          <w:pPr>
            <w:autoSpaceDE w:val="0"/>
            <w:autoSpaceDN w:val="0"/>
            <w:ind w:hanging="640"/>
            <w:divId w:val="89354431"/>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[2]</w:t>
          </w:r>
          <w:r w:rsidRPr="00641F0C">
            <w:rPr>
              <w:rFonts w:ascii="Calibri" w:eastAsia="Times New Roman" w:hAnsi="Calibri" w:cs="Calibri"/>
              <w:color w:val="000000"/>
              <w:sz w:val="20"/>
              <w:lang w:val="en-US"/>
            </w:rPr>
            <w:tab/>
            <w:t xml:space="preserve">F. Brauer, C. Castillo-Chavez, and Z. Feng, “Mathematical Models in Epidemiology,” vol. 69, 2019,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10.1007/978-1-4939-9828-9.</w:t>
          </w:r>
        </w:p>
        <w:p w14:paraId="49F66958" w14:textId="77777777" w:rsidR="00641F0C" w:rsidRPr="00641F0C" w:rsidRDefault="00641F0C">
          <w:pPr>
            <w:autoSpaceDE w:val="0"/>
            <w:autoSpaceDN w:val="0"/>
            <w:ind w:hanging="640"/>
            <w:divId w:val="1594633275"/>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[3]</w:t>
          </w:r>
          <w:r w:rsidRPr="00641F0C">
            <w:rPr>
              <w:rFonts w:ascii="Calibri" w:eastAsia="Times New Roman" w:hAnsi="Calibri" w:cs="Calibri"/>
              <w:color w:val="000000"/>
              <w:sz w:val="20"/>
              <w:lang w:val="en-US"/>
            </w:rPr>
            <w:tab/>
            <w:t xml:space="preserve">R. M. Anderson and R. M. May, “Infectious Diseases of Humans: Dynamics and Control,” </w:t>
          </w:r>
          <w:r w:rsidRPr="00641F0C">
            <w:rPr>
              <w:rFonts w:ascii="Calibri" w:eastAsia="Times New Roman" w:hAnsi="Calibri" w:cs="Calibri"/>
              <w:i/>
              <w:iCs/>
              <w:color w:val="000000"/>
              <w:sz w:val="20"/>
              <w:lang w:val="en-US"/>
            </w:rPr>
            <w:t>Infectious Diseases of Humans</w:t>
          </w:r>
          <w:r w:rsidRPr="00641F0C">
            <w:rPr>
              <w:rFonts w:ascii="Calibri" w:eastAsia="Times New Roman" w:hAnsi="Calibri" w:cs="Calibri"/>
              <w:color w:val="000000"/>
              <w:sz w:val="20"/>
              <w:lang w:val="en-US"/>
            </w:rPr>
            <w:t xml:space="preserve">, May 1991,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10.1093/</w:t>
          </w:r>
          <w:proofErr w:type="spellStart"/>
          <w:r w:rsidRPr="00641F0C">
            <w:rPr>
              <w:rFonts w:ascii="Calibri" w:eastAsia="Times New Roman" w:hAnsi="Calibri" w:cs="Calibri"/>
              <w:color w:val="000000"/>
              <w:sz w:val="20"/>
              <w:lang w:val="en-US"/>
            </w:rPr>
            <w:t>oso</w:t>
          </w:r>
          <w:proofErr w:type="spellEnd"/>
          <w:r w:rsidRPr="00641F0C">
            <w:rPr>
              <w:rFonts w:ascii="Calibri" w:eastAsia="Times New Roman" w:hAnsi="Calibri" w:cs="Calibri"/>
              <w:color w:val="000000"/>
              <w:sz w:val="20"/>
              <w:lang w:val="en-US"/>
            </w:rPr>
            <w:t>/9780198545996.001.0001.</w:t>
          </w:r>
        </w:p>
        <w:p w14:paraId="0D342AEA" w14:textId="77777777" w:rsidR="00641F0C" w:rsidRPr="00641F0C" w:rsidRDefault="00641F0C">
          <w:pPr>
            <w:autoSpaceDE w:val="0"/>
            <w:autoSpaceDN w:val="0"/>
            <w:ind w:hanging="640"/>
            <w:divId w:val="1762529868"/>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[4]</w:t>
          </w:r>
          <w:r w:rsidRPr="00641F0C">
            <w:rPr>
              <w:rFonts w:ascii="Calibri" w:eastAsia="Times New Roman" w:hAnsi="Calibri" w:cs="Calibri"/>
              <w:color w:val="000000"/>
              <w:sz w:val="20"/>
              <w:lang w:val="en-US"/>
            </w:rPr>
            <w:tab/>
            <w:t xml:space="preserve">H. W. Hethcote, “The Mathematics of Infectious Diseases,” </w:t>
          </w:r>
          <w:r w:rsidRPr="00641F0C">
            <w:rPr>
              <w:rFonts w:ascii="Calibri" w:eastAsia="Times New Roman" w:hAnsi="Calibri" w:cs="Calibri"/>
              <w:i/>
              <w:iCs/>
              <w:color w:val="000000"/>
              <w:sz w:val="20"/>
              <w:lang w:val="en-US"/>
            </w:rPr>
            <w:t>Review</w:t>
          </w:r>
          <w:r w:rsidRPr="00641F0C">
            <w:rPr>
              <w:rFonts w:ascii="Calibri" w:eastAsia="Times New Roman" w:hAnsi="Calibri" w:cs="Calibri"/>
              <w:color w:val="000000"/>
              <w:sz w:val="20"/>
              <w:lang w:val="en-US"/>
            </w:rPr>
            <w:t>, vol. 42, no. 4, pp. 599–653, 2000, Accessed: Feb. 09, 2026. [Online]. Available: http://www.siam.org/journals/sirev/42-4/37190.htnil</w:t>
          </w:r>
        </w:p>
        <w:p w14:paraId="255F1399" w14:textId="77777777" w:rsidR="00641F0C" w:rsidRPr="00641F0C" w:rsidRDefault="00641F0C">
          <w:pPr>
            <w:autoSpaceDE w:val="0"/>
            <w:autoSpaceDN w:val="0"/>
            <w:ind w:hanging="640"/>
            <w:divId w:val="108862950"/>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[5]</w:t>
          </w:r>
          <w:r w:rsidRPr="00641F0C">
            <w:rPr>
              <w:rFonts w:ascii="Calibri" w:eastAsia="Times New Roman" w:hAnsi="Calibri" w:cs="Calibri"/>
              <w:color w:val="000000"/>
              <w:sz w:val="20"/>
              <w:lang w:val="en-US"/>
            </w:rPr>
            <w:tab/>
            <w:t xml:space="preserve">P. Van Den Driessche and J. Watmough, “Reproduction numbers and sub-threshold endemic equilibria for compartmental models of disease transmission,” </w:t>
          </w:r>
          <w:r w:rsidRPr="00641F0C">
            <w:rPr>
              <w:rFonts w:ascii="Calibri" w:eastAsia="Times New Roman" w:hAnsi="Calibri" w:cs="Calibri"/>
              <w:i/>
              <w:iCs/>
              <w:color w:val="000000"/>
              <w:sz w:val="20"/>
              <w:lang w:val="en-US"/>
            </w:rPr>
            <w:t xml:space="preserve">Math. </w:t>
          </w:r>
          <w:proofErr w:type="spellStart"/>
          <w:r w:rsidRPr="00641F0C">
            <w:rPr>
              <w:rFonts w:ascii="Calibri" w:eastAsia="Times New Roman" w:hAnsi="Calibri" w:cs="Calibri"/>
              <w:i/>
              <w:iCs/>
              <w:color w:val="000000"/>
              <w:sz w:val="20"/>
              <w:lang w:val="en-US"/>
            </w:rPr>
            <w:t>Biosci</w:t>
          </w:r>
          <w:proofErr w:type="spellEnd"/>
          <w:r w:rsidRPr="00641F0C">
            <w:rPr>
              <w:rFonts w:ascii="Calibri" w:eastAsia="Times New Roman" w:hAnsi="Calibri" w:cs="Calibri"/>
              <w:i/>
              <w:iCs/>
              <w:color w:val="000000"/>
              <w:sz w:val="20"/>
              <w:lang w:val="en-US"/>
            </w:rPr>
            <w:t>.</w:t>
          </w:r>
          <w:r w:rsidRPr="00641F0C">
            <w:rPr>
              <w:rFonts w:ascii="Calibri" w:eastAsia="Times New Roman" w:hAnsi="Calibri" w:cs="Calibri"/>
              <w:color w:val="000000"/>
              <w:sz w:val="20"/>
              <w:lang w:val="en-US"/>
            </w:rPr>
            <w:t xml:space="preserve">, vol. 180, no. 1–2, pp. 29–48, Nov. 2002,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10.1016/S0025-5564(02)00108-6.</w:t>
          </w:r>
        </w:p>
        <w:p w14:paraId="4B7F9E16" w14:textId="77777777" w:rsidR="00641F0C" w:rsidRPr="00641F0C" w:rsidRDefault="00641F0C">
          <w:pPr>
            <w:autoSpaceDE w:val="0"/>
            <w:autoSpaceDN w:val="0"/>
            <w:ind w:hanging="640"/>
            <w:divId w:val="794105064"/>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[6]</w:t>
          </w:r>
          <w:r w:rsidRPr="00641F0C">
            <w:rPr>
              <w:rFonts w:ascii="Calibri" w:eastAsia="Times New Roman" w:hAnsi="Calibri" w:cs="Calibri"/>
              <w:color w:val="000000"/>
              <w:sz w:val="20"/>
              <w:lang w:val="en-US"/>
            </w:rPr>
            <w:tab/>
            <w:t xml:space="preserve">H. R. Thieme, “Mathematics in Population Biology,” </w:t>
          </w:r>
          <w:r w:rsidRPr="00641F0C">
            <w:rPr>
              <w:rFonts w:ascii="Calibri" w:eastAsia="Times New Roman" w:hAnsi="Calibri" w:cs="Calibri"/>
              <w:i/>
              <w:iCs/>
              <w:color w:val="000000"/>
              <w:sz w:val="20"/>
              <w:lang w:val="en-US"/>
            </w:rPr>
            <w:t>Mathematics in Population Biology</w:t>
          </w:r>
          <w:r w:rsidRPr="00641F0C">
            <w:rPr>
              <w:rFonts w:ascii="Calibri" w:eastAsia="Times New Roman" w:hAnsi="Calibri" w:cs="Calibri"/>
              <w:color w:val="000000"/>
              <w:sz w:val="20"/>
              <w:lang w:val="en-US"/>
            </w:rPr>
            <w:t xml:space="preserve">, pp. 1–543, Jan. 2018,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10.2307/j.ctv301f9v.</w:t>
          </w:r>
        </w:p>
        <w:p w14:paraId="79E09319" w14:textId="77777777" w:rsidR="00641F0C" w:rsidRPr="00641F0C" w:rsidRDefault="00641F0C">
          <w:pPr>
            <w:autoSpaceDE w:val="0"/>
            <w:autoSpaceDN w:val="0"/>
            <w:ind w:hanging="640"/>
            <w:divId w:val="374545428"/>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[7]</w:t>
          </w:r>
          <w:r w:rsidRPr="00641F0C">
            <w:rPr>
              <w:rFonts w:ascii="Calibri" w:eastAsia="Times New Roman" w:hAnsi="Calibri" w:cs="Calibri"/>
              <w:color w:val="000000"/>
              <w:sz w:val="20"/>
              <w:lang w:val="en-US"/>
            </w:rPr>
            <w:tab/>
            <w:t xml:space="preserve">N. H. L. Leung, C. Xu, D. K. M. Ip, and B. J. Cowling, “Review Article: The Fraction of Influenza Virus Infections That Are Asymptomatic: A Systematic Review and Meta-analysis,” </w:t>
          </w:r>
          <w:r w:rsidRPr="00641F0C">
            <w:rPr>
              <w:rFonts w:ascii="Calibri" w:eastAsia="Times New Roman" w:hAnsi="Calibri" w:cs="Calibri"/>
              <w:i/>
              <w:iCs/>
              <w:color w:val="000000"/>
              <w:sz w:val="20"/>
              <w:lang w:val="en-US"/>
            </w:rPr>
            <w:t>Epidemiology</w:t>
          </w:r>
          <w:r w:rsidRPr="00641F0C">
            <w:rPr>
              <w:rFonts w:ascii="Calibri" w:eastAsia="Times New Roman" w:hAnsi="Calibri" w:cs="Calibri"/>
              <w:color w:val="000000"/>
              <w:sz w:val="20"/>
              <w:lang w:val="en-US"/>
            </w:rPr>
            <w:t xml:space="preserve">, vol. 26, no. 6, pp. 862–872, Oct. 2015,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10.1097/EDE.0000000000000340.</w:t>
          </w:r>
        </w:p>
        <w:p w14:paraId="37780F82" w14:textId="77777777" w:rsidR="00641F0C" w:rsidRPr="00641F0C" w:rsidRDefault="00641F0C">
          <w:pPr>
            <w:autoSpaceDE w:val="0"/>
            <w:autoSpaceDN w:val="0"/>
            <w:ind w:hanging="640"/>
            <w:divId w:val="1928686311"/>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[8]</w:t>
          </w:r>
          <w:r w:rsidRPr="00641F0C">
            <w:rPr>
              <w:rFonts w:ascii="Calibri" w:eastAsia="Times New Roman" w:hAnsi="Calibri" w:cs="Calibri"/>
              <w:color w:val="000000"/>
              <w:sz w:val="20"/>
              <w:lang w:val="en-US"/>
            </w:rPr>
            <w:tab/>
            <w:t xml:space="preserve">S. Riley, “Large-scale spatial-transmission models of infectious disease,” </w:t>
          </w:r>
          <w:r w:rsidRPr="00641F0C">
            <w:rPr>
              <w:rFonts w:ascii="Calibri" w:eastAsia="Times New Roman" w:hAnsi="Calibri" w:cs="Calibri"/>
              <w:i/>
              <w:iCs/>
              <w:color w:val="000000"/>
              <w:sz w:val="20"/>
              <w:lang w:val="en-US"/>
            </w:rPr>
            <w:t>Science</w:t>
          </w:r>
          <w:r w:rsidRPr="00641F0C">
            <w:rPr>
              <w:rFonts w:ascii="Calibri" w:eastAsia="Times New Roman" w:hAnsi="Calibri" w:cs="Calibri"/>
              <w:color w:val="000000"/>
              <w:sz w:val="20"/>
              <w:lang w:val="en-US"/>
            </w:rPr>
            <w:t xml:space="preserve">, vol. 316, no. 5829, pp. 1298–1301, Jun. 2007,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10.1126/science.1134695.</w:t>
          </w:r>
        </w:p>
        <w:p w14:paraId="13F7B796" w14:textId="77777777" w:rsidR="00641F0C" w:rsidRPr="00641F0C" w:rsidRDefault="00641F0C">
          <w:pPr>
            <w:autoSpaceDE w:val="0"/>
            <w:autoSpaceDN w:val="0"/>
            <w:ind w:hanging="640"/>
            <w:divId w:val="1504933661"/>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[9]</w:t>
          </w:r>
          <w:r w:rsidRPr="00641F0C">
            <w:rPr>
              <w:rFonts w:ascii="Calibri" w:eastAsia="Times New Roman" w:hAnsi="Calibri" w:cs="Calibri"/>
              <w:color w:val="000000"/>
              <w:sz w:val="20"/>
              <w:lang w:val="en-US"/>
            </w:rPr>
            <w:tab/>
            <w:t xml:space="preserve">S. H. White, A. Martín Del Rey, and G. Rodríguez Sánchez, “Modeling epidemics using cellular automata”, </w:t>
          </w:r>
          <w:proofErr w:type="spellStart"/>
          <w:r w:rsidRPr="00641F0C">
            <w:rPr>
              <w:rFonts w:ascii="Calibri" w:eastAsia="Times New Roman" w:hAnsi="Calibri" w:cs="Calibri"/>
              <w:color w:val="000000"/>
              <w:sz w:val="20"/>
              <w:lang w:val="en-US"/>
            </w:rPr>
            <w:t>doi</w:t>
          </w:r>
          <w:proofErr w:type="spellEnd"/>
          <w:r w:rsidRPr="00641F0C">
            <w:rPr>
              <w:rFonts w:ascii="Calibri" w:eastAsia="Times New Roman" w:hAnsi="Calibri" w:cs="Calibri"/>
              <w:color w:val="000000"/>
              <w:sz w:val="20"/>
              <w:lang w:val="en-US"/>
            </w:rPr>
            <w:t>: 10.1016/j.amc.2006.06.126.</w:t>
          </w:r>
        </w:p>
        <w:p w14:paraId="214AA24D" w14:textId="77777777" w:rsidR="00641F0C" w:rsidRPr="00641F0C" w:rsidRDefault="00641F0C">
          <w:pPr>
            <w:autoSpaceDE w:val="0"/>
            <w:autoSpaceDN w:val="0"/>
            <w:ind w:hanging="640"/>
            <w:divId w:val="249893679"/>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[10]</w:t>
          </w:r>
          <w:r w:rsidRPr="00641F0C">
            <w:rPr>
              <w:rFonts w:ascii="Calibri" w:eastAsia="Times New Roman" w:hAnsi="Calibri" w:cs="Calibri"/>
              <w:color w:val="000000"/>
              <w:sz w:val="20"/>
              <w:lang w:val="en-US"/>
            </w:rPr>
            <w:tab/>
            <w:t xml:space="preserve">G. Ch </w:t>
          </w:r>
          <w:proofErr w:type="spellStart"/>
          <w:r w:rsidRPr="00641F0C">
            <w:rPr>
              <w:rFonts w:ascii="Calibri" w:eastAsia="Times New Roman" w:hAnsi="Calibri" w:cs="Calibri"/>
              <w:color w:val="000000"/>
              <w:sz w:val="20"/>
              <w:lang w:val="en-US"/>
            </w:rPr>
            <w:t>Sirakoulis</w:t>
          </w:r>
          <w:proofErr w:type="spellEnd"/>
          <w:r w:rsidRPr="00641F0C">
            <w:rPr>
              <w:rFonts w:ascii="Calibri" w:eastAsia="Times New Roman" w:hAnsi="Calibri" w:cs="Calibri"/>
              <w:color w:val="000000"/>
              <w:sz w:val="20"/>
              <w:lang w:val="en-US"/>
            </w:rPr>
            <w:t xml:space="preserve">, I. </w:t>
          </w:r>
          <w:proofErr w:type="spellStart"/>
          <w:r w:rsidRPr="00641F0C">
            <w:rPr>
              <w:rFonts w:ascii="Calibri" w:eastAsia="Times New Roman" w:hAnsi="Calibri" w:cs="Calibri"/>
              <w:color w:val="000000"/>
              <w:sz w:val="20"/>
              <w:lang w:val="en-US"/>
            </w:rPr>
            <w:t>Karafyllidis</w:t>
          </w:r>
          <w:proofErr w:type="spellEnd"/>
          <w:r w:rsidRPr="00641F0C">
            <w:rPr>
              <w:rFonts w:ascii="Calibri" w:eastAsia="Times New Roman" w:hAnsi="Calibri" w:cs="Calibri"/>
              <w:color w:val="000000"/>
              <w:sz w:val="20"/>
              <w:lang w:val="en-US"/>
            </w:rPr>
            <w:t xml:space="preserve">, and A. </w:t>
          </w:r>
          <w:proofErr w:type="spellStart"/>
          <w:r w:rsidRPr="00641F0C">
            <w:rPr>
              <w:rFonts w:ascii="Calibri" w:eastAsia="Times New Roman" w:hAnsi="Calibri" w:cs="Calibri"/>
              <w:color w:val="000000"/>
              <w:sz w:val="20"/>
              <w:lang w:val="en-US"/>
            </w:rPr>
            <w:t>Thanailakis</w:t>
          </w:r>
          <w:proofErr w:type="spellEnd"/>
          <w:r w:rsidRPr="00641F0C">
            <w:rPr>
              <w:rFonts w:ascii="Calibri" w:eastAsia="Times New Roman" w:hAnsi="Calibri" w:cs="Calibri"/>
              <w:color w:val="000000"/>
              <w:sz w:val="20"/>
              <w:lang w:val="en-US"/>
            </w:rPr>
            <w:t xml:space="preserve">, “A cellular automaton model for the effects of population movement and vaccination on epidemic propagation,” </w:t>
          </w:r>
          <w:r w:rsidRPr="00641F0C">
            <w:rPr>
              <w:rFonts w:ascii="Calibri" w:eastAsia="Times New Roman" w:hAnsi="Calibri" w:cs="Calibri"/>
              <w:i/>
              <w:iCs/>
              <w:color w:val="000000"/>
              <w:sz w:val="20"/>
              <w:lang w:val="en-US"/>
            </w:rPr>
            <w:t>Ecol. Modell.</w:t>
          </w:r>
          <w:r w:rsidRPr="00641F0C">
            <w:rPr>
              <w:rFonts w:ascii="Calibri" w:eastAsia="Times New Roman" w:hAnsi="Calibri" w:cs="Calibri"/>
              <w:color w:val="000000"/>
              <w:sz w:val="20"/>
              <w:lang w:val="en-US"/>
            </w:rPr>
            <w:t>, vol. 133, no. 0000, pp. 209–223, 2000, Accessed: Feb. 09, 2026. [Online]. Available: www.elsevier.com/locate/ecolmodel</w:t>
          </w:r>
        </w:p>
        <w:p w14:paraId="47412F47" w14:textId="77777777" w:rsidR="00641F0C" w:rsidRPr="00641F0C" w:rsidRDefault="00641F0C">
          <w:pPr>
            <w:autoSpaceDE w:val="0"/>
            <w:autoSpaceDN w:val="0"/>
            <w:ind w:hanging="640"/>
            <w:divId w:val="1132013655"/>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[11]</w:t>
          </w:r>
          <w:r w:rsidRPr="00641F0C">
            <w:rPr>
              <w:rFonts w:ascii="Calibri" w:eastAsia="Times New Roman" w:hAnsi="Calibri" w:cs="Calibri"/>
              <w:color w:val="000000"/>
              <w:sz w:val="20"/>
              <w:lang w:val="en-US"/>
            </w:rPr>
            <w:tab/>
            <w:t xml:space="preserve">S. Wolfram, “A New Kind of Science,” </w:t>
          </w:r>
          <w:r w:rsidRPr="00641F0C">
            <w:rPr>
              <w:rFonts w:ascii="Calibri" w:eastAsia="Times New Roman" w:hAnsi="Calibri" w:cs="Calibri"/>
              <w:i/>
              <w:iCs/>
              <w:color w:val="000000"/>
              <w:sz w:val="20"/>
              <w:lang w:val="en-US"/>
            </w:rPr>
            <w:t>Stephen Wolfram Writings</w:t>
          </w:r>
          <w:r w:rsidRPr="00641F0C">
            <w:rPr>
              <w:rFonts w:ascii="Calibri" w:eastAsia="Times New Roman" w:hAnsi="Calibri" w:cs="Calibri"/>
              <w:color w:val="000000"/>
              <w:sz w:val="20"/>
              <w:lang w:val="en-US"/>
            </w:rPr>
            <w:t>, May 2017.</w:t>
          </w:r>
        </w:p>
        <w:p w14:paraId="2ABF7F53" w14:textId="77777777" w:rsidR="00641F0C" w:rsidRPr="00641F0C" w:rsidRDefault="00641F0C">
          <w:pPr>
            <w:autoSpaceDE w:val="0"/>
            <w:autoSpaceDN w:val="0"/>
            <w:ind w:hanging="640"/>
            <w:divId w:val="263616830"/>
            <w:rPr>
              <w:rFonts w:ascii="Calibri" w:eastAsia="Times New Roman" w:hAnsi="Calibri" w:cs="Calibri"/>
              <w:color w:val="000000"/>
              <w:sz w:val="20"/>
              <w:lang w:val="en-US"/>
            </w:rPr>
          </w:pPr>
          <w:r w:rsidRPr="00641F0C">
            <w:rPr>
              <w:rFonts w:ascii="Calibri" w:eastAsia="Times New Roman" w:hAnsi="Calibri" w:cs="Calibri"/>
              <w:color w:val="000000"/>
              <w:sz w:val="20"/>
              <w:lang w:val="en-US"/>
            </w:rPr>
            <w:t>[12]</w:t>
          </w:r>
          <w:r w:rsidRPr="00641F0C">
            <w:rPr>
              <w:rFonts w:ascii="Calibri" w:eastAsia="Times New Roman" w:hAnsi="Calibri" w:cs="Calibri"/>
              <w:color w:val="000000"/>
              <w:sz w:val="20"/>
              <w:lang w:val="en-US"/>
            </w:rPr>
            <w:tab/>
            <w:t xml:space="preserve">J.-P. Delahaye and H. Zenil, “Numerical Evaluation of Algorithmic Complexity for Short Strings: A Glance into the Innermost Structure of Randomness,” </w:t>
          </w:r>
          <w:r w:rsidRPr="00641F0C">
            <w:rPr>
              <w:rFonts w:ascii="Calibri" w:eastAsia="Times New Roman" w:hAnsi="Calibri" w:cs="Calibri"/>
              <w:i/>
              <w:iCs/>
              <w:color w:val="000000"/>
              <w:sz w:val="20"/>
              <w:lang w:val="en-US"/>
            </w:rPr>
            <w:t xml:space="preserve">Appl. Math. </w:t>
          </w:r>
          <w:proofErr w:type="spellStart"/>
          <w:r w:rsidRPr="00641F0C">
            <w:rPr>
              <w:rFonts w:ascii="Calibri" w:eastAsia="Times New Roman" w:hAnsi="Calibri" w:cs="Calibri"/>
              <w:i/>
              <w:iCs/>
              <w:color w:val="000000"/>
              <w:sz w:val="20"/>
              <w:lang w:val="en-US"/>
            </w:rPr>
            <w:t>Comput</w:t>
          </w:r>
          <w:proofErr w:type="spellEnd"/>
          <w:r w:rsidRPr="00641F0C">
            <w:rPr>
              <w:rFonts w:ascii="Calibri" w:eastAsia="Times New Roman" w:hAnsi="Calibri" w:cs="Calibri"/>
              <w:i/>
              <w:iCs/>
              <w:color w:val="000000"/>
              <w:sz w:val="20"/>
              <w:lang w:val="en-US"/>
            </w:rPr>
            <w:t>.</w:t>
          </w:r>
          <w:r w:rsidRPr="00641F0C">
            <w:rPr>
              <w:rFonts w:ascii="Calibri" w:eastAsia="Times New Roman" w:hAnsi="Calibri" w:cs="Calibri"/>
              <w:color w:val="000000"/>
              <w:sz w:val="20"/>
              <w:lang w:val="en-US"/>
            </w:rPr>
            <w:t>, vol. 219, no. 1, pp. 63–77, Oct. 2011, Accessed: Feb. 09, 2026. [Online]. Available: http://arxiv.org/abs/1101.4795</w:t>
          </w:r>
        </w:p>
        <w:p w14:paraId="56CBDB33" w14:textId="0F846667" w:rsidR="004346B0" w:rsidRPr="00101D6F" w:rsidRDefault="00641F0C" w:rsidP="00501C01">
          <w:pPr>
            <w:spacing w:after="120" w:line="240" w:lineRule="auto"/>
            <w:jc w:val="both"/>
            <w:rPr>
              <w:rFonts w:ascii="Calibri" w:eastAsiaTheme="minorEastAsia" w:hAnsi="Calibri" w:cs="Calibri"/>
              <w:color w:val="000000"/>
              <w:sz w:val="20"/>
              <w:szCs w:val="20"/>
            </w:rPr>
          </w:pPr>
          <w:r w:rsidRPr="00641F0C">
            <w:rPr>
              <w:rFonts w:ascii="Calibri" w:eastAsia="Times New Roman" w:hAnsi="Calibri" w:cs="Calibri"/>
              <w:color w:val="000000"/>
              <w:sz w:val="20"/>
              <w:lang w:val="en-US"/>
            </w:rPr>
            <w:t> </w:t>
          </w:r>
        </w:p>
      </w:sdtContent>
    </w:sdt>
    <w:p w14:paraId="197928C8" w14:textId="77777777" w:rsidR="000D2AF1" w:rsidRPr="000D2AF1" w:rsidRDefault="000D2AF1" w:rsidP="00501C01">
      <w:pPr>
        <w:spacing w:after="120" w:line="240" w:lineRule="auto"/>
        <w:jc w:val="both"/>
        <w:rPr>
          <w:rFonts w:ascii="Calibri" w:eastAsiaTheme="minorEastAsia" w:hAnsi="Calibri" w:cs="Calibri"/>
          <w:color w:val="000000"/>
          <w:sz w:val="22"/>
          <w:szCs w:val="22"/>
        </w:rPr>
      </w:pPr>
    </w:p>
    <w:sectPr w:rsidR="000D2AF1" w:rsidRPr="000D2A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92B8C"/>
    <w:multiLevelType w:val="hybridMultilevel"/>
    <w:tmpl w:val="28440942"/>
    <w:lvl w:ilvl="0" w:tplc="16BA5D70">
      <w:start w:val="1"/>
      <w:numFmt w:val="bullet"/>
      <w:lvlText w:val=""/>
      <w:lvlJc w:val="left"/>
      <w:pPr>
        <w:ind w:left="720" w:hanging="360"/>
      </w:pPr>
      <w:rPr>
        <w:rFonts w:ascii="Symbol" w:eastAsiaTheme="minorHAns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1B2683"/>
    <w:multiLevelType w:val="multilevel"/>
    <w:tmpl w:val="540A7EFA"/>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3372BAB"/>
    <w:multiLevelType w:val="hybridMultilevel"/>
    <w:tmpl w:val="F0F0DE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63405024">
    <w:abstractNumId w:val="2"/>
  </w:num>
  <w:num w:numId="2" w16cid:durableId="16467272">
    <w:abstractNumId w:val="0"/>
  </w:num>
  <w:num w:numId="3" w16cid:durableId="538401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5A2"/>
    <w:rsid w:val="000003C7"/>
    <w:rsid w:val="00022C8B"/>
    <w:rsid w:val="000374D4"/>
    <w:rsid w:val="00085087"/>
    <w:rsid w:val="000B07BA"/>
    <w:rsid w:val="000B15C1"/>
    <w:rsid w:val="000B4D74"/>
    <w:rsid w:val="000D14B4"/>
    <w:rsid w:val="000D2AF1"/>
    <w:rsid w:val="00101D6F"/>
    <w:rsid w:val="00101DB1"/>
    <w:rsid w:val="00115071"/>
    <w:rsid w:val="00141253"/>
    <w:rsid w:val="00150168"/>
    <w:rsid w:val="0015161D"/>
    <w:rsid w:val="00174072"/>
    <w:rsid w:val="001D7EFA"/>
    <w:rsid w:val="0020666E"/>
    <w:rsid w:val="002348F5"/>
    <w:rsid w:val="00265083"/>
    <w:rsid w:val="0029280C"/>
    <w:rsid w:val="002A22E8"/>
    <w:rsid w:val="002B4B31"/>
    <w:rsid w:val="002C41BC"/>
    <w:rsid w:val="002E0084"/>
    <w:rsid w:val="002E1517"/>
    <w:rsid w:val="003211F1"/>
    <w:rsid w:val="00345E1D"/>
    <w:rsid w:val="003475E7"/>
    <w:rsid w:val="003640F1"/>
    <w:rsid w:val="003659C4"/>
    <w:rsid w:val="00392B73"/>
    <w:rsid w:val="003D70AA"/>
    <w:rsid w:val="00400083"/>
    <w:rsid w:val="00406B4C"/>
    <w:rsid w:val="00411FB2"/>
    <w:rsid w:val="004172B7"/>
    <w:rsid w:val="004346B0"/>
    <w:rsid w:val="00460418"/>
    <w:rsid w:val="004714B1"/>
    <w:rsid w:val="004B0AE8"/>
    <w:rsid w:val="004C4556"/>
    <w:rsid w:val="004D4659"/>
    <w:rsid w:val="004D5ED2"/>
    <w:rsid w:val="00501C01"/>
    <w:rsid w:val="00510732"/>
    <w:rsid w:val="00514DF2"/>
    <w:rsid w:val="00522E81"/>
    <w:rsid w:val="00530166"/>
    <w:rsid w:val="00553D99"/>
    <w:rsid w:val="005925A2"/>
    <w:rsid w:val="005B4DEC"/>
    <w:rsid w:val="005E3A25"/>
    <w:rsid w:val="005F5175"/>
    <w:rsid w:val="00616A42"/>
    <w:rsid w:val="00641F0C"/>
    <w:rsid w:val="00662FB0"/>
    <w:rsid w:val="00674207"/>
    <w:rsid w:val="00691923"/>
    <w:rsid w:val="006B749F"/>
    <w:rsid w:val="006E79E5"/>
    <w:rsid w:val="00700079"/>
    <w:rsid w:val="00712522"/>
    <w:rsid w:val="007147E1"/>
    <w:rsid w:val="00740770"/>
    <w:rsid w:val="00741B3F"/>
    <w:rsid w:val="00752D7B"/>
    <w:rsid w:val="007851F6"/>
    <w:rsid w:val="00787871"/>
    <w:rsid w:val="007A506C"/>
    <w:rsid w:val="00800F5C"/>
    <w:rsid w:val="008263B0"/>
    <w:rsid w:val="00862302"/>
    <w:rsid w:val="00891419"/>
    <w:rsid w:val="008928B3"/>
    <w:rsid w:val="008C3469"/>
    <w:rsid w:val="008F11D9"/>
    <w:rsid w:val="00902C48"/>
    <w:rsid w:val="00903420"/>
    <w:rsid w:val="00925451"/>
    <w:rsid w:val="00935C1E"/>
    <w:rsid w:val="00942ABF"/>
    <w:rsid w:val="00944B20"/>
    <w:rsid w:val="00952202"/>
    <w:rsid w:val="0095785A"/>
    <w:rsid w:val="009D33C3"/>
    <w:rsid w:val="009E6187"/>
    <w:rsid w:val="009F6104"/>
    <w:rsid w:val="00A01217"/>
    <w:rsid w:val="00A909A6"/>
    <w:rsid w:val="00A92F64"/>
    <w:rsid w:val="00AA4001"/>
    <w:rsid w:val="00AD40FD"/>
    <w:rsid w:val="00AE6F7E"/>
    <w:rsid w:val="00B2025C"/>
    <w:rsid w:val="00B22447"/>
    <w:rsid w:val="00B40CD7"/>
    <w:rsid w:val="00B732AE"/>
    <w:rsid w:val="00B74057"/>
    <w:rsid w:val="00BE2902"/>
    <w:rsid w:val="00BE52AE"/>
    <w:rsid w:val="00BE5B2E"/>
    <w:rsid w:val="00BE658B"/>
    <w:rsid w:val="00C1732C"/>
    <w:rsid w:val="00C17434"/>
    <w:rsid w:val="00C5370B"/>
    <w:rsid w:val="00C6062B"/>
    <w:rsid w:val="00C657C8"/>
    <w:rsid w:val="00C863EC"/>
    <w:rsid w:val="00C969FB"/>
    <w:rsid w:val="00CC6DBA"/>
    <w:rsid w:val="00CE4042"/>
    <w:rsid w:val="00CF0783"/>
    <w:rsid w:val="00D028B8"/>
    <w:rsid w:val="00D14189"/>
    <w:rsid w:val="00D53263"/>
    <w:rsid w:val="00D576D0"/>
    <w:rsid w:val="00D94F93"/>
    <w:rsid w:val="00DE0717"/>
    <w:rsid w:val="00E013D9"/>
    <w:rsid w:val="00E11392"/>
    <w:rsid w:val="00E20CAD"/>
    <w:rsid w:val="00E82AED"/>
    <w:rsid w:val="00E91486"/>
    <w:rsid w:val="00E924FE"/>
    <w:rsid w:val="00E93F80"/>
    <w:rsid w:val="00EC0A4E"/>
    <w:rsid w:val="00EC4857"/>
    <w:rsid w:val="00EC75DE"/>
    <w:rsid w:val="00ED202B"/>
    <w:rsid w:val="00EE13B0"/>
    <w:rsid w:val="00F0132E"/>
    <w:rsid w:val="00F10034"/>
    <w:rsid w:val="00F14105"/>
    <w:rsid w:val="00F45581"/>
    <w:rsid w:val="00F827B0"/>
    <w:rsid w:val="00F85FF5"/>
    <w:rsid w:val="00F95981"/>
    <w:rsid w:val="00FB03AF"/>
    <w:rsid w:val="00FB3D8A"/>
    <w:rsid w:val="00FC56C1"/>
    <w:rsid w:val="00FD4CC7"/>
    <w:rsid w:val="00FF1B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5F81"/>
  <w15:chartTrackingRefBased/>
  <w15:docId w15:val="{7F02B7CE-9DD0-48C2-8A33-BCEF29E6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5A2"/>
    <w:rPr>
      <w:rFonts w:eastAsiaTheme="majorEastAsia" w:cstheme="majorBidi"/>
      <w:color w:val="272727" w:themeColor="text1" w:themeTint="D8"/>
    </w:rPr>
  </w:style>
  <w:style w:type="paragraph" w:styleId="Title">
    <w:name w:val="Title"/>
    <w:basedOn w:val="Normal"/>
    <w:next w:val="Normal"/>
    <w:link w:val="TitleChar"/>
    <w:uiPriority w:val="10"/>
    <w:qFormat/>
    <w:rsid w:val="00592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5A2"/>
    <w:pPr>
      <w:spacing w:before="160"/>
      <w:jc w:val="center"/>
    </w:pPr>
    <w:rPr>
      <w:i/>
      <w:iCs/>
      <w:color w:val="404040" w:themeColor="text1" w:themeTint="BF"/>
    </w:rPr>
  </w:style>
  <w:style w:type="character" w:customStyle="1" w:styleId="QuoteChar">
    <w:name w:val="Quote Char"/>
    <w:basedOn w:val="DefaultParagraphFont"/>
    <w:link w:val="Quote"/>
    <w:uiPriority w:val="29"/>
    <w:rsid w:val="005925A2"/>
    <w:rPr>
      <w:i/>
      <w:iCs/>
      <w:color w:val="404040" w:themeColor="text1" w:themeTint="BF"/>
    </w:rPr>
  </w:style>
  <w:style w:type="paragraph" w:styleId="ListParagraph">
    <w:name w:val="List Paragraph"/>
    <w:basedOn w:val="Normal"/>
    <w:uiPriority w:val="34"/>
    <w:qFormat/>
    <w:rsid w:val="005925A2"/>
    <w:pPr>
      <w:ind w:left="720"/>
      <w:contextualSpacing/>
    </w:pPr>
  </w:style>
  <w:style w:type="character" w:styleId="IntenseEmphasis">
    <w:name w:val="Intense Emphasis"/>
    <w:basedOn w:val="DefaultParagraphFont"/>
    <w:uiPriority w:val="21"/>
    <w:qFormat/>
    <w:rsid w:val="005925A2"/>
    <w:rPr>
      <w:i/>
      <w:iCs/>
      <w:color w:val="0F4761" w:themeColor="accent1" w:themeShade="BF"/>
    </w:rPr>
  </w:style>
  <w:style w:type="paragraph" w:styleId="IntenseQuote">
    <w:name w:val="Intense Quote"/>
    <w:basedOn w:val="Normal"/>
    <w:next w:val="Normal"/>
    <w:link w:val="IntenseQuoteChar"/>
    <w:uiPriority w:val="30"/>
    <w:qFormat/>
    <w:rsid w:val="00592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5A2"/>
    <w:rPr>
      <w:i/>
      <w:iCs/>
      <w:color w:val="0F4761" w:themeColor="accent1" w:themeShade="BF"/>
    </w:rPr>
  </w:style>
  <w:style w:type="character" w:styleId="IntenseReference">
    <w:name w:val="Intense Reference"/>
    <w:basedOn w:val="DefaultParagraphFont"/>
    <w:uiPriority w:val="32"/>
    <w:qFormat/>
    <w:rsid w:val="005925A2"/>
    <w:rPr>
      <w:b/>
      <w:bCs/>
      <w:smallCaps/>
      <w:color w:val="0F4761" w:themeColor="accent1" w:themeShade="BF"/>
      <w:spacing w:val="5"/>
    </w:rPr>
  </w:style>
  <w:style w:type="character" w:styleId="Hyperlink">
    <w:name w:val="Hyperlink"/>
    <w:basedOn w:val="DefaultParagraphFont"/>
    <w:uiPriority w:val="99"/>
    <w:unhideWhenUsed/>
    <w:rsid w:val="005925A2"/>
    <w:rPr>
      <w:color w:val="467886" w:themeColor="hyperlink"/>
      <w:u w:val="single"/>
    </w:rPr>
  </w:style>
  <w:style w:type="character" w:styleId="UnresolvedMention">
    <w:name w:val="Unresolved Mention"/>
    <w:basedOn w:val="DefaultParagraphFont"/>
    <w:uiPriority w:val="99"/>
    <w:semiHidden/>
    <w:unhideWhenUsed/>
    <w:rsid w:val="005925A2"/>
    <w:rPr>
      <w:color w:val="605E5C"/>
      <w:shd w:val="clear" w:color="auto" w:fill="E1DFDD"/>
    </w:rPr>
  </w:style>
  <w:style w:type="character" w:styleId="PlaceholderText">
    <w:name w:val="Placeholder Text"/>
    <w:basedOn w:val="DefaultParagraphFont"/>
    <w:uiPriority w:val="99"/>
    <w:semiHidden/>
    <w:rsid w:val="00174072"/>
    <w:rPr>
      <w:color w:val="666666"/>
    </w:rPr>
  </w:style>
  <w:style w:type="paragraph" w:styleId="NormalWeb">
    <w:name w:val="Normal (Web)"/>
    <w:basedOn w:val="Normal"/>
    <w:uiPriority w:val="99"/>
    <w:semiHidden/>
    <w:unhideWhenUsed/>
    <w:rsid w:val="00174072"/>
    <w:rPr>
      <w:rFonts w:ascii="Times New Roman" w:hAnsi="Times New Roman" w:cs="Times New Roman"/>
    </w:rPr>
  </w:style>
  <w:style w:type="table" w:styleId="TableGrid">
    <w:name w:val="Table Grid"/>
    <w:basedOn w:val="TableNormal"/>
    <w:uiPriority w:val="39"/>
    <w:rsid w:val="00234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6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2523">
      <w:marLeft w:val="640"/>
      <w:marRight w:val="0"/>
      <w:marTop w:val="0"/>
      <w:marBottom w:val="0"/>
      <w:divBdr>
        <w:top w:val="none" w:sz="0" w:space="0" w:color="auto"/>
        <w:left w:val="none" w:sz="0" w:space="0" w:color="auto"/>
        <w:bottom w:val="none" w:sz="0" w:space="0" w:color="auto"/>
        <w:right w:val="none" w:sz="0" w:space="0" w:color="auto"/>
      </w:divBdr>
    </w:div>
    <w:div w:id="89354431">
      <w:marLeft w:val="640"/>
      <w:marRight w:val="0"/>
      <w:marTop w:val="0"/>
      <w:marBottom w:val="0"/>
      <w:divBdr>
        <w:top w:val="none" w:sz="0" w:space="0" w:color="auto"/>
        <w:left w:val="none" w:sz="0" w:space="0" w:color="auto"/>
        <w:bottom w:val="none" w:sz="0" w:space="0" w:color="auto"/>
        <w:right w:val="none" w:sz="0" w:space="0" w:color="auto"/>
      </w:divBdr>
    </w:div>
    <w:div w:id="89666277">
      <w:marLeft w:val="640"/>
      <w:marRight w:val="0"/>
      <w:marTop w:val="0"/>
      <w:marBottom w:val="0"/>
      <w:divBdr>
        <w:top w:val="none" w:sz="0" w:space="0" w:color="auto"/>
        <w:left w:val="none" w:sz="0" w:space="0" w:color="auto"/>
        <w:bottom w:val="none" w:sz="0" w:space="0" w:color="auto"/>
        <w:right w:val="none" w:sz="0" w:space="0" w:color="auto"/>
      </w:divBdr>
    </w:div>
    <w:div w:id="108862950">
      <w:marLeft w:val="640"/>
      <w:marRight w:val="0"/>
      <w:marTop w:val="0"/>
      <w:marBottom w:val="0"/>
      <w:divBdr>
        <w:top w:val="none" w:sz="0" w:space="0" w:color="auto"/>
        <w:left w:val="none" w:sz="0" w:space="0" w:color="auto"/>
        <w:bottom w:val="none" w:sz="0" w:space="0" w:color="auto"/>
        <w:right w:val="none" w:sz="0" w:space="0" w:color="auto"/>
      </w:divBdr>
    </w:div>
    <w:div w:id="120079201">
      <w:marLeft w:val="640"/>
      <w:marRight w:val="0"/>
      <w:marTop w:val="0"/>
      <w:marBottom w:val="0"/>
      <w:divBdr>
        <w:top w:val="none" w:sz="0" w:space="0" w:color="auto"/>
        <w:left w:val="none" w:sz="0" w:space="0" w:color="auto"/>
        <w:bottom w:val="none" w:sz="0" w:space="0" w:color="auto"/>
        <w:right w:val="none" w:sz="0" w:space="0" w:color="auto"/>
      </w:divBdr>
    </w:div>
    <w:div w:id="179902121">
      <w:marLeft w:val="640"/>
      <w:marRight w:val="0"/>
      <w:marTop w:val="0"/>
      <w:marBottom w:val="0"/>
      <w:divBdr>
        <w:top w:val="none" w:sz="0" w:space="0" w:color="auto"/>
        <w:left w:val="none" w:sz="0" w:space="0" w:color="auto"/>
        <w:bottom w:val="none" w:sz="0" w:space="0" w:color="auto"/>
        <w:right w:val="none" w:sz="0" w:space="0" w:color="auto"/>
      </w:divBdr>
    </w:div>
    <w:div w:id="232160170">
      <w:marLeft w:val="640"/>
      <w:marRight w:val="0"/>
      <w:marTop w:val="0"/>
      <w:marBottom w:val="0"/>
      <w:divBdr>
        <w:top w:val="none" w:sz="0" w:space="0" w:color="auto"/>
        <w:left w:val="none" w:sz="0" w:space="0" w:color="auto"/>
        <w:bottom w:val="none" w:sz="0" w:space="0" w:color="auto"/>
        <w:right w:val="none" w:sz="0" w:space="0" w:color="auto"/>
      </w:divBdr>
    </w:div>
    <w:div w:id="249893679">
      <w:marLeft w:val="640"/>
      <w:marRight w:val="0"/>
      <w:marTop w:val="0"/>
      <w:marBottom w:val="0"/>
      <w:divBdr>
        <w:top w:val="none" w:sz="0" w:space="0" w:color="auto"/>
        <w:left w:val="none" w:sz="0" w:space="0" w:color="auto"/>
        <w:bottom w:val="none" w:sz="0" w:space="0" w:color="auto"/>
        <w:right w:val="none" w:sz="0" w:space="0" w:color="auto"/>
      </w:divBdr>
    </w:div>
    <w:div w:id="263616830">
      <w:marLeft w:val="640"/>
      <w:marRight w:val="0"/>
      <w:marTop w:val="0"/>
      <w:marBottom w:val="0"/>
      <w:divBdr>
        <w:top w:val="none" w:sz="0" w:space="0" w:color="auto"/>
        <w:left w:val="none" w:sz="0" w:space="0" w:color="auto"/>
        <w:bottom w:val="none" w:sz="0" w:space="0" w:color="auto"/>
        <w:right w:val="none" w:sz="0" w:space="0" w:color="auto"/>
      </w:divBdr>
    </w:div>
    <w:div w:id="334496123">
      <w:marLeft w:val="640"/>
      <w:marRight w:val="0"/>
      <w:marTop w:val="0"/>
      <w:marBottom w:val="0"/>
      <w:divBdr>
        <w:top w:val="none" w:sz="0" w:space="0" w:color="auto"/>
        <w:left w:val="none" w:sz="0" w:space="0" w:color="auto"/>
        <w:bottom w:val="none" w:sz="0" w:space="0" w:color="auto"/>
        <w:right w:val="none" w:sz="0" w:space="0" w:color="auto"/>
      </w:divBdr>
    </w:div>
    <w:div w:id="336734111">
      <w:marLeft w:val="640"/>
      <w:marRight w:val="0"/>
      <w:marTop w:val="0"/>
      <w:marBottom w:val="0"/>
      <w:divBdr>
        <w:top w:val="none" w:sz="0" w:space="0" w:color="auto"/>
        <w:left w:val="none" w:sz="0" w:space="0" w:color="auto"/>
        <w:bottom w:val="none" w:sz="0" w:space="0" w:color="auto"/>
        <w:right w:val="none" w:sz="0" w:space="0" w:color="auto"/>
      </w:divBdr>
    </w:div>
    <w:div w:id="347214436">
      <w:marLeft w:val="640"/>
      <w:marRight w:val="0"/>
      <w:marTop w:val="0"/>
      <w:marBottom w:val="0"/>
      <w:divBdr>
        <w:top w:val="none" w:sz="0" w:space="0" w:color="auto"/>
        <w:left w:val="none" w:sz="0" w:space="0" w:color="auto"/>
        <w:bottom w:val="none" w:sz="0" w:space="0" w:color="auto"/>
        <w:right w:val="none" w:sz="0" w:space="0" w:color="auto"/>
      </w:divBdr>
    </w:div>
    <w:div w:id="371421932">
      <w:marLeft w:val="640"/>
      <w:marRight w:val="0"/>
      <w:marTop w:val="0"/>
      <w:marBottom w:val="0"/>
      <w:divBdr>
        <w:top w:val="none" w:sz="0" w:space="0" w:color="auto"/>
        <w:left w:val="none" w:sz="0" w:space="0" w:color="auto"/>
        <w:bottom w:val="none" w:sz="0" w:space="0" w:color="auto"/>
        <w:right w:val="none" w:sz="0" w:space="0" w:color="auto"/>
      </w:divBdr>
    </w:div>
    <w:div w:id="374545428">
      <w:marLeft w:val="640"/>
      <w:marRight w:val="0"/>
      <w:marTop w:val="0"/>
      <w:marBottom w:val="0"/>
      <w:divBdr>
        <w:top w:val="none" w:sz="0" w:space="0" w:color="auto"/>
        <w:left w:val="none" w:sz="0" w:space="0" w:color="auto"/>
        <w:bottom w:val="none" w:sz="0" w:space="0" w:color="auto"/>
        <w:right w:val="none" w:sz="0" w:space="0" w:color="auto"/>
      </w:divBdr>
    </w:div>
    <w:div w:id="394428049">
      <w:marLeft w:val="640"/>
      <w:marRight w:val="0"/>
      <w:marTop w:val="0"/>
      <w:marBottom w:val="0"/>
      <w:divBdr>
        <w:top w:val="none" w:sz="0" w:space="0" w:color="auto"/>
        <w:left w:val="none" w:sz="0" w:space="0" w:color="auto"/>
        <w:bottom w:val="none" w:sz="0" w:space="0" w:color="auto"/>
        <w:right w:val="none" w:sz="0" w:space="0" w:color="auto"/>
      </w:divBdr>
    </w:div>
    <w:div w:id="439298196">
      <w:marLeft w:val="640"/>
      <w:marRight w:val="0"/>
      <w:marTop w:val="0"/>
      <w:marBottom w:val="0"/>
      <w:divBdr>
        <w:top w:val="none" w:sz="0" w:space="0" w:color="auto"/>
        <w:left w:val="none" w:sz="0" w:space="0" w:color="auto"/>
        <w:bottom w:val="none" w:sz="0" w:space="0" w:color="auto"/>
        <w:right w:val="none" w:sz="0" w:space="0" w:color="auto"/>
      </w:divBdr>
    </w:div>
    <w:div w:id="463667912">
      <w:marLeft w:val="640"/>
      <w:marRight w:val="0"/>
      <w:marTop w:val="0"/>
      <w:marBottom w:val="0"/>
      <w:divBdr>
        <w:top w:val="none" w:sz="0" w:space="0" w:color="auto"/>
        <w:left w:val="none" w:sz="0" w:space="0" w:color="auto"/>
        <w:bottom w:val="none" w:sz="0" w:space="0" w:color="auto"/>
        <w:right w:val="none" w:sz="0" w:space="0" w:color="auto"/>
      </w:divBdr>
    </w:div>
    <w:div w:id="525413311">
      <w:marLeft w:val="640"/>
      <w:marRight w:val="0"/>
      <w:marTop w:val="0"/>
      <w:marBottom w:val="0"/>
      <w:divBdr>
        <w:top w:val="none" w:sz="0" w:space="0" w:color="auto"/>
        <w:left w:val="none" w:sz="0" w:space="0" w:color="auto"/>
        <w:bottom w:val="none" w:sz="0" w:space="0" w:color="auto"/>
        <w:right w:val="none" w:sz="0" w:space="0" w:color="auto"/>
      </w:divBdr>
    </w:div>
    <w:div w:id="526795403">
      <w:marLeft w:val="640"/>
      <w:marRight w:val="0"/>
      <w:marTop w:val="0"/>
      <w:marBottom w:val="0"/>
      <w:divBdr>
        <w:top w:val="none" w:sz="0" w:space="0" w:color="auto"/>
        <w:left w:val="none" w:sz="0" w:space="0" w:color="auto"/>
        <w:bottom w:val="none" w:sz="0" w:space="0" w:color="auto"/>
        <w:right w:val="none" w:sz="0" w:space="0" w:color="auto"/>
      </w:divBdr>
    </w:div>
    <w:div w:id="580918957">
      <w:marLeft w:val="640"/>
      <w:marRight w:val="0"/>
      <w:marTop w:val="0"/>
      <w:marBottom w:val="0"/>
      <w:divBdr>
        <w:top w:val="none" w:sz="0" w:space="0" w:color="auto"/>
        <w:left w:val="none" w:sz="0" w:space="0" w:color="auto"/>
        <w:bottom w:val="none" w:sz="0" w:space="0" w:color="auto"/>
        <w:right w:val="none" w:sz="0" w:space="0" w:color="auto"/>
      </w:divBdr>
    </w:div>
    <w:div w:id="621616576">
      <w:marLeft w:val="640"/>
      <w:marRight w:val="0"/>
      <w:marTop w:val="0"/>
      <w:marBottom w:val="0"/>
      <w:divBdr>
        <w:top w:val="none" w:sz="0" w:space="0" w:color="auto"/>
        <w:left w:val="none" w:sz="0" w:space="0" w:color="auto"/>
        <w:bottom w:val="none" w:sz="0" w:space="0" w:color="auto"/>
        <w:right w:val="none" w:sz="0" w:space="0" w:color="auto"/>
      </w:divBdr>
    </w:div>
    <w:div w:id="665476455">
      <w:marLeft w:val="640"/>
      <w:marRight w:val="0"/>
      <w:marTop w:val="0"/>
      <w:marBottom w:val="0"/>
      <w:divBdr>
        <w:top w:val="none" w:sz="0" w:space="0" w:color="auto"/>
        <w:left w:val="none" w:sz="0" w:space="0" w:color="auto"/>
        <w:bottom w:val="none" w:sz="0" w:space="0" w:color="auto"/>
        <w:right w:val="none" w:sz="0" w:space="0" w:color="auto"/>
      </w:divBdr>
    </w:div>
    <w:div w:id="745420919">
      <w:marLeft w:val="640"/>
      <w:marRight w:val="0"/>
      <w:marTop w:val="0"/>
      <w:marBottom w:val="0"/>
      <w:divBdr>
        <w:top w:val="none" w:sz="0" w:space="0" w:color="auto"/>
        <w:left w:val="none" w:sz="0" w:space="0" w:color="auto"/>
        <w:bottom w:val="none" w:sz="0" w:space="0" w:color="auto"/>
        <w:right w:val="none" w:sz="0" w:space="0" w:color="auto"/>
      </w:divBdr>
    </w:div>
    <w:div w:id="794105064">
      <w:marLeft w:val="640"/>
      <w:marRight w:val="0"/>
      <w:marTop w:val="0"/>
      <w:marBottom w:val="0"/>
      <w:divBdr>
        <w:top w:val="none" w:sz="0" w:space="0" w:color="auto"/>
        <w:left w:val="none" w:sz="0" w:space="0" w:color="auto"/>
        <w:bottom w:val="none" w:sz="0" w:space="0" w:color="auto"/>
        <w:right w:val="none" w:sz="0" w:space="0" w:color="auto"/>
      </w:divBdr>
    </w:div>
    <w:div w:id="810249543">
      <w:marLeft w:val="640"/>
      <w:marRight w:val="0"/>
      <w:marTop w:val="0"/>
      <w:marBottom w:val="0"/>
      <w:divBdr>
        <w:top w:val="none" w:sz="0" w:space="0" w:color="auto"/>
        <w:left w:val="none" w:sz="0" w:space="0" w:color="auto"/>
        <w:bottom w:val="none" w:sz="0" w:space="0" w:color="auto"/>
        <w:right w:val="none" w:sz="0" w:space="0" w:color="auto"/>
      </w:divBdr>
    </w:div>
    <w:div w:id="858741248">
      <w:marLeft w:val="640"/>
      <w:marRight w:val="0"/>
      <w:marTop w:val="0"/>
      <w:marBottom w:val="0"/>
      <w:divBdr>
        <w:top w:val="none" w:sz="0" w:space="0" w:color="auto"/>
        <w:left w:val="none" w:sz="0" w:space="0" w:color="auto"/>
        <w:bottom w:val="none" w:sz="0" w:space="0" w:color="auto"/>
        <w:right w:val="none" w:sz="0" w:space="0" w:color="auto"/>
      </w:divBdr>
    </w:div>
    <w:div w:id="999698409">
      <w:marLeft w:val="640"/>
      <w:marRight w:val="0"/>
      <w:marTop w:val="0"/>
      <w:marBottom w:val="0"/>
      <w:divBdr>
        <w:top w:val="none" w:sz="0" w:space="0" w:color="auto"/>
        <w:left w:val="none" w:sz="0" w:space="0" w:color="auto"/>
        <w:bottom w:val="none" w:sz="0" w:space="0" w:color="auto"/>
        <w:right w:val="none" w:sz="0" w:space="0" w:color="auto"/>
      </w:divBdr>
    </w:div>
    <w:div w:id="1093277726">
      <w:marLeft w:val="640"/>
      <w:marRight w:val="0"/>
      <w:marTop w:val="0"/>
      <w:marBottom w:val="0"/>
      <w:divBdr>
        <w:top w:val="none" w:sz="0" w:space="0" w:color="auto"/>
        <w:left w:val="none" w:sz="0" w:space="0" w:color="auto"/>
        <w:bottom w:val="none" w:sz="0" w:space="0" w:color="auto"/>
        <w:right w:val="none" w:sz="0" w:space="0" w:color="auto"/>
      </w:divBdr>
    </w:div>
    <w:div w:id="1099252072">
      <w:marLeft w:val="640"/>
      <w:marRight w:val="0"/>
      <w:marTop w:val="0"/>
      <w:marBottom w:val="0"/>
      <w:divBdr>
        <w:top w:val="none" w:sz="0" w:space="0" w:color="auto"/>
        <w:left w:val="none" w:sz="0" w:space="0" w:color="auto"/>
        <w:bottom w:val="none" w:sz="0" w:space="0" w:color="auto"/>
        <w:right w:val="none" w:sz="0" w:space="0" w:color="auto"/>
      </w:divBdr>
    </w:div>
    <w:div w:id="1132013655">
      <w:marLeft w:val="640"/>
      <w:marRight w:val="0"/>
      <w:marTop w:val="0"/>
      <w:marBottom w:val="0"/>
      <w:divBdr>
        <w:top w:val="none" w:sz="0" w:space="0" w:color="auto"/>
        <w:left w:val="none" w:sz="0" w:space="0" w:color="auto"/>
        <w:bottom w:val="none" w:sz="0" w:space="0" w:color="auto"/>
        <w:right w:val="none" w:sz="0" w:space="0" w:color="auto"/>
      </w:divBdr>
    </w:div>
    <w:div w:id="1148329480">
      <w:marLeft w:val="640"/>
      <w:marRight w:val="0"/>
      <w:marTop w:val="0"/>
      <w:marBottom w:val="0"/>
      <w:divBdr>
        <w:top w:val="none" w:sz="0" w:space="0" w:color="auto"/>
        <w:left w:val="none" w:sz="0" w:space="0" w:color="auto"/>
        <w:bottom w:val="none" w:sz="0" w:space="0" w:color="auto"/>
        <w:right w:val="none" w:sz="0" w:space="0" w:color="auto"/>
      </w:divBdr>
    </w:div>
    <w:div w:id="1151026004">
      <w:marLeft w:val="640"/>
      <w:marRight w:val="0"/>
      <w:marTop w:val="0"/>
      <w:marBottom w:val="0"/>
      <w:divBdr>
        <w:top w:val="none" w:sz="0" w:space="0" w:color="auto"/>
        <w:left w:val="none" w:sz="0" w:space="0" w:color="auto"/>
        <w:bottom w:val="none" w:sz="0" w:space="0" w:color="auto"/>
        <w:right w:val="none" w:sz="0" w:space="0" w:color="auto"/>
      </w:divBdr>
    </w:div>
    <w:div w:id="1179780078">
      <w:marLeft w:val="640"/>
      <w:marRight w:val="0"/>
      <w:marTop w:val="0"/>
      <w:marBottom w:val="0"/>
      <w:divBdr>
        <w:top w:val="none" w:sz="0" w:space="0" w:color="auto"/>
        <w:left w:val="none" w:sz="0" w:space="0" w:color="auto"/>
        <w:bottom w:val="none" w:sz="0" w:space="0" w:color="auto"/>
        <w:right w:val="none" w:sz="0" w:space="0" w:color="auto"/>
      </w:divBdr>
    </w:div>
    <w:div w:id="1231623372">
      <w:marLeft w:val="640"/>
      <w:marRight w:val="0"/>
      <w:marTop w:val="0"/>
      <w:marBottom w:val="0"/>
      <w:divBdr>
        <w:top w:val="none" w:sz="0" w:space="0" w:color="auto"/>
        <w:left w:val="none" w:sz="0" w:space="0" w:color="auto"/>
        <w:bottom w:val="none" w:sz="0" w:space="0" w:color="auto"/>
        <w:right w:val="none" w:sz="0" w:space="0" w:color="auto"/>
      </w:divBdr>
    </w:div>
    <w:div w:id="1239293897">
      <w:marLeft w:val="640"/>
      <w:marRight w:val="0"/>
      <w:marTop w:val="0"/>
      <w:marBottom w:val="0"/>
      <w:divBdr>
        <w:top w:val="none" w:sz="0" w:space="0" w:color="auto"/>
        <w:left w:val="none" w:sz="0" w:space="0" w:color="auto"/>
        <w:bottom w:val="none" w:sz="0" w:space="0" w:color="auto"/>
        <w:right w:val="none" w:sz="0" w:space="0" w:color="auto"/>
      </w:divBdr>
    </w:div>
    <w:div w:id="1277367931">
      <w:marLeft w:val="640"/>
      <w:marRight w:val="0"/>
      <w:marTop w:val="0"/>
      <w:marBottom w:val="0"/>
      <w:divBdr>
        <w:top w:val="none" w:sz="0" w:space="0" w:color="auto"/>
        <w:left w:val="none" w:sz="0" w:space="0" w:color="auto"/>
        <w:bottom w:val="none" w:sz="0" w:space="0" w:color="auto"/>
        <w:right w:val="none" w:sz="0" w:space="0" w:color="auto"/>
      </w:divBdr>
    </w:div>
    <w:div w:id="1279875263">
      <w:marLeft w:val="640"/>
      <w:marRight w:val="0"/>
      <w:marTop w:val="0"/>
      <w:marBottom w:val="0"/>
      <w:divBdr>
        <w:top w:val="none" w:sz="0" w:space="0" w:color="auto"/>
        <w:left w:val="none" w:sz="0" w:space="0" w:color="auto"/>
        <w:bottom w:val="none" w:sz="0" w:space="0" w:color="auto"/>
        <w:right w:val="none" w:sz="0" w:space="0" w:color="auto"/>
      </w:divBdr>
    </w:div>
    <w:div w:id="1358383377">
      <w:marLeft w:val="640"/>
      <w:marRight w:val="0"/>
      <w:marTop w:val="0"/>
      <w:marBottom w:val="0"/>
      <w:divBdr>
        <w:top w:val="none" w:sz="0" w:space="0" w:color="auto"/>
        <w:left w:val="none" w:sz="0" w:space="0" w:color="auto"/>
        <w:bottom w:val="none" w:sz="0" w:space="0" w:color="auto"/>
        <w:right w:val="none" w:sz="0" w:space="0" w:color="auto"/>
      </w:divBdr>
    </w:div>
    <w:div w:id="1379747260">
      <w:marLeft w:val="640"/>
      <w:marRight w:val="0"/>
      <w:marTop w:val="0"/>
      <w:marBottom w:val="0"/>
      <w:divBdr>
        <w:top w:val="none" w:sz="0" w:space="0" w:color="auto"/>
        <w:left w:val="none" w:sz="0" w:space="0" w:color="auto"/>
        <w:bottom w:val="none" w:sz="0" w:space="0" w:color="auto"/>
        <w:right w:val="none" w:sz="0" w:space="0" w:color="auto"/>
      </w:divBdr>
    </w:div>
    <w:div w:id="1405301571">
      <w:marLeft w:val="640"/>
      <w:marRight w:val="0"/>
      <w:marTop w:val="0"/>
      <w:marBottom w:val="0"/>
      <w:divBdr>
        <w:top w:val="none" w:sz="0" w:space="0" w:color="auto"/>
        <w:left w:val="none" w:sz="0" w:space="0" w:color="auto"/>
        <w:bottom w:val="none" w:sz="0" w:space="0" w:color="auto"/>
        <w:right w:val="none" w:sz="0" w:space="0" w:color="auto"/>
      </w:divBdr>
    </w:div>
    <w:div w:id="1504933661">
      <w:marLeft w:val="640"/>
      <w:marRight w:val="0"/>
      <w:marTop w:val="0"/>
      <w:marBottom w:val="0"/>
      <w:divBdr>
        <w:top w:val="none" w:sz="0" w:space="0" w:color="auto"/>
        <w:left w:val="none" w:sz="0" w:space="0" w:color="auto"/>
        <w:bottom w:val="none" w:sz="0" w:space="0" w:color="auto"/>
        <w:right w:val="none" w:sz="0" w:space="0" w:color="auto"/>
      </w:divBdr>
    </w:div>
    <w:div w:id="1530485981">
      <w:marLeft w:val="640"/>
      <w:marRight w:val="0"/>
      <w:marTop w:val="0"/>
      <w:marBottom w:val="0"/>
      <w:divBdr>
        <w:top w:val="none" w:sz="0" w:space="0" w:color="auto"/>
        <w:left w:val="none" w:sz="0" w:space="0" w:color="auto"/>
        <w:bottom w:val="none" w:sz="0" w:space="0" w:color="auto"/>
        <w:right w:val="none" w:sz="0" w:space="0" w:color="auto"/>
      </w:divBdr>
    </w:div>
    <w:div w:id="1562444028">
      <w:marLeft w:val="640"/>
      <w:marRight w:val="0"/>
      <w:marTop w:val="0"/>
      <w:marBottom w:val="0"/>
      <w:divBdr>
        <w:top w:val="none" w:sz="0" w:space="0" w:color="auto"/>
        <w:left w:val="none" w:sz="0" w:space="0" w:color="auto"/>
        <w:bottom w:val="none" w:sz="0" w:space="0" w:color="auto"/>
        <w:right w:val="none" w:sz="0" w:space="0" w:color="auto"/>
      </w:divBdr>
    </w:div>
    <w:div w:id="1594633275">
      <w:marLeft w:val="640"/>
      <w:marRight w:val="0"/>
      <w:marTop w:val="0"/>
      <w:marBottom w:val="0"/>
      <w:divBdr>
        <w:top w:val="none" w:sz="0" w:space="0" w:color="auto"/>
        <w:left w:val="none" w:sz="0" w:space="0" w:color="auto"/>
        <w:bottom w:val="none" w:sz="0" w:space="0" w:color="auto"/>
        <w:right w:val="none" w:sz="0" w:space="0" w:color="auto"/>
      </w:divBdr>
    </w:div>
    <w:div w:id="1647081174">
      <w:marLeft w:val="640"/>
      <w:marRight w:val="0"/>
      <w:marTop w:val="0"/>
      <w:marBottom w:val="0"/>
      <w:divBdr>
        <w:top w:val="none" w:sz="0" w:space="0" w:color="auto"/>
        <w:left w:val="none" w:sz="0" w:space="0" w:color="auto"/>
        <w:bottom w:val="none" w:sz="0" w:space="0" w:color="auto"/>
        <w:right w:val="none" w:sz="0" w:space="0" w:color="auto"/>
      </w:divBdr>
    </w:div>
    <w:div w:id="1673413324">
      <w:marLeft w:val="640"/>
      <w:marRight w:val="0"/>
      <w:marTop w:val="0"/>
      <w:marBottom w:val="0"/>
      <w:divBdr>
        <w:top w:val="none" w:sz="0" w:space="0" w:color="auto"/>
        <w:left w:val="none" w:sz="0" w:space="0" w:color="auto"/>
        <w:bottom w:val="none" w:sz="0" w:space="0" w:color="auto"/>
        <w:right w:val="none" w:sz="0" w:space="0" w:color="auto"/>
      </w:divBdr>
    </w:div>
    <w:div w:id="1690914375">
      <w:marLeft w:val="640"/>
      <w:marRight w:val="0"/>
      <w:marTop w:val="0"/>
      <w:marBottom w:val="0"/>
      <w:divBdr>
        <w:top w:val="none" w:sz="0" w:space="0" w:color="auto"/>
        <w:left w:val="none" w:sz="0" w:space="0" w:color="auto"/>
        <w:bottom w:val="none" w:sz="0" w:space="0" w:color="auto"/>
        <w:right w:val="none" w:sz="0" w:space="0" w:color="auto"/>
      </w:divBdr>
    </w:div>
    <w:div w:id="1714882127">
      <w:marLeft w:val="640"/>
      <w:marRight w:val="0"/>
      <w:marTop w:val="0"/>
      <w:marBottom w:val="0"/>
      <w:divBdr>
        <w:top w:val="none" w:sz="0" w:space="0" w:color="auto"/>
        <w:left w:val="none" w:sz="0" w:space="0" w:color="auto"/>
        <w:bottom w:val="none" w:sz="0" w:space="0" w:color="auto"/>
        <w:right w:val="none" w:sz="0" w:space="0" w:color="auto"/>
      </w:divBdr>
    </w:div>
    <w:div w:id="1762529868">
      <w:marLeft w:val="640"/>
      <w:marRight w:val="0"/>
      <w:marTop w:val="0"/>
      <w:marBottom w:val="0"/>
      <w:divBdr>
        <w:top w:val="none" w:sz="0" w:space="0" w:color="auto"/>
        <w:left w:val="none" w:sz="0" w:space="0" w:color="auto"/>
        <w:bottom w:val="none" w:sz="0" w:space="0" w:color="auto"/>
        <w:right w:val="none" w:sz="0" w:space="0" w:color="auto"/>
      </w:divBdr>
    </w:div>
    <w:div w:id="1776558215">
      <w:marLeft w:val="640"/>
      <w:marRight w:val="0"/>
      <w:marTop w:val="0"/>
      <w:marBottom w:val="0"/>
      <w:divBdr>
        <w:top w:val="none" w:sz="0" w:space="0" w:color="auto"/>
        <w:left w:val="none" w:sz="0" w:space="0" w:color="auto"/>
        <w:bottom w:val="none" w:sz="0" w:space="0" w:color="auto"/>
        <w:right w:val="none" w:sz="0" w:space="0" w:color="auto"/>
      </w:divBdr>
    </w:div>
    <w:div w:id="1778140734">
      <w:marLeft w:val="640"/>
      <w:marRight w:val="0"/>
      <w:marTop w:val="0"/>
      <w:marBottom w:val="0"/>
      <w:divBdr>
        <w:top w:val="none" w:sz="0" w:space="0" w:color="auto"/>
        <w:left w:val="none" w:sz="0" w:space="0" w:color="auto"/>
        <w:bottom w:val="none" w:sz="0" w:space="0" w:color="auto"/>
        <w:right w:val="none" w:sz="0" w:space="0" w:color="auto"/>
      </w:divBdr>
    </w:div>
    <w:div w:id="1818499498">
      <w:marLeft w:val="640"/>
      <w:marRight w:val="0"/>
      <w:marTop w:val="0"/>
      <w:marBottom w:val="0"/>
      <w:divBdr>
        <w:top w:val="none" w:sz="0" w:space="0" w:color="auto"/>
        <w:left w:val="none" w:sz="0" w:space="0" w:color="auto"/>
        <w:bottom w:val="none" w:sz="0" w:space="0" w:color="auto"/>
        <w:right w:val="none" w:sz="0" w:space="0" w:color="auto"/>
      </w:divBdr>
    </w:div>
    <w:div w:id="1829516809">
      <w:marLeft w:val="640"/>
      <w:marRight w:val="0"/>
      <w:marTop w:val="0"/>
      <w:marBottom w:val="0"/>
      <w:divBdr>
        <w:top w:val="none" w:sz="0" w:space="0" w:color="auto"/>
        <w:left w:val="none" w:sz="0" w:space="0" w:color="auto"/>
        <w:bottom w:val="none" w:sz="0" w:space="0" w:color="auto"/>
        <w:right w:val="none" w:sz="0" w:space="0" w:color="auto"/>
      </w:divBdr>
    </w:div>
    <w:div w:id="1877422782">
      <w:marLeft w:val="640"/>
      <w:marRight w:val="0"/>
      <w:marTop w:val="0"/>
      <w:marBottom w:val="0"/>
      <w:divBdr>
        <w:top w:val="none" w:sz="0" w:space="0" w:color="auto"/>
        <w:left w:val="none" w:sz="0" w:space="0" w:color="auto"/>
        <w:bottom w:val="none" w:sz="0" w:space="0" w:color="auto"/>
        <w:right w:val="none" w:sz="0" w:space="0" w:color="auto"/>
      </w:divBdr>
    </w:div>
    <w:div w:id="1915386281">
      <w:marLeft w:val="640"/>
      <w:marRight w:val="0"/>
      <w:marTop w:val="0"/>
      <w:marBottom w:val="0"/>
      <w:divBdr>
        <w:top w:val="none" w:sz="0" w:space="0" w:color="auto"/>
        <w:left w:val="none" w:sz="0" w:space="0" w:color="auto"/>
        <w:bottom w:val="none" w:sz="0" w:space="0" w:color="auto"/>
        <w:right w:val="none" w:sz="0" w:space="0" w:color="auto"/>
      </w:divBdr>
    </w:div>
    <w:div w:id="1928686311">
      <w:marLeft w:val="640"/>
      <w:marRight w:val="0"/>
      <w:marTop w:val="0"/>
      <w:marBottom w:val="0"/>
      <w:divBdr>
        <w:top w:val="none" w:sz="0" w:space="0" w:color="auto"/>
        <w:left w:val="none" w:sz="0" w:space="0" w:color="auto"/>
        <w:bottom w:val="none" w:sz="0" w:space="0" w:color="auto"/>
        <w:right w:val="none" w:sz="0" w:space="0" w:color="auto"/>
      </w:divBdr>
    </w:div>
    <w:div w:id="1940336029">
      <w:marLeft w:val="640"/>
      <w:marRight w:val="0"/>
      <w:marTop w:val="0"/>
      <w:marBottom w:val="0"/>
      <w:divBdr>
        <w:top w:val="none" w:sz="0" w:space="0" w:color="auto"/>
        <w:left w:val="none" w:sz="0" w:space="0" w:color="auto"/>
        <w:bottom w:val="none" w:sz="0" w:space="0" w:color="auto"/>
        <w:right w:val="none" w:sz="0" w:space="0" w:color="auto"/>
      </w:divBdr>
    </w:div>
    <w:div w:id="2045981484">
      <w:marLeft w:val="640"/>
      <w:marRight w:val="0"/>
      <w:marTop w:val="0"/>
      <w:marBottom w:val="0"/>
      <w:divBdr>
        <w:top w:val="none" w:sz="0" w:space="0" w:color="auto"/>
        <w:left w:val="none" w:sz="0" w:space="0" w:color="auto"/>
        <w:bottom w:val="none" w:sz="0" w:space="0" w:color="auto"/>
        <w:right w:val="none" w:sz="0" w:space="0" w:color="auto"/>
      </w:divBdr>
    </w:div>
    <w:div w:id="2102600371">
      <w:marLeft w:val="640"/>
      <w:marRight w:val="0"/>
      <w:marTop w:val="0"/>
      <w:marBottom w:val="0"/>
      <w:divBdr>
        <w:top w:val="none" w:sz="0" w:space="0" w:color="auto"/>
        <w:left w:val="none" w:sz="0" w:space="0" w:color="auto"/>
        <w:bottom w:val="none" w:sz="0" w:space="0" w:color="auto"/>
        <w:right w:val="none" w:sz="0" w:space="0" w:color="auto"/>
      </w:divBdr>
    </w:div>
    <w:div w:id="213628856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4ECD911-3792-4EEB-BEF5-2C299581B2A7}"/>
      </w:docPartPr>
      <w:docPartBody>
        <w:p w:rsidR="006E08BE" w:rsidRDefault="0025369E">
          <w:r w:rsidRPr="00D55B67">
            <w:rPr>
              <w:rStyle w:val="PlaceholderText"/>
            </w:rPr>
            <w:t>Click or tap here to enter text.</w:t>
          </w:r>
        </w:p>
      </w:docPartBody>
    </w:docPart>
    <w:docPart>
      <w:docPartPr>
        <w:name w:val="46050E336F7144F1BE542086C1B76262"/>
        <w:category>
          <w:name w:val="General"/>
          <w:gallery w:val="placeholder"/>
        </w:category>
        <w:types>
          <w:type w:val="bbPlcHdr"/>
        </w:types>
        <w:behaviors>
          <w:behavior w:val="content"/>
        </w:behaviors>
        <w:guid w:val="{634FF13D-9C31-4722-8071-E706E8F19C71}"/>
      </w:docPartPr>
      <w:docPartBody>
        <w:p w:rsidR="006E08BE" w:rsidRDefault="0025369E" w:rsidP="0025369E">
          <w:pPr>
            <w:pStyle w:val="46050E336F7144F1BE542086C1B76262"/>
          </w:pPr>
          <w:r w:rsidRPr="00D55B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69E"/>
    <w:rsid w:val="0015161D"/>
    <w:rsid w:val="0025369E"/>
    <w:rsid w:val="006E08BE"/>
    <w:rsid w:val="00C657C8"/>
    <w:rsid w:val="00D5751E"/>
    <w:rsid w:val="00ED239E"/>
    <w:rsid w:val="00F455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BE"/>
    <w:rPr>
      <w:color w:val="666666"/>
    </w:rPr>
  </w:style>
  <w:style w:type="paragraph" w:customStyle="1" w:styleId="46050E336F7144F1BE542086C1B76262">
    <w:name w:val="46050E336F7144F1BE542086C1B76262"/>
    <w:rsid w:val="002536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04810-BCC8-454F-8FA2-D25BFCA15B97}">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70813702132"/>
    <we:property name="MENDELEY_CITATIONS" value="[{&quot;citationID&quot;:&quot;MENDELEY_CITATION_6e8043ec-64ec-4ec0-ba56-f7d03f995976&quot;,&quot;properties&quot;:{&quot;noteIndex&quot;:0},&quot;isEdited&quot;:false,&quot;manualOverride&quot;:{&quot;isManuallyOverridden&quot;:false,&quot;citeprocText&quot;:&quot;[1], [2], [3]&quot;,&quot;manualOverrideText&quot;:&quot;&quot;},&quot;citationTag&quot;:&quot;MENDELEY_CITATION_v3_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&quot;,&quot;citationItems&quot;:[{&quot;id&quot;:&quot;491910ab-6610-3e59-aa79-19e29e7b9ac1&quot;,&quot;itemData&quot;:{&quot;type&quot;:&quot;article-journal&quot;,&quot;id&quot;:&quot;491910ab-6610-3e59-aa79-19e29e7b9ac1&quot;,&quot;title&quot;:&quot;Modeling Infectious Diseases in Humans and Animals&quot;,&quot;author&quot;:[{&quot;family&quot;:&quot;Keeling&quot;,&quot;given&quot;:&quot;Matt J&quot;,&quot;parse-names&quot;:false,&quot;dropping-particle&quot;:&quot;&quot;,&quot;non-dropping-particle&quot;:&quot;&quot;},{&quot;family&quot;:&quot;Rohani&quot;,&quot;given&quot;:&quot;Pejman&quot;,&quot;parse-names&quot;:false,&quot;dropping-particle&quot;:&quot;&quot;,&quot;non-dropping-particle&quot;:&quot;&quot;}],&quot;accessed&quot;:{&quot;date-parts&quot;:[[2026,2,9]]},&quot;issued&quot;:{&quot;date-parts&quot;:[[2008]]},&quot;abstract&quot;:&quo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quot;,&quot;publisher&quot;:&quot;Princeton University Press&quot;,&quot;container-title-short&quot;:&quot;&quot;},&quot;isTemporary&quot;:false},{&quot;id&quot;:&quot;869217d7-29b9-30f8-bc4a-4af2d40866b6&quot;,&quot;itemData&quot;:{&quot;type&quot;:&quot;article-journal&quot;,&quot;id&quot;:&quot;869217d7-29b9-30f8-bc4a-4af2d40866b6&quot;,&quot;title&quot;:&quot;Mathematical Models in Epidemiology&quot;,&quot;author&quot;:[{&quot;family&quot;:&quot;Brauer&quot;,&quot;given&quot;:&quot;Fred&quot;,&quot;parse-names&quot;:false,&quot;dropping-particle&quot;:&quot;&quot;,&quot;non-dropping-particle&quot;:&quot;&quot;},{&quot;family&quot;:&quot;Castillo-Chavez&quot;,&quot;given&quot;:&quot;Carlos&quot;,&quot;parse-names&quot;:false,&quot;dropping-particle&quot;:&quot;&quot;,&quot;non-dropping-particle&quot;:&quot;&quot;},{&quot;family&quot;:&quot;Feng&quot;,&quot;given&quot;:&quot;Zhilan&quot;,&quot;parse-names&quot;:false,&quot;dropping-particle&quot;:&quot;&quot;,&quot;non-dropping-particle&quot;:&quot;&quot;}],&quot;collection-title&quot;:&quot;Texts in Applied Mathematics&quot;,&quot;accessed&quot;:{&quot;date-parts&quot;:[[2026,2,9]]},&quot;DOI&quot;:&quot;10.1007/978-1-4939-9828-9&quot;,&quot;ISBN&quot;:&quot;978-1-4939-9826-5&quot;,&quot;URL&quot;:&quot;https://link.springer.com/10.1007/978-1-4939-9828-9&quot;,&quot;issued&quot;:{&quot;date-parts&quot;:[[2019]]},&quot;publisher-place&quot;:&quot;New York, NY&quot;,&quot;publisher&quot;:&quot;Springer New York&quot;,&quot;volume&quot;:&quot;69&quot;,&quot;container-title-short&quot;:&quot;&quot;},&quot;isTemporary&quot;:false},{&quot;id&quot;:&quot;20fe5cf0-0699-30b7-a759-d04e8b924163&quot;,&quot;itemData&quot;:{&quot;type&quot;:&quot;article-journal&quot;,&quot;id&quot;:&quot;20fe5cf0-0699-30b7-a759-d04e8b924163&quot;,&quot;title&quot;:&quot;Infectious Diseases of Humans: Dynamics and Control&quot;,&quot;author&quot;:[{&quot;family&quot;:&quot;Anderson&quot;,&quot;given&quot;:&quot;Roy M&quot;,&quot;parse-names&quot;:false,&quot;dropping-particle&quot;:&quot;&quot;,&quot;non-dropping-particle&quot;:&quot;&quot;},{&quot;family&quot;:&quot;May&quot;,&quot;given&quot;:&quot;Robert M&quot;,&quot;parse-names&quot;:false,&quot;dropping-particle&quot;:&quot;&quot;,&quot;non-dropping-particle&quot;:&quot;&quot;}],&quot;container-title&quot;:&quot;Infectious Diseases of Humans&quot;,&quot;accessed&quot;:{&quot;date-parts&quot;:[[2026,2,9]]},&quot;DOI&quot;:&quot;10.1093/oso/9780198545996.001.0001&quot;,&quot;ISBN&quot;:&quot;9781383027389&quot;,&quot;URL&quot;:&quot;https://academic.oup.com/book/53038&quot;,&quot;issued&quot;:{&quot;date-parts&quot;:[[1991,5,16]]},&quot;publisher&quot;:&quot;Oxford University Press&quot;,&quot;container-title-short&quot;:&quot;&quot;},&quot;isTemporary&quot;:false}]},{&quot;citationID&quot;:&quot;MENDELEY_CITATION_5b176fcd-5e30-41e2-86b6-7168e9655eb6&quot;,&quot;properties&quot;:{&quot;noteIndex&quot;:0},&quot;isEdited&quot;:false,&quot;manualOverride&quot;:{&quot;isManuallyOverridden&quot;:false,&quot;citeprocText&quot;:&quot;[4], [5], [6]&quot;,&quot;manualOverrideText&quot;:&quot;&quot;},&quot;citationTag&quot;:&quot;MENDELEY_CITATION_v3_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&quot;,&quot;citationItems&quot;:[{&quot;id&quot;:&quot;832f3491-9e32-3a79-a835-025eb1a5fe09&quot;,&quot;itemData&quot;:{&quot;type&quot;:&quot;article-journal&quot;,&quot;id&quot;:&quot;832f3491-9e32-3a79-a835-025eb1a5fe09&quot;,&quot;title&quot;:&quot;The Mathematics of Infectious Diseases&quot;,&quot;author&quot;:[{&quot;family&quot;:&quot;Hethcote&quot;,&quot;given&quot;:&quot;Herbert W&quot;,&quot;parse-names&quot;:false,&quot;dropping-particle&quot;:&quot;&quot;,&quot;non-dropping-particle&quot;:&quot;&quot;}],&quot;container-title&quot;:&quot;Review&quot;,&quot;accessed&quot;:{&quot;date-parts&quot;:[[2026,2,9]]},&quot;URL&quot;:&quot;http://www.siam.org/journals/sirev/42-4/37190.htnil&quot;,&quot;issued&quot;:{&quot;date-parts&quot;:[[2000]]},&quot;page&quot;:&quot;599-653&quot;,&quot;issue&quot;:&quot;4&quot;,&quot;volume&quot;:&quot;42&quot;,&quot;container-title-short&quot;:&quot;&quot;},&quot;isTemporary&quot;:false},{&quot;id&quot;:&quot;f8130213-126f-3d86-83e4-4c9832704927&quot;,&quot;itemData&quot;:{&quot;type&quot;:&quot;article-journal&quot;,&quot;id&quot;:&quot;f8130213-126f-3d86-83e4-4c9832704927&quot;,&quot;title&quot;:&quot;Reproduction numbers and sub-threshold endemic equilibria for compartmental models of disease transmission&quot;,&quot;author&quot;:[{&quot;family&quot;:&quot;Driessche&quot;,&quot;given&quot;:&quot;P.&quot;,&quot;parse-names&quot;:false,&quot;dropping-particle&quot;:&quot;&quot;,&quot;non-dropping-particle&quot;:&quot;Van Den&quot;},{&quot;family&quot;:&quot;Watmough&quot;,&quot;given&quot;:&quot;James&quot;,&quot;parse-names&quot;:false,&quot;dropping-particle&quot;:&quot;&quot;,&quot;non-dropping-particle&quot;:&quot;&quot;}],&quot;container-title&quot;:&quot;Mathematical Biosciences&quot;,&quot;accessed&quot;:{&quot;date-parts&quot;:[[2026,2,9]]},&quot;DOI&quot;:&quot;10.1016/S0025-5564(02)00108-6&quot;,&quot;ISSN&quot;:&quot;00255564&quot;,&quot;PMID&quot;:&quot;12387915&quot;,&quot;URL&quot;:&quot;https://www.sciencedirect.com/science/article/abs/pii/S0025556402001086&quot;,&quot;issued&quot;:{&quot;date-parts&quot;:[[2002,11,1]]},&quot;page&quot;:&quot;29-48&quot;,&quot;abstract&quot;:&quot;A precise definition of the basic reproduction number, ℛ0, is presented for a general compartmental disease transmission model based on a system of ordinary differential equations. It is shown that, if ℛ0 &lt; 1, then the disease free equilibrium is locally asymptotically stable; whereas if ℛ0 &gt; 1, then it is unstable. Thus, ℛ0 is a threshold parameter for the model. An analysis of the local centre manifold yields a simple criterion for the existence and stability of super- and sub-threshold endemic equilibria for ℛ0 near one. This criterion, together with the definition of ℛ0, is illustrated by treatment, multigroup, staged progression, multistrain and vector-host models and can be applied to more complex models. The results are significant for disease control. © 2002 Elsevier Science Inc. All rights reserved.&quot;,&quot;publisher&quot;:&quot;Elsevier&quot;,&quot;issue&quot;:&quot;1-2&quot;,&quot;volume&quot;:&quot;180&quot;,&quot;container-title-short&quot;:&quot;Math. Biosci.&quot;},&quot;isTemporary&quot;:false},{&quot;id&quot;:&quot;b2fa1f8f-ac96-34b6-9910-6ee427d783a6&quot;,&quot;itemData&quot;:{&quot;type&quot;:&quot;article-journal&quot;,&quot;id&quot;:&quot;b2fa1f8f-ac96-34b6-9910-6ee427d783a6&quot;,&quot;title&quot;:&quot;Mathematics in Population Biology&quot;,&quot;author&quot;:[{&quot;family&quot;:&quot;Thieme&quot;,&quot;given&quot;:&quot;Horst R.&quot;,&quot;parse-names&quot;:false,&quot;dropping-particle&quot;:&quot;&quot;,&quot;non-dropping-particle&quot;:&quot;&quot;}],&quot;container-title&quot;:&quot;Mathematics in Population Biology&quot;,&quot;accessed&quot;:{&quot;date-parts&quot;:[[2026,2,9]]},&quot;DOI&quot;:&quot;10.2307/j.ctv301f9v&quot;,&quot;ISBN&quot;:&quot;9780691187655&quot;,&quot;issued&quot;:{&quot;date-parts&quot;:[[2018,1,1]]},&quot;page&quot;:&quot;1-543&quot;,&quot;abstract&quot;:&quot;The formulation, analysis, and re-evaluation of mathematical models in population biology has become a valuable source of insight to mathematicians and biologists alike. This book presents an overview and selected sample of these results and ideas, organized by biological theme rather than mathematical concept, with an emphasis on helping the reader develop appropriate modeling skills through use of well-chosen and varied examples. Part I starts with unstructured single species population models, particularly in the framework of continuous time models, then adding the most rudimentary stage structure with variable stage duration. The theme of stage structure in an age-dependent context is developed in Part II, covering demographic concepts, such as life expectation and variance of life length, and their dynamic consequences. In Part III, the author considers the dynamic interplay of host and parasite populations, i.e., the epidemics and endemics of infectious diseases. The theme of stage structure continues here in the analysis of different stages of infection and of age-structure that is instrumental in optimizing vaccination strategies. Each section concludes with exercises, some with solutions, and suggestions for further study. The level of mathematics is relatively modest; a “toolbox” provides a summary of required results in differential equations, integration, and integral equations. In addition, a selection of Maple worksheets is provided. The book provides an authoritative tour through a dazzling ensemble of topics and is both an ideal introduction to the subject and reference for researchers.&quot;,&quot;publisher&quot;:&quot;Princeton University Press&quot;,&quot;container-title-short&quot;:&quot;&quot;},&quot;isTemporary&quot;:false}]},{&quot;citationID&quot;:&quot;MENDELEY_CITATION_6c3a1b2f-4db1-45eb-83fb-48722e7d721a&quot;,&quot;properties&quot;:{&quot;noteIndex&quot;:0},&quot;isEdited&quot;:false,&quot;manualOverride&quot;:{&quot;isManuallyOverridden&quot;:false,&quot;citeprocText&quot;:&quot;[7]&quot;,&quot;manualOverrideText&quot;:&quot;&quot;},&quot;citationTag&quot;:&quot;MENDELEY_CITATION_v3_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&quot;,&quot;citationItems&quot;:[{&quot;id&quot;:&quot;00b26c62-0366-335f-9ccc-fba19f6d0cb9&quot;,&quot;itemData&quot;:{&quot;type&quot;:&quot;article-journal&quot;,&quot;id&quot;:&quot;00b26c62-0366-335f-9ccc-fba19f6d0cb9&quot;,&quot;title&quot;:&quot;Review Article: The Fraction of Influenza Virus Infections That Are Asymptomatic: A Systematic Review and Meta-analysis&quot;,&quot;author&quot;:[{&quot;family&quot;:&quot;Leung&quot;,&quot;given&quot;:&quot;Nancy H.L.&quot;,&quot;parse-names&quot;:false,&quot;dropping-particle&quot;:&quot;&quot;,&quot;non-dropping-particle&quot;:&quot;&quot;},{&quot;family&quot;:&quot;Xu&quot;,&quot;given&quot;:&quot;Cuiling&quot;,&quot;parse-names&quot;:false,&quot;dropping-particle&quot;:&quot;&quot;,&quot;non-dropping-particle&quot;:&quot;&quot;},{&quot;family&quot;:&quot;Ip&quot;,&quot;given&quot;:&quot;Dennis K.M.&quot;,&quot;parse-names&quot;:false,&quot;dropping-particle&quot;:&quot;&quot;,&quot;non-dropping-particle&quot;:&quot;&quot;},{&quot;family&quot;:&quot;Cowling&quot;,&quot;given&quot;:&quot;Benjamin J.&quot;,&quot;parse-names&quot;:false,&quot;dropping-particle&quot;:&quot;&quot;,&quot;non-dropping-particle&quot;:&quot;&quot;}],&quot;container-title&quot;:&quot;Epidemiology (Cambridge, Mass.)&quot;,&quot;accessed&quot;:{&quot;date-parts&quot;:[[2026,2,9]]},&quot;DOI&quot;:&quot;10.1097/EDE.0000000000000340&quot;,&quot;ISSN&quot;:&quot;15315487&quot;,&quot;PMID&quot;:&quot;26133025&quot;,&quot;URL&quot;:&quot;https://pubmed.ncbi.nlm.nih.gov/26133025/&quot;,&quot;issued&quot;:{&quot;date-parts&quot;:[[2015,10,1]]},&quot;page&quot;:&quot;862-872&quot;,&quot;abstract&quot;:&quot;Background: The fraction of persons with influenza virus infection, who do not report any signs or symptoms throughout the course of infection is referred to as the asymptomatic fraction. Methods: 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 Results: 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 Conclusions: 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quot;,&quot;publisher&quot;:&quot;Epidemiology&quot;,&quot;issue&quot;:&quot;6&quot;,&quot;volume&quot;:&quot;26&quot;,&quot;container-title-short&quot;:&quot;Epidemiology&quot;},&quot;isTemporary&quot;:false}]},{&quot;citationID&quot;:&quot;MENDELEY_CITATION_99d509be-4a22-41ac-8d98-a2a1b102cb30&quot;,&quot;properties&quot;:{&quot;noteIndex&quot;:0},&quot;isEdited&quot;:false,&quot;manualOverride&quot;:{&quot;isManuallyOverridden&quot;:false,&quot;citeprocText&quot;:&quot;[8]&quot;,&quot;manualOverrideText&quot;:&quot;&quot;},&quot;citationTag&quot;:&quot;MENDELEY_CITATION_v3_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&quot;,&quot;citationItems&quot;:[{&quot;id&quot;:&quot;6e9c38b8-59d8-38c9-80a4-158b1680278c&quot;,&quot;itemData&quot;:{&quot;type&quot;:&quot;article-journal&quot;,&quot;id&quot;:&quot;6e9c38b8-59d8-38c9-80a4-158b1680278c&quot;,&quot;title&quot;:&quot;Large-scale spatial-transmission models of infectious disease&quot;,&quot;author&quot;:[{&quot;family&quot;:&quot;Riley&quot;,&quot;given&quot;:&quot;Steven&quot;,&quot;parse-names&quot;:false,&quot;dropping-particle&quot;:&quot;&quot;,&quot;non-dropping-particle&quot;:&quot;&quot;}],&quot;container-title&quot;:&quot;Science (New York, N.Y.)&quot;,&quot;accessed&quot;:{&quot;date-parts&quot;:[[2026,2,9]]},&quot;DOI&quot;:&quot;10.1126/science.1134695&quot;,&quot;ISSN&quot;:&quot;00368075&quot;,&quot;PMID&quot;:&quot;17540894&quot;,&quot;URL&quot;:&quot;https://pubmed.ncbi.nlm.nih.gov/17540894/&quot;,&quot;issued&quot;:{&quot;date-parts&quot;:[[2007,6,1]]},&quot;page&quot;:&quot;1298-1301&quot;,&quot;abstract&quot;:&quot;During transmission of seasonal endemic diseases such as measles and influenza, spatial waves of infection have been observed between large distant populations. Also, during the initial stages of an outbreak of a new or reemerging pathogen, disease incidence tends to occur in spatial clusters, which makes containment possible if you can predict the subsequent spread of disease. Spatial models are being used with increasing frequency to help characterize these large-scale patterns and to evaluate the impact of interventions. Here, I review several recent studies on four diseases that show the benefits of different methodologies: measles (patch models), foot-and-mouth disease (distance-transmission models), pandemic influenza (multigroup models), and smallpox (network models). This review highlights the importance of the household in spatial studies of human diseases, such as smallpox and influenza. It also demonstrates the need to develop a simple model of household demographics, so that these large-scale models can be extended to the investigation of long-time scale human pathogens, such as tuberculosis and HIV.&quot;,&quot;publisher&quot;:&quot;Science&quot;,&quot;issue&quot;:&quot;5829&quot;,&quot;volume&quot;:&quot;316&quot;,&quot;container-title-short&quot;:&quot;Science&quot;},&quot;isTemporary&quot;:false}]},{&quot;citationID&quot;:&quot;MENDELEY_CITATION_b73aeee4-b780-43f5-8a06-e433bc64ea2f&quot;,&quot;properties&quot;:{&quot;noteIndex&quot;:0},&quot;isEdited&quot;:false,&quot;manualOverride&quot;:{&quot;isManuallyOverridden&quot;:false,&quot;citeprocText&quot;:&quot;[9], [10]&quot;,&quot;manualOverrideText&quot;:&quot;&quot;},&quot;citationTag&quot;:&quot;MENDELEY_CITATION_v3_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&quot;,&quot;citationItems&quot;:[{&quot;id&quot;:&quot;87a24896-4d0d-33e4-ac31-694645b483a0&quot;,&quot;itemData&quot;:{&quot;type&quot;:&quot;article-journal&quot;,&quot;id&quot;:&quot;87a24896-4d0d-33e4-ac31-694645b483a0&quot;,&quot;title&quot;:&quot;Modeling epidemics using cellular automata&quot;,&quot;author&quot;:[{&quot;family&quot;:&quot;White&quot;,&quot;given&quot;:&quot;S Hoya&quot;,&quot;parse-names&quot;:false,&quot;dropping-particle&quot;:&quot;&quot;,&quot;non-dropping-particle&quot;:&quot;&quot;},{&quot;family&quot;:&quot;Martín Del Rey&quot;,&quot;given&quot;:&quot;A&quot;,&quot;parse-names&quot;:false,&quot;dropping-particle&quot;:&quot;&quot;,&quot;non-dropping-particle&quot;:&quot;&quot;},{&quot;family&quot;:&quot;Rodríguez Sánchez&quot;,&quot;given&quot;:&quot;G&quot;,&quot;parse-names&quot;:false,&quot;dropping-particle&quot;:&quot;&quot;,&quot;non-dropping-particle&quot;:&quot;&quot;}],&quot;accessed&quot;:{&quot;date-parts&quot;:[[2026,2,9]]},&quot;DOI&quot;:&quot;10.1016/j.amc.2006.06.126&quot;,&quot;URL&quot;:&quot;www.elsevier.com/locate/amc&quot;,&quot;abstract&quot;:&quot;The main goal of this work is to introduce a theoretical model, based on cellular automata, to simulate epidemic spreading. Specifically, it divides the population into three classes: susceptible, infected and recovered, and the state of each cell stands for the portion of these classes of individuals in the cell at every step of time. The effect of population vaccination is also considered. The proposed model can serve as a basis for the development of other algorithms to simulate real epidemics based on real data.&quot;,&quot;container-title-short&quot;:&quot;&quot;},&quot;isTemporary&quot;:false},{&quot;id&quot;:&quot;def805e1-a409-34be-9502-d3c762dc9e32&quot;,&quot;itemData&quot;:{&quot;type&quot;:&quot;article-journal&quot;,&quot;id&quot;:&quot;def805e1-a409-34be-9502-d3c762dc9e32&quot;,&quot;title&quot;:&quot;A cellular automaton model for the effects of population movement and vaccination on epidemic propagation&quot;,&quot;author&quot;:[{&quot;family&quot;:&quot;Ch Sirakoulis&quot;,&quot;given&quot;:&quot;G&quot;,&quot;parse-names&quot;:false,&quot;dropping-particle&quot;:&quot;&quot;,&quot;non-dropping-particle&quot;:&quot;&quot;},{&quot;family&quot;:&quot;Karafyllidis&quot;,&quot;given&quot;:&quot;I&quot;,&quot;parse-names&quot;:false,&quot;dropping-particle&quot;:&quot;&quot;,&quot;non-dropping-particle&quot;:&quot;&quot;},{&quot;family&quot;:&quot;Thanailakis&quot;,&quot;given&quot;:&quot;A&quot;,&quot;parse-names&quot;:false,&quot;dropping-particle&quot;:&quot;&quot;,&quot;non-dropping-particle&quot;:&quot;&quot;}],&quot;container-title&quot;:&quot;Ecological Modelling&quot;,&quot;accessed&quot;:{&quot;date-parts&quot;:[[2026,2,9]]},&quot;URL&quot;:&quot;www.elsevier.com/locate/ecolmodel&quot;,&quot;issued&quot;:{&quot;date-parts&quot;:[[2000]]},&quot;page&quot;:&quot;209-223&quot;,&quot;abstract&quot;:&quot;A cellular automaton model for the effects of population movement and vaccination on epidemic propagation is presented. Each cellular automaton cell represents a part of the total population that may be found in one of three states: infected, immunized and susceptible. As parts of the population move randomly in the cellular automaton lattice, the disease spreads. We study the effect of two population movement parameters on the epidemic propagation: the distance of movement and the percentage of the population that moves. Furthermore, the model is extended to include the effect of the vaccination of some parts of the population on epidemic propagation. The model establishes the acceleration of the epidemic propagation because of the increment, of the percentage of the moving population, or of the maximum distance of population movement. On the contrary, the effect of population vaccination reduces the epidemic propagation. The proposed model can serve as a basis for the development of algorithms to simulate real epidemics based on real data.&quot;,&quot;issue&quot;:&quot;0000&quot;,&quot;volume&quot;:&quot;133&quot;,&quot;container-title-short&quot;:&quot;Ecol. Modell.&quot;},&quot;isTemporary&quot;:false}]},{&quot;citationID&quot;:&quot;MENDELEY_CITATION_c039eb42-76ce-46f9-bff3-a2fbc54ec084&quot;,&quot;properties&quot;:{&quot;noteIndex&quot;:0},&quot;isEdited&quot;:false,&quot;manualOverride&quot;:{&quot;isManuallyOverridden&quot;:false,&quot;citeprocText&quot;:&quot;[11]&quot;,&quot;manualOverrideText&quot;:&quot;&quot;},&quot;citationTag&quot;:&quot;MENDELEY_CITATION_v3_eyJjaXRhdGlvbklEIjoiTUVOREVMRVlfQ0lUQVRJT05fYzAzOWViNDItNzZjZS00NmY5LWJmZjMtYTJmYmM1NGVjMDg0IiwicHJvcGVydGllcyI6eyJub3RlSW5kZXgiOjB9LCJpc0VkaXRlZCI6ZmFsc2UsIm1hbnVhbE92ZXJyaWRlIjp7ImlzTWFudWFsbHlPdmVycmlkZGVuIjpmYWxzZSwiY2l0ZXByb2NUZXh0IjoiWzEx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LCJzdXBwcmVzcy1hdXRob3IiOmZhbHNlLCJjb21wb3NpdGUiOmZhbHNlLCJhdXRob3Itb25seSI6ZmFsc2V9XX0=&quot;,&quot;citationItems&quot;:[{&quot;id&quot;:&quot;4e131279-40b8-3ebe-8b40-ccfa4d11c780&quot;,&quot;itemData&quot;:{&quot;type&quot;:&quot;article-journal&quot;,&quot;id&quot;:&quot;4e131279-40b8-3ebe-8b40-ccfa4d11c780&quot;,&quot;title&quot;:&quot;A New Kind of Science&quot;,&quot;author&quot;:[{&quot;family&quot;:&quot;Wolfram&quot;,&quot;given&quot;:&quot;Stephen&quot;,&quot;parse-names&quot;:false,&quot;dropping-particle&quot;:&quot;&quot;,&quot;non-dropping-particle&quot;:&quot;&quot;}],&quot;container-title&quot;:&quot;Stephen Wolfram Writings&quot;,&quot;accessed&quot;:{&quot;date-parts&quot;:[[2026,2,9]]},&quot;issued&quot;:{&quot;date-parts&quot;:[[2017,5,16]]},&quot;container-title-short&quot;:&quot;&quot;},&quot;isTemporary&quot;:false,&quot;suppress-author&quot;:false,&quot;composite&quot;:false,&quot;author-only&quot;:false}]},{&quot;citationID&quot;:&quot;MENDELEY_CITATION_d1b36604-c449-4995-8d5a-f3f1f9a77525&quot;,&quot;properties&quot;:{&quot;noteIndex&quot;:0},&quot;isEdited&quot;:false,&quot;manualOverride&quot;:{&quot;isManuallyOverridden&quot;:false,&quot;citeprocText&quot;:&quot;[11]&quot;,&quot;manualOverrideText&quot;:&quot;&quot;},&quot;citationTag&quot;:&quot;MENDELEY_CITATION_v3_eyJjaXRhdGlvbklEIjoiTUVOREVMRVlfQ0lUQVRJT05fZDFiMzY2MDQtYzQ0OS00OTk1LThkNWEtZjNmMWY5YTc3NTI1IiwicHJvcGVydGllcyI6eyJub3RlSW5kZXgiOjB9LCJpc0VkaXRlZCI6ZmFsc2UsIm1hbnVhbE92ZXJyaWRlIjp7ImlzTWFudWFsbHlPdmVycmlkZGVuIjpmYWxzZSwiY2l0ZXByb2NUZXh0IjoiWzEx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LCJzdXBwcmVzcy1hdXRob3IiOmZhbHNlLCJjb21wb3NpdGUiOmZhbHNlLCJhdXRob3Itb25seSI6ZmFsc2V9XX0=&quot;,&quot;citationItems&quot;:[{&quot;id&quot;:&quot;4e131279-40b8-3ebe-8b40-ccfa4d11c780&quot;,&quot;itemData&quot;:{&quot;type&quot;:&quot;article-journal&quot;,&quot;id&quot;:&quot;4e131279-40b8-3ebe-8b40-ccfa4d11c780&quot;,&quot;title&quot;:&quot;A New Kind of Science&quot;,&quot;author&quot;:[{&quot;family&quot;:&quot;Wolfram&quot;,&quot;given&quot;:&quot;Stephen&quot;,&quot;parse-names&quot;:false,&quot;dropping-particle&quot;:&quot;&quot;,&quot;non-dropping-particle&quot;:&quot;&quot;}],&quot;container-title&quot;:&quot;Stephen Wolfram Writings&quot;,&quot;accessed&quot;:{&quot;date-parts&quot;:[[2026,2,9]]},&quot;issued&quot;:{&quot;date-parts&quot;:[[2017,5,16]]},&quot;container-title-short&quot;:&quot;&quot;},&quot;isTemporary&quot;:false,&quot;suppress-author&quot;:false,&quot;composite&quot;:false,&quot;author-only&quot;:false}]},{&quot;citationID&quot;:&quot;MENDELEY_CITATION_eb0649c7-903e-4a99-88e5-77e9a245388c&quot;,&quot;properties&quot;:{&quot;noteIndex&quot;:0},&quot;isEdited&quot;:false,&quot;manualOverride&quot;:{&quot;isManuallyOverridden&quot;:false,&quot;citeprocText&quot;:&quot;[11], [12]&quot;,&quot;manualOverrideText&quot;:&quot;&quot;},&quot;citationTag&quot;:&quot;MENDELEY_CITATION_v3_eyJjaXRhdGlvbklEIjoiTUVOREVMRVlfQ0lUQVRJT05fZWIwNjQ5YzctOTAzZS00YTk5LTg4ZTUtNzdlOWEyNDUzODhjIiwicHJvcGVydGllcyI6eyJub3RlSW5kZXgiOjB9LCJpc0VkaXRlZCI6ZmFsc2UsIm1hbnVhbE92ZXJyaWRlIjp7ImlzTWFudWFsbHlPdmVycmlkZGVuIjpmYWxzZSwiY2l0ZXByb2NUZXh0IjoiWzExXSwgWzEy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&quot;,&quot;citationItems&quot;:[{&quot;id&quot;:&quot;4e131279-40b8-3ebe-8b40-ccfa4d11c780&quot;,&quot;itemData&quot;:{&quot;type&quot;:&quot;article-journal&quot;,&quot;id&quot;:&quot;4e131279-40b8-3ebe-8b40-ccfa4d11c780&quot;,&quot;title&quot;:&quot;A New Kind of Science&quot;,&quot;author&quot;:[{&quot;family&quot;:&quot;Wolfram&quot;,&quot;given&quot;:&quot;Stephen&quot;,&quot;parse-names&quot;:false,&quot;dropping-particle&quot;:&quot;&quot;,&quot;non-dropping-particle&quot;:&quot;&quot;}],&quot;container-title&quot;:&quot;Stephen Wolfram Writings&quot;,&quot;accessed&quot;:{&quot;date-parts&quot;:[[2026,2,9]]},&quot;issued&quot;:{&quot;date-parts&quot;:[[2017,5,16]]},&quot;container-title-short&quot;:&quot;&quot;},&quot;isTemporary&quot;:false},{&quot;id&quot;:&quot;6fc82fb9-3512-3b6c-868f-e7df181adede&quot;,&quot;itemData&quot;:{&quot;type&quot;:&quot;article-journal&quot;,&quot;id&quot;:&quot;6fc82fb9-3512-3b6c-868f-e7df181adede&quot;,&quot;title&quot;:&quot;Numerical Evaluation of Algorithmic Complexity for Short Strings: A Glance into the Innermost Structure of Randomness&quot;,&quot;author&quot;:[{&quot;family&quot;:&quot;Delahaye&quot;,&quot;given&quot;:&quot;Jean-Paul&quot;,&quot;parse-names&quot;:false,&quot;dropping-particle&quot;:&quot;&quot;,&quot;non-dropping-particle&quot;:&quot;&quot;},{&quot;family&quot;:&quot;Zenil&quot;,&quot;given&quot;:&quot;Hector&quot;,&quot;parse-names&quot;:false,&quot;dropping-particle&quot;:&quot;&quot;,&quot;non-dropping-particle&quot;:&quot;&quot;}],&quot;container-title&quot;:&quot;Applied Mathematics and Computation&quot;,&quot;accessed&quot;:{&quot;date-parts&quot;:[[2026,2,9]]},&quot;URL&quot;:&quot;http://arxiv.org/abs/1101.4795&quot;,&quot;issued&quot;:{&quot;date-parts&quot;:[[2011,10,5]]},&quot;page&quot;:&quot;63-77&quot;,&quot;abstract&quot;:&quot;We describe an alternative method (to compression) that combines several theoretical and experimental results to numerically approximate the algorithmic (Kolmogorov-Chaitin) complexity of all $\\sum_{n=1}^82^n$ bit strings up to 8 bits long, and for some between 9 and 16 bits long. This is done by an exhaustive execution of all deterministic 2-symbol Turing machines with up to 4 states for which the halting times are known thanks to the Busy Beaver problem, that is 11019960576 machines. An output frequency distribution is then computed, from which the algorithmic probability is calculated and the algorithmic complexity evaluated by way of the (Levin-Zvonkin-Chaitin) coding theorem.&quot;,&quot;issue&quot;:&quot;1&quot;,&quot;volume&quot;:&quot;219&quot;,&quot;container-title-short&quot;:&quot;Appl. Math. Comput.&quot;},&quot;isTemporary&quot;:false}]},{&quot;citationID&quot;:&quot;MENDELEY_CITATION_7bfdbf2a-d6c1-4106-839b-b6592a7d4e13&quot;,&quot;properties&quot;:{&quot;noteIndex&quot;:0},&quot;isEdited&quot;:false,&quot;manualOverride&quot;:{&quot;isManuallyOverridden&quot;:false,&quot;citeprocText&quot;:&quot;[11]&quot;,&quot;manualOverrideText&quot;:&quot;&quot;},&quot;citationTag&quot;:&quot;MENDELEY_CITATION_v3_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&quot;,&quot;citationItems&quot;:[{&quot;id&quot;:&quot;4e131279-40b8-3ebe-8b40-ccfa4d11c780&quot;,&quot;itemData&quot;:{&quot;type&quot;:&quot;article-journal&quot;,&quot;id&quot;:&quot;4e131279-40b8-3ebe-8b40-ccfa4d11c780&quot;,&quot;title&quot;:&quot;A New Kind of Science&quot;,&quot;author&quot;:[{&quot;family&quot;:&quot;Wolfram&quot;,&quot;given&quot;:&quot;Stephen&quot;,&quot;parse-names&quot;:false,&quot;dropping-particle&quot;:&quot;&quot;,&quot;non-dropping-particle&quot;:&quot;&quot;}],&quot;container-title&quot;:&quot;Stephen Wolfram Writings&quot;,&quot;accessed&quot;:{&quot;date-parts&quot;:[[2026,2,9]]},&quot;issued&quot;:{&quot;date-parts&quot;:[[2017,5,16]]},&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DEDE4-DF1E-41FA-9D6D-F4148F54B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3084</Words>
  <Characters>16659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Edney Santos</dc:creator>
  <cp:keywords/>
  <dc:description/>
  <cp:lastModifiedBy>Edney Santos</cp:lastModifiedBy>
  <cp:revision>2</cp:revision>
  <dcterms:created xsi:type="dcterms:W3CDTF">2026-02-11T22:33:00Z</dcterms:created>
  <dcterms:modified xsi:type="dcterms:W3CDTF">2026-02-11T22:33:00Z</dcterms:modified>
</cp:coreProperties>
</file>