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6AC9" w:rsidRPr="00C93721" w:rsidRDefault="00836AC9" w:rsidP="00C93721">
      <w:pPr>
        <w:pStyle w:val="ds-markdown-paragraph"/>
        <w:spacing w:before="240" w:beforeAutospacing="0" w:after="240" w:afterAutospacing="0"/>
        <w:jc w:val="right"/>
        <w:rPr>
          <w:color w:val="0F1115"/>
        </w:rPr>
      </w:pPr>
      <w:r w:rsidRPr="00C93721">
        <w:rPr>
          <w:rStyle w:val="ac"/>
          <w:rFonts w:eastAsiaTheme="majorEastAsia"/>
          <w:color w:val="0F1115"/>
        </w:rPr>
        <w:t>Шишин Захар Юрьевич</w:t>
      </w:r>
      <w:r w:rsidRPr="00C93721">
        <w:rPr>
          <w:color w:val="0F1115"/>
        </w:rPr>
        <w:br/>
        <w:t>научный руководитель</w:t>
      </w:r>
      <w:r w:rsidR="00797011">
        <w:rPr>
          <w:color w:val="0F1115"/>
        </w:rPr>
        <w:t xml:space="preserve"> – </w:t>
      </w:r>
      <w:proofErr w:type="spellStart"/>
      <w:r w:rsidRPr="00C93721">
        <w:rPr>
          <w:color w:val="0F1115"/>
        </w:rPr>
        <w:t>Ярчак</w:t>
      </w:r>
      <w:proofErr w:type="spellEnd"/>
      <w:r w:rsidRPr="00C93721">
        <w:rPr>
          <w:color w:val="0F1115"/>
        </w:rPr>
        <w:t xml:space="preserve"> Илона Леонидовна,</w:t>
      </w:r>
      <w:r w:rsidRPr="00C93721">
        <w:rPr>
          <w:color w:val="0F1115"/>
        </w:rPr>
        <w:br/>
      </w:r>
      <w:proofErr w:type="spellStart"/>
      <w:r w:rsidRPr="00C93721">
        <w:rPr>
          <w:color w:val="0F1115"/>
        </w:rPr>
        <w:t>к.п.н</w:t>
      </w:r>
      <w:proofErr w:type="spellEnd"/>
      <w:r w:rsidRPr="00C93721">
        <w:rPr>
          <w:color w:val="0F1115"/>
        </w:rPr>
        <w:t>., доцент кафедры иностранных языков № 2</w:t>
      </w:r>
      <w:r w:rsidRPr="00C93721">
        <w:rPr>
          <w:color w:val="0F1115"/>
        </w:rPr>
        <w:br/>
      </w:r>
      <w:r w:rsidRPr="00C93721">
        <w:rPr>
          <w:rStyle w:val="ad"/>
          <w:rFonts w:eastAsiaTheme="majorEastAsia"/>
          <w:color w:val="0F1115"/>
        </w:rPr>
        <w:t>Российский экономический университет им. Г.В. Плеханова, г. Москва, Российская Федерация</w:t>
      </w:r>
    </w:p>
    <w:p w:rsidR="00836AC9" w:rsidRPr="00836AC9" w:rsidRDefault="00836AC9" w:rsidP="00C93721">
      <w:pPr>
        <w:pStyle w:val="ds-markdown-paragraph"/>
        <w:spacing w:before="240" w:beforeAutospacing="0" w:after="240" w:afterAutospacing="0"/>
        <w:jc w:val="center"/>
        <w:rPr>
          <w:color w:val="0F1115"/>
          <w:sz w:val="28"/>
          <w:szCs w:val="28"/>
        </w:rPr>
      </w:pPr>
      <w:r w:rsidRPr="00836AC9">
        <w:rPr>
          <w:rStyle w:val="ac"/>
          <w:rFonts w:eastAsiaTheme="majorEastAsia"/>
          <w:color w:val="0F1115"/>
          <w:sz w:val="28"/>
          <w:szCs w:val="28"/>
        </w:rPr>
        <w:t>ИСТОРИЧЕСКИЙ ВЗГЛЯД НА РОЛЬ ЖЕНЩИНЫ В ОБЩЕСТВЕ: ТРАНСФОРМАЦИЯ СТАТУСА И ВЛИЯНИЯ</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t>Современное общество невозможно представить без активного участия женщин во всех сферах жизни</w:t>
      </w:r>
      <w:r w:rsidR="00797011">
        <w:rPr>
          <w:color w:val="0F1115"/>
          <w:sz w:val="28"/>
          <w:szCs w:val="28"/>
        </w:rPr>
        <w:t xml:space="preserve"> – </w:t>
      </w:r>
      <w:r w:rsidRPr="00C93721">
        <w:rPr>
          <w:color w:val="0F1115"/>
          <w:sz w:val="28"/>
          <w:szCs w:val="28"/>
        </w:rPr>
        <w:t>от политики и экономики до науки, образования и культуры. Тема роли женщины приобретает особую актуальность в контексте глобальных социальных трансформаций и пересмотра традиционных гендерных ролей. Данная работа посвящена анализу исторической эволюции положения женщин, их современным достижениям, существующим вызовам и перспективам дальнейшего утверждения гендерного равенства.</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t>На протяжении многих веков женщины были ограничены в своих правах. Они не имели права голоса, не могли распоряжаться даже своим имуществом без разрешения мужчин, а трудовая деятельность ограничивалась домашним хозяйством, работой прислугой, няней, в лучшем случае</w:t>
      </w:r>
      <w:r w:rsidR="00797011">
        <w:rPr>
          <w:color w:val="0F1115"/>
          <w:sz w:val="28"/>
          <w:szCs w:val="28"/>
        </w:rPr>
        <w:t xml:space="preserve"> – </w:t>
      </w:r>
      <w:r w:rsidRPr="00C93721">
        <w:rPr>
          <w:color w:val="0F1115"/>
          <w:sz w:val="28"/>
          <w:szCs w:val="28"/>
        </w:rPr>
        <w:t>учительницей в начальной школе. В России было схожее положение женщин. Однако уже в XIX</w:t>
      </w:r>
      <w:r w:rsidR="00797011">
        <w:rPr>
          <w:color w:val="0F1115"/>
          <w:sz w:val="28"/>
          <w:szCs w:val="28"/>
        </w:rPr>
        <w:t xml:space="preserve"> – </w:t>
      </w:r>
      <w:r w:rsidRPr="00C93721">
        <w:rPr>
          <w:color w:val="0F1115"/>
          <w:sz w:val="28"/>
          <w:szCs w:val="28"/>
        </w:rPr>
        <w:t>начале XX века началась активная борьба, в первую очередь за получение прав на образование и труд в наших странах. Впоследствии Российская империя, частью которой тогда была Беларусь, стала одной из первых мировых держав, признавших за женщинами полное избирательное право. Также женщины</w:t>
      </w:r>
      <w:r w:rsidR="0089648A">
        <w:rPr>
          <w:color w:val="0F1115"/>
          <w:sz w:val="28"/>
          <w:szCs w:val="28"/>
        </w:rPr>
        <w:t xml:space="preserve"> получили право получать среднее и высшее образование и смогли реализовываться в профессиональной деятельности</w:t>
      </w:r>
      <w:r w:rsidRPr="00C93721">
        <w:rPr>
          <w:color w:val="0F1115"/>
          <w:sz w:val="28"/>
          <w:szCs w:val="28"/>
        </w:rPr>
        <w:t>. В Беларуси, как и во многих других странах, этот процесс имел свои особенности, связанные с социально-экономическим развитием и культурными традициями. В частности, низкий уровень грамотности среди сельского населения и ограниченный доступ девочек к систематическому образованию сдерживали их социальную мобильность. Тем не менее к началу XX века в крупных городах, включая Минск, Гомель и Витебск, открывались женские гимназии и курсы, что постепенно расширяло профессиональные возможности женщин. Существенную роль сыграли также демографические последствия двух мировых войн, приведшие к значительному превышению численности женщин над мужчинами. Это объективно расширило социальную и экономическую ответственность женщин, которые вынуждены были брать на себя функции, ранее считавшиеся мужскими. На этом историческом фоне сформировалась устойчивая государственная политика поддержки женщин, логичным продолжением которой стало объявление 2026 года Годом белорусской женщины. Данное решение подчеркивает государственное признание вклада женщин в развитие страны и актуализирует научный анализ их роли в современном обществе [1, с. 45].</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lastRenderedPageBreak/>
        <w:t>Сегодня женщины успешно занимают руководящие должности, создают собственные бизнесы, делают научные открытия и играют важную роль в жизни страны. В Республике Беларусь женщины составляют почти 54% населения. Доля женщин среди специалистов с высшим образованием превышает 60% [2, с. 112], а среди профессорско-преподавательского состава вузов</w:t>
      </w:r>
      <w:r w:rsidR="00797011">
        <w:rPr>
          <w:color w:val="0F1115"/>
          <w:sz w:val="28"/>
          <w:szCs w:val="28"/>
        </w:rPr>
        <w:t xml:space="preserve"> – </w:t>
      </w:r>
      <w:r w:rsidRPr="00C93721">
        <w:rPr>
          <w:color w:val="0F1115"/>
          <w:sz w:val="28"/>
          <w:szCs w:val="28"/>
        </w:rPr>
        <w:t>57%. В сфере образования и здравоохранения женщины занимают по 84% рабочих мест, среди практикующих врачей</w:t>
      </w:r>
      <w:r w:rsidR="00797011">
        <w:rPr>
          <w:color w:val="0F1115"/>
          <w:sz w:val="28"/>
          <w:szCs w:val="28"/>
        </w:rPr>
        <w:t xml:space="preserve"> – </w:t>
      </w:r>
      <w:r w:rsidRPr="00C93721">
        <w:rPr>
          <w:color w:val="0F1115"/>
          <w:sz w:val="28"/>
          <w:szCs w:val="28"/>
        </w:rPr>
        <w:t>72,8%, а среди среднего медицинского персонала</w:t>
      </w:r>
      <w:r w:rsidR="00797011">
        <w:rPr>
          <w:color w:val="0F1115"/>
          <w:sz w:val="28"/>
          <w:szCs w:val="28"/>
        </w:rPr>
        <w:t xml:space="preserve"> – </w:t>
      </w:r>
      <w:r w:rsidRPr="00C93721">
        <w:rPr>
          <w:color w:val="0F1115"/>
          <w:sz w:val="28"/>
          <w:szCs w:val="28"/>
        </w:rPr>
        <w:t>94,7% [2, с. 113]. В судебной системе доля женщин-судей достигает 66% [2, с. 114]. Почти каждый второй руководитель в стране</w:t>
      </w:r>
      <w:r w:rsidR="00797011">
        <w:rPr>
          <w:color w:val="0F1115"/>
          <w:sz w:val="28"/>
          <w:szCs w:val="28"/>
        </w:rPr>
        <w:t xml:space="preserve"> –</w:t>
      </w:r>
      <w:r w:rsidR="00797011" w:rsidRPr="00797011">
        <w:rPr>
          <w:color w:val="0F1115"/>
          <w:sz w:val="28"/>
          <w:szCs w:val="28"/>
        </w:rPr>
        <w:t xml:space="preserve"> </w:t>
      </w:r>
      <w:r w:rsidRPr="00C93721">
        <w:rPr>
          <w:color w:val="0F1115"/>
          <w:sz w:val="28"/>
          <w:szCs w:val="28"/>
        </w:rPr>
        <w:t>женщина (около 50%), а доля женщин-предпринимателей составляет 40%. В науке доля женщин-исследователей</w:t>
      </w:r>
      <w:r w:rsidR="00797011">
        <w:rPr>
          <w:color w:val="0F1115"/>
          <w:sz w:val="28"/>
          <w:szCs w:val="28"/>
        </w:rPr>
        <w:t xml:space="preserve"> – </w:t>
      </w:r>
      <w:r w:rsidRPr="00C93721">
        <w:rPr>
          <w:color w:val="0F1115"/>
          <w:sz w:val="28"/>
          <w:szCs w:val="28"/>
        </w:rPr>
        <w:t>38,9%, в медицинских науках</w:t>
      </w:r>
      <w:r w:rsidR="00797011">
        <w:rPr>
          <w:color w:val="0F1115"/>
          <w:sz w:val="28"/>
          <w:szCs w:val="28"/>
        </w:rPr>
        <w:t xml:space="preserve"> – </w:t>
      </w:r>
      <w:r w:rsidRPr="00C93721">
        <w:rPr>
          <w:color w:val="0F1115"/>
          <w:sz w:val="28"/>
          <w:szCs w:val="28"/>
        </w:rPr>
        <w:t>64,4%. Белорусские женщины добились значительных успехов в спорте: например, Дарья Домрачева получила четыре золотые олимпийские медали по биатлону. Также белорусские женщины успешно реализуют себя в искусстве и общественной деятельности.</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t xml:space="preserve">Несмотря на достижения, в современном обществе существует ряд несправедливых ограничений, не позволяющих максимально уменьшить гендерный разрыв. Во-первых, несправедливая оплата труда: по данным </w:t>
      </w:r>
      <w:proofErr w:type="spellStart"/>
      <w:r w:rsidRPr="00C93721">
        <w:rPr>
          <w:color w:val="0F1115"/>
          <w:sz w:val="28"/>
          <w:szCs w:val="28"/>
        </w:rPr>
        <w:t>Белстата</w:t>
      </w:r>
      <w:proofErr w:type="spellEnd"/>
      <w:r w:rsidRPr="00C93721">
        <w:rPr>
          <w:color w:val="0F1115"/>
          <w:sz w:val="28"/>
          <w:szCs w:val="28"/>
        </w:rPr>
        <w:t>, в 2025 году заработная плата женщин в среднем составляла 74,6% от заработной платы мужчин, при этом в отдельных отраслях (промышленность, строительство, транспорт) разница достигает 35–40% [2, с. 78]. Во-вторых, сохраняется горизонтальная и вертикальная сегрегация: женщины преобладают в бюджетных сферах с невысоким уровнем оплаты (образование</w:t>
      </w:r>
      <w:r w:rsidR="00797011">
        <w:rPr>
          <w:color w:val="0F1115"/>
          <w:sz w:val="28"/>
          <w:szCs w:val="28"/>
        </w:rPr>
        <w:t xml:space="preserve"> – </w:t>
      </w:r>
      <w:r w:rsidRPr="00C93721">
        <w:rPr>
          <w:color w:val="0F1115"/>
          <w:sz w:val="28"/>
          <w:szCs w:val="28"/>
        </w:rPr>
        <w:t>82%, здравоохранение</w:t>
      </w:r>
      <w:r w:rsidR="00797011">
        <w:rPr>
          <w:color w:val="0F1115"/>
          <w:sz w:val="28"/>
          <w:szCs w:val="28"/>
        </w:rPr>
        <w:t xml:space="preserve"> –</w:t>
      </w:r>
      <w:r w:rsidR="00797011" w:rsidRPr="00797011">
        <w:rPr>
          <w:color w:val="0F1115"/>
          <w:sz w:val="28"/>
          <w:szCs w:val="28"/>
        </w:rPr>
        <w:t xml:space="preserve"> </w:t>
      </w:r>
      <w:r w:rsidRPr="00C93721">
        <w:rPr>
          <w:color w:val="0F1115"/>
          <w:sz w:val="28"/>
          <w:szCs w:val="28"/>
        </w:rPr>
        <w:t>79%), тогда как в высокодоходных секторах их доля значительно ниже [2, с. 79]. В-третьих, проблема «стеклянного потолка» остается актуальной и для Республики Беларусь: среди руководителей республиканских органов государственного управления женщины составляют лишь около 18%, а в советах директоров крупных компаний</w:t>
      </w:r>
      <w:r w:rsidR="00797011">
        <w:rPr>
          <w:color w:val="0F1115"/>
          <w:sz w:val="28"/>
          <w:szCs w:val="28"/>
        </w:rPr>
        <w:t xml:space="preserve"> – </w:t>
      </w:r>
      <w:r w:rsidRPr="00C93721">
        <w:rPr>
          <w:color w:val="0F1115"/>
          <w:sz w:val="28"/>
          <w:szCs w:val="28"/>
        </w:rPr>
        <w:t>не более 12% [2, с. 115–117]. Особого внимания требует и вопрос совмещения профессиональной карьеры с семейными обязанностями: согласно опросам, 67% белорусских женщин отмечают, что основная нагрузка по уходу за детьми и ведению домашнего хозяйства лежит именно на них, что ограничивает их трудовую мобильность и возможности карьерного роста [3, с. 82].</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t xml:space="preserve">Перспективы расширения роли женщины в белорусском обществе должны быть связаны с комплексной государственной политикой, анонсированной в рамках Года белорусской женщины. Ключевыми направлениями которой являются: дальнейшее развитие системы дошкольных учреждений с целью достижения 100% доступности мест для детей от 1,5 до 3 лет; внедрение гибких форм занятости (удаленная работа, неполный рабочий день, аутсорсинг) через внесение изменений в Трудовой кодекс Республики Беларусь; стимулирование участия отцов в воспитании детей путем увеличения оплачиваемого отпуска по уходу за ребенком для мужчин до 6 месяцев, основываясь на скандинавскую модель, признанную самой эффективной в мире. </w:t>
      </w:r>
      <w:r w:rsidR="006D42EF" w:rsidRPr="00C93721">
        <w:rPr>
          <w:color w:val="0F1115"/>
          <w:sz w:val="28"/>
          <w:szCs w:val="28"/>
          <w:shd w:val="clear" w:color="auto" w:fill="FFFFFF"/>
        </w:rPr>
        <w:t>Также важно понимать, что недостаточно только предоставить права</w:t>
      </w:r>
      <w:r w:rsidR="00797011">
        <w:rPr>
          <w:color w:val="0F1115"/>
          <w:sz w:val="28"/>
          <w:szCs w:val="28"/>
          <w:shd w:val="clear" w:color="auto" w:fill="FFFFFF"/>
        </w:rPr>
        <w:t xml:space="preserve"> – </w:t>
      </w:r>
      <w:r w:rsidR="006D42EF" w:rsidRPr="00C93721">
        <w:rPr>
          <w:color w:val="0F1115"/>
          <w:sz w:val="28"/>
          <w:szCs w:val="28"/>
          <w:shd w:val="clear" w:color="auto" w:fill="FFFFFF"/>
        </w:rPr>
        <w:t xml:space="preserve">необходимо создать механизмы, </w:t>
      </w:r>
      <w:r w:rsidR="006D42EF" w:rsidRPr="00C93721">
        <w:rPr>
          <w:color w:val="0F1115"/>
          <w:sz w:val="28"/>
          <w:szCs w:val="28"/>
          <w:shd w:val="clear" w:color="auto" w:fill="FFFFFF"/>
        </w:rPr>
        <w:lastRenderedPageBreak/>
        <w:t>которые делают использование таких возможностей привлекательным и выполнимым. По заявлению Министерства труда и социальной защиты Республики Беларусь, изменения в Трудовой кодекс, предусматривающие частичную оплату 14-дневного отпуска для отцов (50% за счет государства), находятся в стадии подготовки ко второму чтению [3].</w:t>
      </w:r>
      <w:r w:rsidR="006D42EF" w:rsidRPr="00C93721">
        <w:rPr>
          <w:color w:val="0F1115"/>
          <w:sz w:val="28"/>
          <w:szCs w:val="28"/>
        </w:rPr>
        <w:t xml:space="preserve"> </w:t>
      </w:r>
      <w:r w:rsidRPr="00C93721">
        <w:rPr>
          <w:color w:val="0F1115"/>
          <w:sz w:val="28"/>
          <w:szCs w:val="28"/>
        </w:rPr>
        <w:t>Данные меры входят в республиканский план мероприятий по проведению Года белорусской женщины, утверждённый постановлением Совета Министров № 69 от 7 февраля 2026 г., который включает 61 мероприятие по поддержке женщин и семьи [5]. Одновременно с 2021 года действует инициатива «Компании, дружественные родителям», к которой уже присоединились почти 190 организаций, внедряющих гибкие формы занятости и дополнительные льготы для родителей [2]. Государственная программа «Развитие демографического потенциала» на 2026–2030 годы, утвержденная постановлением Совета Министров от 24 декабря 2025 г. № 765, предусматривает финансирование мер поддержки семьи и отцовства в размере 1,6 млрд рублей. Важным направлением выступает и совершенствование антидискриминационного законодательства: в 2026 году планируется принятие закона о равных правах и равных возможностях мужчин и женщин, который введет механизмы мониторинга гендерного разрыва в оплате труда и квотирования женского представительства в органах власти. Цифровая трансформация экономики также открывает новые возможности: рост платформенной занятости и IT-сектора позволяет женщинам совмещать профессиональную реализацию с семейными обязанностями [4, с. 205].</w:t>
      </w:r>
    </w:p>
    <w:p w:rsidR="00823030" w:rsidRPr="00C93721" w:rsidRDefault="00823030" w:rsidP="00C93721">
      <w:pPr>
        <w:pStyle w:val="ds-markdown-paragraph"/>
        <w:spacing w:before="240" w:beforeAutospacing="0" w:after="240" w:afterAutospacing="0"/>
        <w:ind w:firstLine="567"/>
        <w:jc w:val="both"/>
        <w:rPr>
          <w:color w:val="0F1115"/>
          <w:sz w:val="28"/>
          <w:szCs w:val="28"/>
        </w:rPr>
      </w:pPr>
      <w:r w:rsidRPr="00C93721">
        <w:rPr>
          <w:color w:val="0F1115"/>
          <w:sz w:val="28"/>
          <w:szCs w:val="28"/>
        </w:rPr>
        <w:t>Таким образом, путь женщины в современном обществе</w:t>
      </w:r>
      <w:r w:rsidR="00797011">
        <w:rPr>
          <w:color w:val="0F1115"/>
          <w:sz w:val="28"/>
          <w:szCs w:val="28"/>
        </w:rPr>
        <w:t xml:space="preserve"> – </w:t>
      </w:r>
      <w:r w:rsidRPr="00C93721">
        <w:rPr>
          <w:color w:val="0F1115"/>
          <w:sz w:val="28"/>
          <w:szCs w:val="28"/>
        </w:rPr>
        <w:t>это путь от почти полного бесправия к реальной возможности влиять на развитие экономики, науки и культуры. Белорусские женщины демонстрируют впечатляющие достижения в образовании, медицине, юриспруденции и спорте, однако сохраняющийся гендерный разрыв в оплате труда, «стеклянный потолок» и неравномерное распределение семейных обязанностей требуют активного государственного вмешательства. Перспективы видятся в практической реализации мер Года белорусской женщины: от расширения сети дошкольных учреждений и внедрения гибких форм занятости до стимулирования отцовского отпуска по скандинавской модели и принятия антидискриминационного законодательства. Только комплексный подход, сочетающий законодательные изменения, экономическое стимулирование и преодоление гендерных стереотипов, позволит раскрыть потенциал каждого человека независимо от пола на благо семьи, общества и государства.</w:t>
      </w:r>
    </w:p>
    <w:p w:rsidR="00823030" w:rsidRPr="00C93721" w:rsidRDefault="00823030" w:rsidP="00823030">
      <w:pPr>
        <w:pStyle w:val="ds-markdown-paragraph"/>
        <w:spacing w:before="240" w:beforeAutospacing="0" w:after="240" w:afterAutospacing="0"/>
        <w:rPr>
          <w:color w:val="0F1115"/>
        </w:rPr>
      </w:pPr>
      <w:r w:rsidRPr="00C93721">
        <w:rPr>
          <w:rStyle w:val="ac"/>
          <w:rFonts w:eastAsiaTheme="majorEastAsia"/>
          <w:color w:val="0F1115"/>
        </w:rPr>
        <w:t>Список использованных источников</w:t>
      </w:r>
    </w:p>
    <w:p w:rsidR="00823030" w:rsidRPr="00C93721" w:rsidRDefault="00823030" w:rsidP="00823030">
      <w:pPr>
        <w:pStyle w:val="ds-markdown-paragraph"/>
        <w:numPr>
          <w:ilvl w:val="0"/>
          <w:numId w:val="3"/>
        </w:numPr>
        <w:spacing w:before="0" w:beforeAutospacing="0" w:after="0" w:afterAutospacing="0"/>
        <w:rPr>
          <w:color w:val="0F1115"/>
        </w:rPr>
      </w:pPr>
      <w:r w:rsidRPr="00C93721">
        <w:rPr>
          <w:color w:val="0F1115"/>
        </w:rPr>
        <w:t>Климович, Е. В. Женщины в истории Беларуси: социально-политический аспект / Е. В. Климович.</w:t>
      </w:r>
      <w:r w:rsidR="00797011">
        <w:rPr>
          <w:color w:val="0F1115"/>
        </w:rPr>
        <w:t xml:space="preserve"> – </w:t>
      </w:r>
      <w:r w:rsidR="00797011" w:rsidRPr="00C93721">
        <w:rPr>
          <w:color w:val="0F1115"/>
        </w:rPr>
        <w:t>Минск:</w:t>
      </w:r>
      <w:r w:rsidRPr="00C93721">
        <w:rPr>
          <w:color w:val="0F1115"/>
        </w:rPr>
        <w:t xml:space="preserve"> Беларуская </w:t>
      </w:r>
      <w:proofErr w:type="spellStart"/>
      <w:r w:rsidRPr="00C93721">
        <w:rPr>
          <w:color w:val="0F1115"/>
        </w:rPr>
        <w:t>навука</w:t>
      </w:r>
      <w:proofErr w:type="spellEnd"/>
      <w:r w:rsidRPr="00C93721">
        <w:rPr>
          <w:color w:val="0F1115"/>
        </w:rPr>
        <w:t>, 2023.</w:t>
      </w:r>
      <w:r w:rsidR="00797011">
        <w:rPr>
          <w:color w:val="0F1115"/>
        </w:rPr>
        <w:t xml:space="preserve"> – </w:t>
      </w:r>
      <w:r w:rsidRPr="00C93721">
        <w:rPr>
          <w:color w:val="0F1115"/>
        </w:rPr>
        <w:t>287 с.</w:t>
      </w:r>
    </w:p>
    <w:p w:rsidR="00823030" w:rsidRPr="00C93721" w:rsidRDefault="00823030" w:rsidP="00823030">
      <w:pPr>
        <w:pStyle w:val="ds-markdown-paragraph"/>
        <w:numPr>
          <w:ilvl w:val="0"/>
          <w:numId w:val="3"/>
        </w:numPr>
        <w:spacing w:before="0" w:beforeAutospacing="0" w:after="0" w:afterAutospacing="0"/>
        <w:rPr>
          <w:color w:val="0F1115"/>
        </w:rPr>
      </w:pPr>
      <w:r w:rsidRPr="00C93721">
        <w:rPr>
          <w:color w:val="0F1115"/>
        </w:rPr>
        <w:t xml:space="preserve">Гендерная статистика Республики </w:t>
      </w:r>
      <w:r w:rsidR="00797011" w:rsidRPr="00C93721">
        <w:rPr>
          <w:color w:val="0F1115"/>
        </w:rPr>
        <w:t>Беларусь:</w:t>
      </w:r>
      <w:r w:rsidRPr="00C93721">
        <w:rPr>
          <w:color w:val="0F1115"/>
        </w:rPr>
        <w:t xml:space="preserve"> статистический сборник / Нац. стат. комитет </w:t>
      </w:r>
      <w:proofErr w:type="spellStart"/>
      <w:r w:rsidRPr="00C93721">
        <w:rPr>
          <w:color w:val="0F1115"/>
        </w:rPr>
        <w:t>Респ</w:t>
      </w:r>
      <w:proofErr w:type="spellEnd"/>
      <w:r w:rsidRPr="00C93721">
        <w:rPr>
          <w:color w:val="0F1115"/>
        </w:rPr>
        <w:t>. Беларусь.</w:t>
      </w:r>
      <w:r w:rsidR="00797011">
        <w:rPr>
          <w:color w:val="0F1115"/>
        </w:rPr>
        <w:t xml:space="preserve"> – </w:t>
      </w:r>
      <w:r w:rsidR="00797011" w:rsidRPr="00C93721">
        <w:rPr>
          <w:color w:val="0F1115"/>
        </w:rPr>
        <w:t>Минск:</w:t>
      </w:r>
      <w:r w:rsidRPr="00C93721">
        <w:rPr>
          <w:color w:val="0F1115"/>
        </w:rPr>
        <w:t xml:space="preserve"> </w:t>
      </w:r>
      <w:proofErr w:type="spellStart"/>
      <w:r w:rsidRPr="00C93721">
        <w:rPr>
          <w:color w:val="0F1115"/>
        </w:rPr>
        <w:t>Белстат</w:t>
      </w:r>
      <w:proofErr w:type="spellEnd"/>
      <w:r w:rsidRPr="00C93721">
        <w:rPr>
          <w:color w:val="0F1115"/>
        </w:rPr>
        <w:t>, 2025.</w:t>
      </w:r>
      <w:r w:rsidR="00797011">
        <w:rPr>
          <w:color w:val="0F1115"/>
        </w:rPr>
        <w:t xml:space="preserve"> – </w:t>
      </w:r>
      <w:r w:rsidRPr="00C93721">
        <w:rPr>
          <w:color w:val="0F1115"/>
        </w:rPr>
        <w:t>156 с.</w:t>
      </w:r>
    </w:p>
    <w:p w:rsidR="00823030" w:rsidRPr="00C93721" w:rsidRDefault="00823030" w:rsidP="00823030">
      <w:pPr>
        <w:pStyle w:val="ds-markdown-paragraph"/>
        <w:numPr>
          <w:ilvl w:val="0"/>
          <w:numId w:val="3"/>
        </w:numPr>
        <w:spacing w:before="0" w:beforeAutospacing="0" w:after="0" w:afterAutospacing="0"/>
        <w:rPr>
          <w:color w:val="0F1115"/>
        </w:rPr>
      </w:pPr>
      <w:r w:rsidRPr="00C93721">
        <w:rPr>
          <w:color w:val="0F1115"/>
        </w:rPr>
        <w:t>Савицкая, О. В. Гендерное неравенство на рынке труда: экономические и социальные последствия / О. В. Савицкая // Журнал социологии и гендерных исследований.</w:t>
      </w:r>
      <w:r w:rsidR="00797011">
        <w:rPr>
          <w:color w:val="0F1115"/>
        </w:rPr>
        <w:t xml:space="preserve"> – </w:t>
      </w:r>
      <w:r w:rsidRPr="00C93721">
        <w:rPr>
          <w:color w:val="0F1115"/>
        </w:rPr>
        <w:t>2024.</w:t>
      </w:r>
      <w:r w:rsidR="00797011">
        <w:rPr>
          <w:color w:val="0F1115"/>
        </w:rPr>
        <w:t xml:space="preserve"> – </w:t>
      </w:r>
      <w:r w:rsidRPr="00C93721">
        <w:rPr>
          <w:color w:val="0F1115"/>
        </w:rPr>
        <w:t>№ 2.</w:t>
      </w:r>
      <w:r w:rsidR="00797011">
        <w:rPr>
          <w:color w:val="0F1115"/>
        </w:rPr>
        <w:t xml:space="preserve"> – </w:t>
      </w:r>
      <w:r w:rsidRPr="00C93721">
        <w:rPr>
          <w:color w:val="0F1115"/>
        </w:rPr>
        <w:t>С. 74–89.</w:t>
      </w:r>
    </w:p>
    <w:p w:rsidR="00797011" w:rsidRPr="00797011" w:rsidRDefault="00823030" w:rsidP="00797011">
      <w:pPr>
        <w:pStyle w:val="ds-markdown-paragraph"/>
        <w:numPr>
          <w:ilvl w:val="0"/>
          <w:numId w:val="3"/>
        </w:numPr>
        <w:spacing w:before="0" w:beforeAutospacing="0" w:after="0" w:afterAutospacing="0"/>
        <w:rPr>
          <w:color w:val="0F1115"/>
        </w:rPr>
      </w:pPr>
      <w:r w:rsidRPr="00C93721">
        <w:rPr>
          <w:color w:val="0F1115"/>
        </w:rPr>
        <w:lastRenderedPageBreak/>
        <w:t>Тихонова, А. Л. Цифровая экономика и новые возможности для женского предпринимательства / А. Л. Тихонова // Современные проблемы экономики и управления.</w:t>
      </w:r>
      <w:r w:rsidR="00797011">
        <w:rPr>
          <w:color w:val="0F1115"/>
        </w:rPr>
        <w:t xml:space="preserve"> – </w:t>
      </w:r>
      <w:r w:rsidRPr="00C93721">
        <w:rPr>
          <w:color w:val="0F1115"/>
        </w:rPr>
        <w:t>2025.</w:t>
      </w:r>
      <w:r w:rsidR="00797011">
        <w:rPr>
          <w:color w:val="0F1115"/>
        </w:rPr>
        <w:t xml:space="preserve"> – </w:t>
      </w:r>
      <w:r w:rsidRPr="00C93721">
        <w:rPr>
          <w:color w:val="0F1115"/>
        </w:rPr>
        <w:t>№ 1.</w:t>
      </w:r>
      <w:r w:rsidR="00797011">
        <w:rPr>
          <w:color w:val="0F1115"/>
        </w:rPr>
        <w:t xml:space="preserve"> – </w:t>
      </w:r>
      <w:r w:rsidRPr="00C93721">
        <w:rPr>
          <w:color w:val="0F1115"/>
        </w:rPr>
        <w:t>С. 198–211.</w:t>
      </w:r>
    </w:p>
    <w:p w:rsidR="00B465BC" w:rsidRPr="00797011" w:rsidRDefault="00823030" w:rsidP="00797011">
      <w:pPr>
        <w:pStyle w:val="ds-markdown-paragraph"/>
        <w:numPr>
          <w:ilvl w:val="0"/>
          <w:numId w:val="3"/>
        </w:numPr>
        <w:spacing w:before="0" w:beforeAutospacing="0" w:after="0" w:afterAutospacing="0"/>
        <w:rPr>
          <w:color w:val="0F1115"/>
        </w:rPr>
      </w:pPr>
      <w:r w:rsidRPr="00797011">
        <w:rPr>
          <w:color w:val="0F1115"/>
        </w:rPr>
        <w:t xml:space="preserve">Постановление Совета Министров Республики Беларусь от 7 февраля 2026 г. № 69 «Об утверждении республиканского плана мероприятий по проведению Года белорусской женщины» </w:t>
      </w:r>
    </w:p>
    <w:sectPr w:rsidR="00B465BC" w:rsidRPr="00797011" w:rsidSect="00797011">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420"/>
    <w:multiLevelType w:val="multilevel"/>
    <w:tmpl w:val="8594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B7675"/>
    <w:multiLevelType w:val="multilevel"/>
    <w:tmpl w:val="8E76CB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33063C0"/>
    <w:multiLevelType w:val="multilevel"/>
    <w:tmpl w:val="29CC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4186174">
    <w:abstractNumId w:val="0"/>
  </w:num>
  <w:num w:numId="2" w16cid:durableId="1040471794">
    <w:abstractNumId w:val="2"/>
  </w:num>
  <w:num w:numId="3" w16cid:durableId="829637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60"/>
    <w:rsid w:val="000B789E"/>
    <w:rsid w:val="000F4EFB"/>
    <w:rsid w:val="00202220"/>
    <w:rsid w:val="00292117"/>
    <w:rsid w:val="002B7334"/>
    <w:rsid w:val="003A4230"/>
    <w:rsid w:val="003C6C60"/>
    <w:rsid w:val="003D1F0B"/>
    <w:rsid w:val="004145A9"/>
    <w:rsid w:val="00441F3C"/>
    <w:rsid w:val="004F7FE8"/>
    <w:rsid w:val="00527679"/>
    <w:rsid w:val="0064044E"/>
    <w:rsid w:val="00692273"/>
    <w:rsid w:val="006D42EF"/>
    <w:rsid w:val="006D60F8"/>
    <w:rsid w:val="00714A0A"/>
    <w:rsid w:val="00797011"/>
    <w:rsid w:val="007D745D"/>
    <w:rsid w:val="008015E7"/>
    <w:rsid w:val="00823030"/>
    <w:rsid w:val="00836AC9"/>
    <w:rsid w:val="0089648A"/>
    <w:rsid w:val="008F1CF4"/>
    <w:rsid w:val="0097569C"/>
    <w:rsid w:val="00A10394"/>
    <w:rsid w:val="00A5763C"/>
    <w:rsid w:val="00B20F00"/>
    <w:rsid w:val="00B465BC"/>
    <w:rsid w:val="00B47EAA"/>
    <w:rsid w:val="00B60863"/>
    <w:rsid w:val="00BE1BE3"/>
    <w:rsid w:val="00C93721"/>
    <w:rsid w:val="00D80A45"/>
    <w:rsid w:val="00DC632E"/>
    <w:rsid w:val="00E147E3"/>
    <w:rsid w:val="00E64D11"/>
    <w:rsid w:val="00E74B48"/>
    <w:rsid w:val="00ED5233"/>
    <w:rsid w:val="00EF2BE4"/>
    <w:rsid w:val="00F01D81"/>
    <w:rsid w:val="00F30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67A7AD-5354-7945-9038-FC35F495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334"/>
    <w:pPr>
      <w:spacing w:after="160" w:line="259" w:lineRule="auto"/>
    </w:pPr>
    <w:rPr>
      <w:rFonts w:ascii="Times New Roman" w:hAnsi="Times New Roman"/>
      <w:kern w:val="0"/>
      <w:sz w:val="28"/>
      <w:szCs w:val="22"/>
      <w14:ligatures w14:val="none"/>
    </w:rPr>
  </w:style>
  <w:style w:type="paragraph" w:styleId="1">
    <w:name w:val="heading 1"/>
    <w:basedOn w:val="a"/>
    <w:next w:val="a"/>
    <w:link w:val="10"/>
    <w:uiPriority w:val="9"/>
    <w:qFormat/>
    <w:rsid w:val="003C6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C6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C6C6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3C6C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3C6C60"/>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3C6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C6C6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C6C6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C6C6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6C60"/>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3C6C60"/>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3C6C60"/>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3C6C60"/>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3C6C60"/>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3C6C60"/>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3C6C60"/>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3C6C60"/>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3C6C60"/>
    <w:rPr>
      <w:rFonts w:eastAsiaTheme="majorEastAsia" w:cstheme="majorBidi"/>
      <w:color w:val="272727" w:themeColor="text1" w:themeTint="D8"/>
      <w:kern w:val="0"/>
      <w:sz w:val="28"/>
      <w:szCs w:val="22"/>
      <w14:ligatures w14:val="none"/>
    </w:rPr>
  </w:style>
  <w:style w:type="paragraph" w:styleId="a3">
    <w:name w:val="Title"/>
    <w:basedOn w:val="a"/>
    <w:next w:val="a"/>
    <w:link w:val="a4"/>
    <w:uiPriority w:val="10"/>
    <w:qFormat/>
    <w:rsid w:val="003C6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6C60"/>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3C6C6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C6C60"/>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3C6C60"/>
    <w:pPr>
      <w:spacing w:before="160"/>
      <w:jc w:val="center"/>
    </w:pPr>
    <w:rPr>
      <w:i/>
      <w:iCs/>
      <w:color w:val="404040" w:themeColor="text1" w:themeTint="BF"/>
    </w:rPr>
  </w:style>
  <w:style w:type="character" w:customStyle="1" w:styleId="22">
    <w:name w:val="Цитата 2 Знак"/>
    <w:basedOn w:val="a0"/>
    <w:link w:val="21"/>
    <w:uiPriority w:val="29"/>
    <w:rsid w:val="003C6C60"/>
    <w:rPr>
      <w:rFonts w:ascii="Times New Roman" w:hAnsi="Times New Roman"/>
      <w:i/>
      <w:iCs/>
      <w:color w:val="404040" w:themeColor="text1" w:themeTint="BF"/>
      <w:kern w:val="0"/>
      <w:sz w:val="28"/>
      <w:szCs w:val="22"/>
      <w14:ligatures w14:val="none"/>
    </w:rPr>
  </w:style>
  <w:style w:type="paragraph" w:styleId="a7">
    <w:name w:val="List Paragraph"/>
    <w:basedOn w:val="a"/>
    <w:uiPriority w:val="34"/>
    <w:qFormat/>
    <w:rsid w:val="003C6C60"/>
    <w:pPr>
      <w:ind w:left="720"/>
      <w:contextualSpacing/>
    </w:pPr>
  </w:style>
  <w:style w:type="character" w:styleId="a8">
    <w:name w:val="Intense Emphasis"/>
    <w:basedOn w:val="a0"/>
    <w:uiPriority w:val="21"/>
    <w:qFormat/>
    <w:rsid w:val="003C6C60"/>
    <w:rPr>
      <w:i/>
      <w:iCs/>
      <w:color w:val="2F5496" w:themeColor="accent1" w:themeShade="BF"/>
    </w:rPr>
  </w:style>
  <w:style w:type="paragraph" w:styleId="a9">
    <w:name w:val="Intense Quote"/>
    <w:basedOn w:val="a"/>
    <w:next w:val="a"/>
    <w:link w:val="aa"/>
    <w:uiPriority w:val="30"/>
    <w:qFormat/>
    <w:rsid w:val="003C6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C6C60"/>
    <w:rPr>
      <w:rFonts w:ascii="Times New Roman" w:hAnsi="Times New Roman"/>
      <w:i/>
      <w:iCs/>
      <w:color w:val="2F5496" w:themeColor="accent1" w:themeShade="BF"/>
      <w:kern w:val="0"/>
      <w:sz w:val="28"/>
      <w:szCs w:val="22"/>
      <w14:ligatures w14:val="none"/>
    </w:rPr>
  </w:style>
  <w:style w:type="character" w:styleId="ab">
    <w:name w:val="Intense Reference"/>
    <w:basedOn w:val="a0"/>
    <w:uiPriority w:val="32"/>
    <w:qFormat/>
    <w:rsid w:val="003C6C60"/>
    <w:rPr>
      <w:b/>
      <w:bCs/>
      <w:smallCaps/>
      <w:color w:val="2F5496" w:themeColor="accent1" w:themeShade="BF"/>
      <w:spacing w:val="5"/>
    </w:rPr>
  </w:style>
  <w:style w:type="paragraph" w:customStyle="1" w:styleId="ds-markdown-paragraph">
    <w:name w:val="ds-markdown-paragraph"/>
    <w:basedOn w:val="a"/>
    <w:rsid w:val="003C6C60"/>
    <w:pPr>
      <w:spacing w:before="100" w:beforeAutospacing="1" w:after="100" w:afterAutospacing="1" w:line="240" w:lineRule="auto"/>
    </w:pPr>
    <w:rPr>
      <w:rFonts w:eastAsia="Times New Roman" w:cs="Times New Roman"/>
      <w:sz w:val="24"/>
      <w:szCs w:val="24"/>
      <w:lang w:eastAsia="ru-RU"/>
    </w:rPr>
  </w:style>
  <w:style w:type="character" w:styleId="ac">
    <w:name w:val="Strong"/>
    <w:basedOn w:val="a0"/>
    <w:uiPriority w:val="22"/>
    <w:qFormat/>
    <w:rsid w:val="003C6C60"/>
    <w:rPr>
      <w:b/>
      <w:bCs/>
    </w:rPr>
  </w:style>
  <w:style w:type="character" w:styleId="ad">
    <w:name w:val="Emphasis"/>
    <w:basedOn w:val="a0"/>
    <w:uiPriority w:val="20"/>
    <w:qFormat/>
    <w:rsid w:val="003C6C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6A3B6-B3CB-9E4F-933A-8D6FFB04D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1344</Words>
  <Characters>7661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Шишин</dc:creator>
  <cp:keywords/>
  <dc:description/>
  <cp:lastModifiedBy>Захар Шишин</cp:lastModifiedBy>
  <cp:revision>2</cp:revision>
  <dcterms:created xsi:type="dcterms:W3CDTF">2026-04-27T08:52:00Z</dcterms:created>
  <dcterms:modified xsi:type="dcterms:W3CDTF">2026-04-27T08:52:00Z</dcterms:modified>
</cp:coreProperties>
</file>