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D84D" w14:textId="77777777" w:rsidR="002403C4" w:rsidRDefault="002403C4">
      <w:pPr>
        <w:pStyle w:val="BodyTextFirstPagePara"/>
        <w:pBdr>
          <w:bottom w:val="single" w:sz="4" w:space="0" w:color="auto"/>
        </w:pBdr>
        <w:jc w:val="center"/>
        <w:rPr>
          <w:rFonts w:ascii="Times New Roman" w:hAnsi="Times New Roman"/>
          <w:b/>
          <w:sz w:val="12"/>
        </w:rPr>
      </w:pPr>
      <w:r>
        <w:rPr>
          <w:rFonts w:ascii="Times New Roman" w:hAnsi="Times New Roman"/>
          <w:b/>
          <w:sz w:val="28"/>
        </w:rPr>
        <w:t>Quentin Chu</w:t>
      </w:r>
      <w:r>
        <w:rPr>
          <w:rFonts w:ascii="Times New Roman" w:hAnsi="Times New Roman"/>
          <w:b/>
          <w:sz w:val="28"/>
        </w:rPr>
        <w:br/>
      </w:r>
    </w:p>
    <w:p w14:paraId="2579C14A" w14:textId="656CC357" w:rsidR="002403C4" w:rsidRDefault="00F57A64">
      <w:pPr>
        <w:pStyle w:val="BodyText"/>
        <w:spacing w:before="6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200 Hicks</w:t>
      </w:r>
      <w:r w:rsidR="00AA74D7">
        <w:rPr>
          <w:rFonts w:ascii="Times New Roman" w:hAnsi="Times New Roman"/>
          <w:i/>
          <w:sz w:val="20"/>
        </w:rPr>
        <w:t xml:space="preserve"> St., Apt </w:t>
      </w:r>
      <w:r>
        <w:rPr>
          <w:rFonts w:ascii="Times New Roman" w:hAnsi="Times New Roman"/>
          <w:i/>
          <w:sz w:val="20"/>
        </w:rPr>
        <w:t xml:space="preserve">8S </w:t>
      </w:r>
      <w:r w:rsidR="00AA74D7">
        <w:rPr>
          <w:rFonts w:ascii="Times New Roman" w:hAnsi="Times New Roman"/>
          <w:i/>
          <w:sz w:val="20"/>
        </w:rPr>
        <w:t xml:space="preserve">• </w:t>
      </w:r>
      <w:r>
        <w:rPr>
          <w:rFonts w:ascii="Times New Roman" w:hAnsi="Times New Roman"/>
          <w:i/>
          <w:sz w:val="20"/>
        </w:rPr>
        <w:t>Brooklyn</w:t>
      </w:r>
      <w:r w:rsidR="00AA74D7">
        <w:rPr>
          <w:rFonts w:ascii="Times New Roman" w:hAnsi="Times New Roman"/>
          <w:i/>
          <w:sz w:val="20"/>
        </w:rPr>
        <w:t xml:space="preserve">, NY </w:t>
      </w:r>
      <w:r>
        <w:rPr>
          <w:rFonts w:ascii="Times New Roman" w:hAnsi="Times New Roman"/>
          <w:i/>
          <w:sz w:val="20"/>
        </w:rPr>
        <w:t>11201</w:t>
      </w:r>
      <w:r w:rsidR="002403C4">
        <w:rPr>
          <w:rFonts w:ascii="Times New Roman" w:hAnsi="Times New Roman"/>
          <w:i/>
          <w:sz w:val="20"/>
        </w:rPr>
        <w:t xml:space="preserve"> • Telephone: (646) 258-2999 • Email: </w:t>
      </w:r>
      <w:r w:rsidR="00AA74D7">
        <w:rPr>
          <w:rFonts w:ascii="Times New Roman" w:hAnsi="Times New Roman"/>
          <w:i/>
          <w:sz w:val="20"/>
        </w:rPr>
        <w:t>quentin.chu@gmail.com</w:t>
      </w:r>
    </w:p>
    <w:p w14:paraId="4AF8FA04" w14:textId="77777777" w:rsidR="002403C4" w:rsidRPr="00E240D0" w:rsidRDefault="002403C4">
      <w:pPr>
        <w:pStyle w:val="BodyText"/>
        <w:spacing w:before="0"/>
        <w:rPr>
          <w:rFonts w:ascii="Times New Roman" w:hAnsi="Times New Roman"/>
          <w:sz w:val="20"/>
        </w:rPr>
      </w:pPr>
    </w:p>
    <w:p w14:paraId="4C9C45E4" w14:textId="14346F00" w:rsidR="00F62A88" w:rsidRDefault="00F62A88" w:rsidP="00F62A8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Education</w:t>
      </w:r>
      <w:r>
        <w:rPr>
          <w:rFonts w:ascii="Times New Roman" w:hAnsi="Times New Roman"/>
          <w:b/>
          <w:sz w:val="20"/>
        </w:rPr>
        <w:tab/>
        <w:t>COLUMBIA UNIVERSITY</w:t>
      </w:r>
      <w:r>
        <w:rPr>
          <w:rFonts w:ascii="Times New Roman" w:hAnsi="Times New Roman"/>
          <w:b/>
          <w:sz w:val="20"/>
        </w:rPr>
        <w:tab/>
        <w:t>New York, NY</w:t>
      </w:r>
    </w:p>
    <w:p w14:paraId="22321EE3" w14:textId="30B81B57" w:rsidR="00F62A88" w:rsidRDefault="00F62A88" w:rsidP="004739BC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2022 – </w:t>
      </w:r>
      <w:r w:rsidR="004739BC">
        <w:rPr>
          <w:rFonts w:ascii="Times New Roman" w:hAnsi="Times New Roman"/>
          <w:bCs/>
          <w:sz w:val="20"/>
        </w:rPr>
        <w:t>2024</w:t>
      </w:r>
      <w:r>
        <w:rPr>
          <w:rFonts w:ascii="Times New Roman" w:hAnsi="Times New Roman"/>
          <w:bCs/>
          <w:sz w:val="20"/>
        </w:rPr>
        <w:tab/>
        <w:t>Master of Science, Computer Science</w:t>
      </w:r>
      <w:r w:rsidR="003B5B60">
        <w:rPr>
          <w:rFonts w:ascii="Times New Roman" w:hAnsi="Times New Roman"/>
          <w:bCs/>
          <w:sz w:val="20"/>
        </w:rPr>
        <w:t xml:space="preserve">. </w:t>
      </w:r>
      <w:r w:rsidR="00831205">
        <w:rPr>
          <w:rFonts w:ascii="Times New Roman" w:hAnsi="Times New Roman"/>
          <w:bCs/>
          <w:sz w:val="20"/>
        </w:rPr>
        <w:t xml:space="preserve"> </w:t>
      </w:r>
      <w:r w:rsidR="003B5B60">
        <w:rPr>
          <w:rFonts w:ascii="Times New Roman" w:hAnsi="Times New Roman"/>
          <w:bCs/>
          <w:sz w:val="20"/>
        </w:rPr>
        <w:t>GPA: 4.0</w:t>
      </w:r>
    </w:p>
    <w:p w14:paraId="77D7A2E2" w14:textId="2D926C76" w:rsidR="00F62A88" w:rsidRPr="00F62A88" w:rsidRDefault="004739BC" w:rsidP="00F62A8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 w:rsidR="003B5B60">
        <w:rPr>
          <w:rFonts w:ascii="Times New Roman" w:hAnsi="Times New Roman"/>
          <w:bCs/>
          <w:sz w:val="20"/>
        </w:rPr>
        <w:t xml:space="preserve">Concentration in </w:t>
      </w:r>
      <w:r>
        <w:rPr>
          <w:rFonts w:ascii="Times New Roman" w:hAnsi="Times New Roman"/>
          <w:bCs/>
          <w:sz w:val="20"/>
        </w:rPr>
        <w:t>Machine Learnin</w:t>
      </w:r>
      <w:r w:rsidR="003B5B60">
        <w:rPr>
          <w:rFonts w:ascii="Times New Roman" w:hAnsi="Times New Roman"/>
          <w:bCs/>
          <w:sz w:val="20"/>
        </w:rPr>
        <w:t>g</w:t>
      </w:r>
      <w:r>
        <w:rPr>
          <w:rFonts w:ascii="Times New Roman" w:hAnsi="Times New Roman"/>
          <w:bCs/>
          <w:sz w:val="20"/>
        </w:rPr>
        <w:t xml:space="preserve">. </w:t>
      </w:r>
      <w:r w:rsidR="00831205">
        <w:rPr>
          <w:rFonts w:ascii="Times New Roman" w:hAnsi="Times New Roman"/>
          <w:bCs/>
          <w:sz w:val="20"/>
        </w:rPr>
        <w:t xml:space="preserve"> </w:t>
      </w:r>
      <w:r w:rsidR="00F62A88">
        <w:rPr>
          <w:rFonts w:ascii="Times New Roman" w:hAnsi="Times New Roman"/>
          <w:bCs/>
          <w:sz w:val="20"/>
        </w:rPr>
        <w:t xml:space="preserve">Coursework includes </w:t>
      </w:r>
      <w:r w:rsidR="00F62A88">
        <w:rPr>
          <w:rFonts w:ascii="Times New Roman" w:hAnsi="Times New Roman"/>
          <w:bCs/>
          <w:i/>
          <w:iCs/>
          <w:sz w:val="20"/>
        </w:rPr>
        <w:t>Probabilistic Models &amp; Machine Learning</w:t>
      </w:r>
      <w:r w:rsidR="00F62A88" w:rsidRPr="007D5335">
        <w:rPr>
          <w:rFonts w:ascii="Times New Roman" w:hAnsi="Times New Roman"/>
          <w:bCs/>
          <w:sz w:val="20"/>
        </w:rPr>
        <w:t>,</w:t>
      </w:r>
      <w:r w:rsidR="00F62A88">
        <w:rPr>
          <w:rFonts w:ascii="Times New Roman" w:hAnsi="Times New Roman"/>
          <w:bCs/>
          <w:i/>
          <w:iCs/>
          <w:sz w:val="20"/>
        </w:rPr>
        <w:t xml:space="preserve"> Neural Networks Deep Learning</w:t>
      </w:r>
      <w:r w:rsidR="00F62A88" w:rsidRPr="007D5335">
        <w:rPr>
          <w:rFonts w:ascii="Times New Roman" w:hAnsi="Times New Roman"/>
          <w:bCs/>
          <w:sz w:val="20"/>
        </w:rPr>
        <w:t>,</w:t>
      </w:r>
      <w:r w:rsidR="00F62A88">
        <w:rPr>
          <w:rFonts w:ascii="Times New Roman" w:hAnsi="Times New Roman"/>
          <w:bCs/>
          <w:i/>
          <w:iCs/>
          <w:sz w:val="20"/>
        </w:rPr>
        <w:t xml:space="preserve"> </w:t>
      </w:r>
      <w:r w:rsidR="008774A7">
        <w:rPr>
          <w:rFonts w:ascii="Times New Roman" w:hAnsi="Times New Roman"/>
          <w:bCs/>
          <w:i/>
          <w:iCs/>
          <w:sz w:val="20"/>
        </w:rPr>
        <w:t xml:space="preserve">Causal </w:t>
      </w:r>
      <w:r w:rsidR="003B5B60">
        <w:rPr>
          <w:rFonts w:ascii="Times New Roman" w:hAnsi="Times New Roman"/>
          <w:bCs/>
          <w:i/>
          <w:iCs/>
          <w:sz w:val="20"/>
        </w:rPr>
        <w:t xml:space="preserve">Machine Learning, </w:t>
      </w:r>
      <w:r w:rsidR="00FD30B8">
        <w:rPr>
          <w:rFonts w:ascii="Times New Roman" w:hAnsi="Times New Roman"/>
          <w:bCs/>
          <w:i/>
          <w:iCs/>
          <w:sz w:val="20"/>
        </w:rPr>
        <w:t xml:space="preserve">Advanced Algorithms, </w:t>
      </w:r>
      <w:r w:rsidR="00567D1E">
        <w:rPr>
          <w:rFonts w:ascii="Times New Roman" w:hAnsi="Times New Roman"/>
          <w:bCs/>
          <w:i/>
          <w:iCs/>
          <w:sz w:val="20"/>
        </w:rPr>
        <w:t>N</w:t>
      </w:r>
      <w:r w:rsidR="008774A7">
        <w:rPr>
          <w:rFonts w:ascii="Times New Roman" w:hAnsi="Times New Roman"/>
          <w:bCs/>
          <w:i/>
          <w:iCs/>
          <w:sz w:val="20"/>
        </w:rPr>
        <w:t xml:space="preserve">atural </w:t>
      </w:r>
      <w:r w:rsidR="00567D1E">
        <w:rPr>
          <w:rFonts w:ascii="Times New Roman" w:hAnsi="Times New Roman"/>
          <w:bCs/>
          <w:i/>
          <w:iCs/>
          <w:sz w:val="20"/>
        </w:rPr>
        <w:t>L</w:t>
      </w:r>
      <w:r w:rsidR="008774A7">
        <w:rPr>
          <w:rFonts w:ascii="Times New Roman" w:hAnsi="Times New Roman"/>
          <w:bCs/>
          <w:i/>
          <w:iCs/>
          <w:sz w:val="20"/>
        </w:rPr>
        <w:t xml:space="preserve">anguage </w:t>
      </w:r>
      <w:r w:rsidR="00567D1E">
        <w:rPr>
          <w:rFonts w:ascii="Times New Roman" w:hAnsi="Times New Roman"/>
          <w:bCs/>
          <w:i/>
          <w:iCs/>
          <w:sz w:val="20"/>
        </w:rPr>
        <w:t>P</w:t>
      </w:r>
      <w:r w:rsidR="008774A7">
        <w:rPr>
          <w:rFonts w:ascii="Times New Roman" w:hAnsi="Times New Roman"/>
          <w:bCs/>
          <w:i/>
          <w:iCs/>
          <w:sz w:val="20"/>
        </w:rPr>
        <w:t>rocessing</w:t>
      </w:r>
      <w:r w:rsidR="00F62A88" w:rsidRPr="007D5335">
        <w:rPr>
          <w:rFonts w:ascii="Times New Roman" w:hAnsi="Times New Roman"/>
          <w:bCs/>
          <w:sz w:val="20"/>
        </w:rPr>
        <w:t>,</w:t>
      </w:r>
      <w:r w:rsidR="00F62A88">
        <w:rPr>
          <w:rFonts w:ascii="Times New Roman" w:hAnsi="Times New Roman"/>
          <w:bCs/>
          <w:i/>
          <w:iCs/>
          <w:sz w:val="20"/>
        </w:rPr>
        <w:t xml:space="preserve"> Computer Vision</w:t>
      </w:r>
      <w:r w:rsidR="00F62A88">
        <w:rPr>
          <w:rFonts w:ascii="Times New Roman" w:hAnsi="Times New Roman"/>
          <w:bCs/>
          <w:sz w:val="20"/>
        </w:rPr>
        <w:t xml:space="preserve">.  </w:t>
      </w:r>
      <w:r w:rsidR="00FD30B8">
        <w:rPr>
          <w:rFonts w:ascii="Times New Roman" w:hAnsi="Times New Roman"/>
          <w:bCs/>
          <w:sz w:val="20"/>
        </w:rPr>
        <w:t xml:space="preserve">Head </w:t>
      </w:r>
      <w:r w:rsidR="00F62A88">
        <w:rPr>
          <w:rFonts w:ascii="Times New Roman" w:hAnsi="Times New Roman"/>
          <w:bCs/>
          <w:sz w:val="20"/>
        </w:rPr>
        <w:t xml:space="preserve">Teaching Assistant for COMS 4771 </w:t>
      </w:r>
      <w:r w:rsidR="00F62A88">
        <w:rPr>
          <w:rFonts w:ascii="Times New Roman" w:hAnsi="Times New Roman"/>
          <w:bCs/>
          <w:i/>
          <w:iCs/>
          <w:sz w:val="20"/>
        </w:rPr>
        <w:t>Machine Learning</w:t>
      </w:r>
      <w:r w:rsidR="00F62A88">
        <w:rPr>
          <w:rFonts w:ascii="Times New Roman" w:hAnsi="Times New Roman"/>
          <w:bCs/>
          <w:sz w:val="20"/>
        </w:rPr>
        <w:t xml:space="preserve"> (Fall 2023</w:t>
      </w:r>
      <w:r w:rsidR="00FD30B8">
        <w:rPr>
          <w:rFonts w:ascii="Times New Roman" w:hAnsi="Times New Roman"/>
          <w:bCs/>
          <w:sz w:val="20"/>
        </w:rPr>
        <w:t>, Prof. Daniel Hsu</w:t>
      </w:r>
      <w:r w:rsidR="00F62A88">
        <w:rPr>
          <w:rFonts w:ascii="Times New Roman" w:hAnsi="Times New Roman"/>
          <w:bCs/>
          <w:sz w:val="20"/>
        </w:rPr>
        <w:t>)</w:t>
      </w:r>
    </w:p>
    <w:p w14:paraId="2690AFB0" w14:textId="77777777" w:rsidR="00F62A88" w:rsidRDefault="00F62A88" w:rsidP="00F62A8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</w:p>
    <w:p w14:paraId="17B0C8E2" w14:textId="77777777" w:rsidR="00F62A88" w:rsidRDefault="00F62A88" w:rsidP="00F62A8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2003 – 2005</w:t>
      </w:r>
      <w:r>
        <w:rPr>
          <w:rFonts w:ascii="Times New Roman" w:hAnsi="Times New Roman"/>
          <w:b/>
          <w:sz w:val="20"/>
        </w:rPr>
        <w:tab/>
        <w:t>HARVARD BUSINESS SCHOOL</w:t>
      </w:r>
      <w:r>
        <w:rPr>
          <w:rFonts w:ascii="Times New Roman" w:hAnsi="Times New Roman"/>
          <w:b/>
          <w:sz w:val="20"/>
        </w:rPr>
        <w:tab/>
        <w:t>Boston, MA</w:t>
      </w:r>
    </w:p>
    <w:p w14:paraId="741746B0" w14:textId="77777777" w:rsidR="00F62A88" w:rsidRPr="00CC0669" w:rsidRDefault="00F62A88" w:rsidP="00F62A88">
      <w:pPr>
        <w:pStyle w:val="BodyText"/>
        <w:spacing w:before="0"/>
        <w:ind w:left="1440" w:hanging="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ab/>
      </w:r>
      <w:r w:rsidRPr="00492709">
        <w:rPr>
          <w:rFonts w:ascii="Times New Roman" w:hAnsi="Times New Roman"/>
          <w:sz w:val="20"/>
        </w:rPr>
        <w:t>Master of Business Administration</w:t>
      </w:r>
      <w:r>
        <w:rPr>
          <w:rFonts w:ascii="Times New Roman" w:hAnsi="Times New Roman"/>
          <w:sz w:val="20"/>
        </w:rPr>
        <w:t>.  Music Director of HBS Show 2005, Co-President of Triathlon Club</w:t>
      </w:r>
    </w:p>
    <w:p w14:paraId="3BFFBDCE" w14:textId="77777777" w:rsidR="00F62A88" w:rsidRPr="00E240D0" w:rsidRDefault="00F62A88" w:rsidP="00F62A88">
      <w:pPr>
        <w:pStyle w:val="BodyText"/>
        <w:spacing w:before="0"/>
        <w:ind w:left="1620" w:hanging="180"/>
        <w:rPr>
          <w:rFonts w:ascii="Times New Roman" w:hAnsi="Times New Roman"/>
          <w:b/>
          <w:sz w:val="20"/>
        </w:rPr>
      </w:pPr>
    </w:p>
    <w:p w14:paraId="5D216904" w14:textId="77777777" w:rsidR="00F62A88" w:rsidRDefault="00F62A88" w:rsidP="00F62A8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1995 – 1999</w:t>
      </w:r>
      <w:r>
        <w:rPr>
          <w:rFonts w:ascii="Times New Roman" w:hAnsi="Times New Roman"/>
          <w:b/>
          <w:sz w:val="20"/>
        </w:rPr>
        <w:tab/>
        <w:t>HARVARD UNIVERSITY</w:t>
      </w:r>
      <w:r>
        <w:rPr>
          <w:rFonts w:ascii="Times New Roman" w:hAnsi="Times New Roman"/>
          <w:b/>
          <w:sz w:val="20"/>
        </w:rPr>
        <w:tab/>
        <w:t>Cambridge, MA</w:t>
      </w:r>
    </w:p>
    <w:p w14:paraId="65C6AED8" w14:textId="77777777" w:rsidR="00F62A88" w:rsidRDefault="00F62A88" w:rsidP="00F62A88">
      <w:pPr>
        <w:pStyle w:val="BodyText"/>
        <w:spacing w:before="0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Bachelor of Arts in Classics,</w:t>
      </w:r>
      <w:r w:rsidRPr="00492709">
        <w:rPr>
          <w:rFonts w:ascii="Times New Roman" w:hAnsi="Times New Roman"/>
          <w:sz w:val="20"/>
        </w:rPr>
        <w:t xml:space="preserve"> </w:t>
      </w:r>
      <w:r w:rsidRPr="00492709">
        <w:rPr>
          <w:rFonts w:ascii="Times New Roman" w:hAnsi="Times New Roman"/>
          <w:i/>
          <w:sz w:val="20"/>
        </w:rPr>
        <w:t>summa cum laude</w:t>
      </w:r>
      <w:r>
        <w:rPr>
          <w:rFonts w:ascii="Times New Roman" w:hAnsi="Times New Roman"/>
          <w:sz w:val="20"/>
        </w:rPr>
        <w:t>,</w:t>
      </w:r>
      <w:r w:rsidRPr="00492709">
        <w:rPr>
          <w:rFonts w:ascii="Times New Roman" w:hAnsi="Times New Roman"/>
          <w:sz w:val="20"/>
        </w:rPr>
        <w:t xml:space="preserve"> Phi Beta Kappa</w:t>
      </w:r>
      <w:r>
        <w:rPr>
          <w:rFonts w:ascii="Times New Roman" w:hAnsi="Times New Roman"/>
          <w:sz w:val="20"/>
        </w:rPr>
        <w:t>.  Commencement Latin Orator, Conductor of Harvard Glee Club Lite</w:t>
      </w:r>
    </w:p>
    <w:p w14:paraId="122E7FFE" w14:textId="77777777" w:rsidR="00F62A88" w:rsidRDefault="00F62A88" w:rsidP="00F62A88">
      <w:pPr>
        <w:pStyle w:val="BodyText"/>
        <w:spacing w:before="0"/>
        <w:ind w:left="1440" w:hanging="1440"/>
        <w:rPr>
          <w:rFonts w:ascii="Times New Roman" w:hAnsi="Times New Roman"/>
          <w:sz w:val="20"/>
        </w:rPr>
      </w:pPr>
    </w:p>
    <w:p w14:paraId="58A424E2" w14:textId="494A2A2D" w:rsidR="004B39B3" w:rsidRPr="00281AA5" w:rsidRDefault="002F1D39" w:rsidP="002F1D39">
      <w:pPr>
        <w:pStyle w:val="BodyText"/>
        <w:spacing w:before="0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Publications</w:t>
      </w:r>
      <w:r w:rsidR="00831205">
        <w:rPr>
          <w:rFonts w:ascii="Times New Roman" w:hAnsi="Times New Roman"/>
          <w:b/>
          <w:sz w:val="20"/>
        </w:rPr>
        <w:tab/>
      </w:r>
      <w:r w:rsidR="00281AA5" w:rsidRPr="00281AA5">
        <w:rPr>
          <w:rFonts w:ascii="Times New Roman" w:hAnsi="Times New Roman"/>
          <w:sz w:val="20"/>
          <w:u w:val="single"/>
        </w:rPr>
        <w:t>Estimating the Hallucination Rate of Generative AI</w:t>
      </w:r>
      <w:r w:rsidR="00281AA5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bCs/>
          <w:sz w:val="20"/>
        </w:rPr>
        <w:t xml:space="preserve">Andrew Jesson, Nicolas Beltran-Velez, </w:t>
      </w:r>
      <w:r w:rsidRPr="00281AA5">
        <w:rPr>
          <w:rFonts w:ascii="Times New Roman" w:hAnsi="Times New Roman"/>
          <w:b/>
          <w:sz w:val="20"/>
        </w:rPr>
        <w:t>Quentin Chu</w:t>
      </w:r>
      <w:r>
        <w:rPr>
          <w:rFonts w:ascii="Times New Roman" w:hAnsi="Times New Roman"/>
          <w:bCs/>
          <w:sz w:val="20"/>
        </w:rPr>
        <w:t xml:space="preserve">, Sweta Karlekar, Jannik Kossen, Yarin Gal, John P. Cunningham, David Blei. </w:t>
      </w:r>
      <w:proofErr w:type="spellStart"/>
      <w:r w:rsidR="00281AA5">
        <w:rPr>
          <w:rFonts w:ascii="Times New Roman" w:hAnsi="Times New Roman"/>
          <w:i/>
          <w:iCs/>
          <w:sz w:val="20"/>
        </w:rPr>
        <w:t>NeurIPS</w:t>
      </w:r>
      <w:proofErr w:type="spellEnd"/>
      <w:r w:rsidR="00281AA5">
        <w:rPr>
          <w:rFonts w:ascii="Times New Roman" w:hAnsi="Times New Roman"/>
          <w:sz w:val="20"/>
        </w:rPr>
        <w:t xml:space="preserve"> 2024.</w:t>
      </w:r>
    </w:p>
    <w:p w14:paraId="66FDEC8F" w14:textId="6CBD067E" w:rsidR="00CD4A6F" w:rsidRDefault="00B93B5B" w:rsidP="002F1D39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281AA5">
        <w:rPr>
          <w:rFonts w:ascii="Times New Roman" w:hAnsi="Times New Roman"/>
          <w:sz w:val="20"/>
        </w:rPr>
        <w:t xml:space="preserve">Introduced </w:t>
      </w:r>
      <w:r w:rsidR="00251609" w:rsidRPr="000A6E3D">
        <w:rPr>
          <w:rFonts w:ascii="Times New Roman" w:hAnsi="Times New Roman"/>
          <w:sz w:val="20"/>
        </w:rPr>
        <w:t>posterior hallucination rate</w:t>
      </w:r>
      <w:r w:rsidR="00251609">
        <w:rPr>
          <w:rFonts w:ascii="Times New Roman" w:hAnsi="Times New Roman"/>
          <w:sz w:val="20"/>
        </w:rPr>
        <w:t xml:space="preserve"> for Bayesian conditional generative models, a </w:t>
      </w:r>
      <w:r w:rsidR="000A6E3D">
        <w:rPr>
          <w:rFonts w:ascii="Times New Roman" w:hAnsi="Times New Roman"/>
          <w:sz w:val="20"/>
        </w:rPr>
        <w:t xml:space="preserve">novel </w:t>
      </w:r>
      <w:r w:rsidR="00251609">
        <w:rPr>
          <w:rFonts w:ascii="Times New Roman" w:hAnsi="Times New Roman"/>
          <w:sz w:val="20"/>
        </w:rPr>
        <w:t xml:space="preserve">metric </w:t>
      </w:r>
      <w:r w:rsidR="000A6E3D">
        <w:rPr>
          <w:rFonts w:ascii="Times New Roman" w:hAnsi="Times New Roman"/>
          <w:sz w:val="20"/>
        </w:rPr>
        <w:t xml:space="preserve">that estimates the probability </w:t>
      </w:r>
      <w:r w:rsidR="00671484">
        <w:rPr>
          <w:rFonts w:ascii="Times New Roman" w:hAnsi="Times New Roman"/>
          <w:sz w:val="20"/>
        </w:rPr>
        <w:t>of</w:t>
      </w:r>
      <w:r w:rsidR="000A6E3D">
        <w:rPr>
          <w:rFonts w:ascii="Times New Roman" w:hAnsi="Times New Roman"/>
          <w:sz w:val="20"/>
        </w:rPr>
        <w:t xml:space="preserve"> a generated prediction </w:t>
      </w:r>
      <w:r w:rsidR="00045C30">
        <w:rPr>
          <w:rFonts w:ascii="Times New Roman" w:hAnsi="Times New Roman"/>
          <w:sz w:val="20"/>
        </w:rPr>
        <w:t>that has</w:t>
      </w:r>
      <w:r w:rsidR="00671484">
        <w:rPr>
          <w:rFonts w:ascii="Times New Roman" w:hAnsi="Times New Roman"/>
          <w:sz w:val="20"/>
        </w:rPr>
        <w:t xml:space="preserve"> </w:t>
      </w:r>
      <w:r w:rsidR="000A6E3D">
        <w:rPr>
          <w:rFonts w:ascii="Times New Roman" w:hAnsi="Times New Roman"/>
          <w:sz w:val="20"/>
        </w:rPr>
        <w:t>low likelihood under the true latent parameter</w:t>
      </w:r>
    </w:p>
    <w:p w14:paraId="27D5D2DE" w14:textId="77777777" w:rsidR="00745CE9" w:rsidRDefault="00745CE9" w:rsidP="00CD4A6F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</w:p>
    <w:p w14:paraId="570A5796" w14:textId="7F6B0FCD" w:rsidR="00745CE9" w:rsidRPr="0009321B" w:rsidRDefault="00281AA5" w:rsidP="0009321B">
      <w:pPr>
        <w:pStyle w:val="BodyText"/>
        <w:spacing w:before="0"/>
        <w:ind w:left="1440"/>
        <w:rPr>
          <w:rFonts w:ascii="Times New Roman" w:hAnsi="Times New Roman"/>
          <w:sz w:val="20"/>
        </w:rPr>
      </w:pPr>
      <w:r w:rsidRPr="00281AA5">
        <w:rPr>
          <w:rFonts w:ascii="Times New Roman" w:hAnsi="Times New Roman"/>
          <w:sz w:val="20"/>
          <w:u w:val="single"/>
        </w:rPr>
        <w:t>Mixed-Curvature Decision Trees and Random Forests</w:t>
      </w:r>
      <w:r>
        <w:rPr>
          <w:rFonts w:ascii="Times New Roman" w:hAnsi="Times New Roman"/>
          <w:sz w:val="20"/>
        </w:rPr>
        <w:t xml:space="preserve">. </w:t>
      </w:r>
      <w:r w:rsidR="0009321B">
        <w:rPr>
          <w:rFonts w:ascii="Times New Roman" w:hAnsi="Times New Roman"/>
          <w:sz w:val="20"/>
        </w:rPr>
        <w:t xml:space="preserve">Phillippe Chlenski, </w:t>
      </w:r>
      <w:r w:rsidR="0009321B" w:rsidRPr="00281AA5">
        <w:rPr>
          <w:rFonts w:ascii="Times New Roman" w:hAnsi="Times New Roman"/>
          <w:b/>
          <w:bCs/>
          <w:sz w:val="20"/>
        </w:rPr>
        <w:t>Quentin Chu</w:t>
      </w:r>
      <w:r w:rsidR="0009321B">
        <w:rPr>
          <w:rFonts w:ascii="Times New Roman" w:hAnsi="Times New Roman"/>
          <w:sz w:val="20"/>
        </w:rPr>
        <w:t xml:space="preserve">, </w:t>
      </w:r>
      <w:r w:rsidR="00EC7B7C" w:rsidRPr="00EC7B7C">
        <w:rPr>
          <w:rFonts w:ascii="Times New Roman" w:hAnsi="Times New Roman"/>
          <w:sz w:val="20"/>
        </w:rPr>
        <w:t xml:space="preserve">Raiyan Khan, </w:t>
      </w:r>
      <w:proofErr w:type="spellStart"/>
      <w:r w:rsidR="00EC7B7C" w:rsidRPr="00EC7B7C">
        <w:rPr>
          <w:rFonts w:ascii="Times New Roman" w:hAnsi="Times New Roman"/>
          <w:sz w:val="20"/>
        </w:rPr>
        <w:t>Kaizhu</w:t>
      </w:r>
      <w:proofErr w:type="spellEnd"/>
      <w:r w:rsidR="00EC7B7C" w:rsidRPr="00EC7B7C">
        <w:rPr>
          <w:rFonts w:ascii="Times New Roman" w:hAnsi="Times New Roman"/>
          <w:sz w:val="20"/>
        </w:rPr>
        <w:t xml:space="preserve"> Du, Antonio Moretti,</w:t>
      </w:r>
      <w:r w:rsidR="00EC7B7C">
        <w:rPr>
          <w:rFonts w:ascii="Times New Roman" w:hAnsi="Times New Roman"/>
          <w:sz w:val="20"/>
        </w:rPr>
        <w:t xml:space="preserve"> </w:t>
      </w:r>
      <w:proofErr w:type="spellStart"/>
      <w:r w:rsidR="0009321B">
        <w:rPr>
          <w:rFonts w:ascii="Times New Roman" w:hAnsi="Times New Roman"/>
          <w:sz w:val="20"/>
        </w:rPr>
        <w:t>Itsik</w:t>
      </w:r>
      <w:proofErr w:type="spellEnd"/>
      <w:r w:rsidR="0009321B">
        <w:rPr>
          <w:rFonts w:ascii="Times New Roman" w:hAnsi="Times New Roman"/>
          <w:sz w:val="20"/>
        </w:rPr>
        <w:t xml:space="preserve"> Pe’er. </w:t>
      </w:r>
      <w:r w:rsidR="0009321B">
        <w:rPr>
          <w:rFonts w:ascii="Times New Roman" w:hAnsi="Times New Roman"/>
          <w:i/>
          <w:iCs/>
          <w:sz w:val="20"/>
        </w:rPr>
        <w:t xml:space="preserve">ICML </w:t>
      </w:r>
      <w:r w:rsidR="0009321B">
        <w:rPr>
          <w:rFonts w:ascii="Times New Roman" w:hAnsi="Times New Roman"/>
          <w:sz w:val="20"/>
        </w:rPr>
        <w:t>202</w:t>
      </w:r>
      <w:r w:rsidR="00EC7B7C">
        <w:rPr>
          <w:rFonts w:ascii="Times New Roman" w:hAnsi="Times New Roman"/>
          <w:sz w:val="20"/>
        </w:rPr>
        <w:t>5</w:t>
      </w:r>
    </w:p>
    <w:p w14:paraId="42CF0BF4" w14:textId="3E74C2A6" w:rsidR="00745CE9" w:rsidRPr="00745CE9" w:rsidRDefault="00745CE9" w:rsidP="00745CE9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A56DF8">
        <w:rPr>
          <w:rFonts w:ascii="Times New Roman" w:hAnsi="Times New Roman"/>
          <w:sz w:val="20"/>
        </w:rPr>
        <w:t>Proposed a novel angular reformulation of</w:t>
      </w:r>
      <w:r w:rsidR="004F55C3">
        <w:rPr>
          <w:rFonts w:ascii="Times New Roman" w:hAnsi="Times New Roman"/>
          <w:sz w:val="20"/>
        </w:rPr>
        <w:t xml:space="preserve"> </w:t>
      </w:r>
      <w:r w:rsidR="00A56DF8">
        <w:rPr>
          <w:rFonts w:ascii="Times New Roman" w:hAnsi="Times New Roman"/>
          <w:sz w:val="20"/>
        </w:rPr>
        <w:t xml:space="preserve">the </w:t>
      </w:r>
      <w:r w:rsidR="00C65AB7">
        <w:rPr>
          <w:rFonts w:ascii="Times New Roman" w:hAnsi="Times New Roman"/>
          <w:sz w:val="20"/>
        </w:rPr>
        <w:t xml:space="preserve">decision tree and random forest </w:t>
      </w:r>
      <w:r w:rsidR="003F24B9">
        <w:rPr>
          <w:rFonts w:ascii="Times New Roman" w:hAnsi="Times New Roman"/>
          <w:sz w:val="20"/>
        </w:rPr>
        <w:t>algorithm</w:t>
      </w:r>
      <w:r w:rsidR="00C65AB7">
        <w:rPr>
          <w:rFonts w:ascii="Times New Roman" w:hAnsi="Times New Roman"/>
          <w:sz w:val="20"/>
        </w:rPr>
        <w:t>s</w:t>
      </w:r>
      <w:r w:rsidR="003F24B9">
        <w:rPr>
          <w:rFonts w:ascii="Times New Roman" w:hAnsi="Times New Roman"/>
          <w:sz w:val="20"/>
        </w:rPr>
        <w:t xml:space="preserve"> </w:t>
      </w:r>
      <w:r w:rsidR="00A56DF8">
        <w:rPr>
          <w:rFonts w:ascii="Times New Roman" w:hAnsi="Times New Roman"/>
          <w:sz w:val="20"/>
        </w:rPr>
        <w:t xml:space="preserve">applied </w:t>
      </w:r>
      <w:r w:rsidR="003F24B9">
        <w:rPr>
          <w:rFonts w:ascii="Times New Roman" w:hAnsi="Times New Roman"/>
          <w:sz w:val="20"/>
        </w:rPr>
        <w:t xml:space="preserve">to </w:t>
      </w:r>
      <w:r w:rsidR="00C65AB7">
        <w:rPr>
          <w:rFonts w:ascii="Times New Roman" w:hAnsi="Times New Roman"/>
          <w:sz w:val="20"/>
        </w:rPr>
        <w:t xml:space="preserve">Cartesian products of Euclidean, </w:t>
      </w:r>
      <w:proofErr w:type="spellStart"/>
      <w:r w:rsidR="00C65AB7">
        <w:rPr>
          <w:rFonts w:ascii="Times New Roman" w:hAnsi="Times New Roman"/>
          <w:sz w:val="20"/>
        </w:rPr>
        <w:t>hyperspheric</w:t>
      </w:r>
      <w:r w:rsidR="00A56DF8">
        <w:rPr>
          <w:rFonts w:ascii="Times New Roman" w:hAnsi="Times New Roman"/>
          <w:sz w:val="20"/>
        </w:rPr>
        <w:t>al</w:t>
      </w:r>
      <w:proofErr w:type="spellEnd"/>
      <w:r w:rsidR="00C65AB7">
        <w:rPr>
          <w:rFonts w:ascii="Times New Roman" w:hAnsi="Times New Roman"/>
          <w:sz w:val="20"/>
        </w:rPr>
        <w:t xml:space="preserve"> and hyperbolic manifolds </w:t>
      </w:r>
      <w:r w:rsidR="003F24B9">
        <w:rPr>
          <w:rFonts w:ascii="Times New Roman" w:hAnsi="Times New Roman"/>
          <w:sz w:val="20"/>
        </w:rPr>
        <w:t>of arbitrary curvatures</w:t>
      </w:r>
    </w:p>
    <w:p w14:paraId="15B3842E" w14:textId="2A55ED5A" w:rsidR="00CD4A6F" w:rsidRDefault="00CD4A6F" w:rsidP="00831205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</w:p>
    <w:p w14:paraId="66282269" w14:textId="5A87C7A1" w:rsidR="002403C4" w:rsidRDefault="002403C4" w:rsidP="00582A08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Experience</w:t>
      </w:r>
      <w:r w:rsidR="00393B5E">
        <w:rPr>
          <w:rFonts w:ascii="Times New Roman" w:hAnsi="Times New Roman"/>
          <w:b/>
          <w:sz w:val="20"/>
        </w:rPr>
        <w:tab/>
      </w:r>
      <w:r w:rsidR="001C08D6">
        <w:rPr>
          <w:rFonts w:ascii="Times New Roman" w:hAnsi="Times New Roman"/>
          <w:b/>
          <w:sz w:val="20"/>
        </w:rPr>
        <w:t>TRIALSPARK</w:t>
      </w:r>
      <w:r w:rsidR="00900354">
        <w:rPr>
          <w:rFonts w:ascii="Times New Roman" w:hAnsi="Times New Roman"/>
          <w:b/>
          <w:sz w:val="20"/>
        </w:rPr>
        <w:t xml:space="preserve"> (now Formation Bio)</w:t>
      </w:r>
      <w:r>
        <w:rPr>
          <w:rFonts w:ascii="Times New Roman" w:hAnsi="Times New Roman"/>
          <w:b/>
          <w:sz w:val="20"/>
        </w:rPr>
        <w:tab/>
        <w:t>New York, NY</w:t>
      </w:r>
    </w:p>
    <w:p w14:paraId="2CBD04BD" w14:textId="74F20BA1" w:rsidR="00637BD3" w:rsidRPr="002B2F25" w:rsidRDefault="00582A08" w:rsidP="00637BD3">
      <w:pPr>
        <w:pStyle w:val="BodyText"/>
        <w:spacing w:befor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2019 – 2020</w:t>
      </w:r>
      <w:r w:rsidR="00393B5E">
        <w:rPr>
          <w:rFonts w:ascii="Times New Roman" w:hAnsi="Times New Roman"/>
          <w:sz w:val="20"/>
        </w:rPr>
        <w:tab/>
      </w:r>
      <w:r w:rsidR="009339D2" w:rsidRPr="009339D2">
        <w:rPr>
          <w:rFonts w:ascii="Times New Roman" w:hAnsi="Times New Roman"/>
          <w:i/>
          <w:iCs/>
          <w:sz w:val="20"/>
        </w:rPr>
        <w:t>President</w:t>
      </w:r>
      <w:r w:rsidR="00893B6B">
        <w:rPr>
          <w:rFonts w:ascii="Times New Roman" w:hAnsi="Times New Roman"/>
          <w:i/>
          <w:iCs/>
          <w:sz w:val="20"/>
        </w:rPr>
        <w:t xml:space="preserve"> and</w:t>
      </w:r>
      <w:r w:rsidR="009339D2">
        <w:rPr>
          <w:rFonts w:ascii="Times New Roman" w:hAnsi="Times New Roman"/>
          <w:sz w:val="20"/>
        </w:rPr>
        <w:t xml:space="preserve"> </w:t>
      </w:r>
      <w:r w:rsidR="00637BD3">
        <w:rPr>
          <w:rFonts w:ascii="Times New Roman" w:hAnsi="Times New Roman"/>
          <w:i/>
          <w:sz w:val="20"/>
        </w:rPr>
        <w:t>Chief Financial Officer</w:t>
      </w:r>
    </w:p>
    <w:p w14:paraId="3E8E9973" w14:textId="3CE2F9B1" w:rsidR="00637BD3" w:rsidRDefault="00B03774" w:rsidP="00FE4985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EE0DF2">
        <w:rPr>
          <w:rFonts w:ascii="Times New Roman" w:hAnsi="Times New Roman"/>
          <w:sz w:val="20"/>
        </w:rPr>
        <w:t>T</w:t>
      </w:r>
      <w:r w:rsidR="006735C0">
        <w:rPr>
          <w:rFonts w:ascii="Times New Roman" w:hAnsi="Times New Roman"/>
          <w:sz w:val="20"/>
        </w:rPr>
        <w:t xml:space="preserve">echnology-driven drug development platform </w:t>
      </w:r>
      <w:r w:rsidR="00E65674">
        <w:rPr>
          <w:rFonts w:ascii="Times New Roman" w:hAnsi="Times New Roman"/>
          <w:sz w:val="20"/>
        </w:rPr>
        <w:t>operating</w:t>
      </w:r>
      <w:r w:rsidR="006735C0">
        <w:rPr>
          <w:rFonts w:ascii="Times New Roman" w:hAnsi="Times New Roman"/>
          <w:sz w:val="20"/>
        </w:rPr>
        <w:t xml:space="preserve"> end-to-end clinical trials for life sciences </w:t>
      </w:r>
      <w:r w:rsidR="00BA7A47">
        <w:rPr>
          <w:rFonts w:ascii="Times New Roman" w:hAnsi="Times New Roman"/>
          <w:sz w:val="20"/>
        </w:rPr>
        <w:t>industry</w:t>
      </w:r>
    </w:p>
    <w:p w14:paraId="14E24FB1" w14:textId="41722F8D" w:rsidR="00900354" w:rsidRDefault="00900354" w:rsidP="0090035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$570 million Series B valuation as of October 2018, led by Sequoia and Thrive Capital</w:t>
      </w:r>
    </w:p>
    <w:p w14:paraId="7FA193AF" w14:textId="6BA21641" w:rsidR="009339D2" w:rsidRDefault="00637BD3" w:rsidP="00B64F27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567D8C">
        <w:rPr>
          <w:rFonts w:ascii="Times New Roman" w:hAnsi="Times New Roman"/>
          <w:sz w:val="20"/>
        </w:rPr>
        <w:t>R</w:t>
      </w:r>
      <w:r w:rsidR="002A0A5A">
        <w:rPr>
          <w:rFonts w:ascii="Times New Roman" w:hAnsi="Times New Roman"/>
          <w:sz w:val="20"/>
        </w:rPr>
        <w:t>esponsible for</w:t>
      </w:r>
      <w:r w:rsidR="00957D18">
        <w:rPr>
          <w:rFonts w:ascii="Times New Roman" w:hAnsi="Times New Roman"/>
          <w:sz w:val="20"/>
        </w:rPr>
        <w:t xml:space="preserve"> </w:t>
      </w:r>
      <w:r w:rsidR="00AE2983">
        <w:rPr>
          <w:rFonts w:ascii="Times New Roman" w:hAnsi="Times New Roman"/>
          <w:sz w:val="20"/>
        </w:rPr>
        <w:t>sales</w:t>
      </w:r>
      <w:r w:rsidR="00567D8C">
        <w:rPr>
          <w:rFonts w:ascii="Times New Roman" w:hAnsi="Times New Roman"/>
          <w:sz w:val="20"/>
        </w:rPr>
        <w:t>/marketing</w:t>
      </w:r>
      <w:r w:rsidR="00957D18">
        <w:rPr>
          <w:rFonts w:ascii="Times New Roman" w:hAnsi="Times New Roman"/>
          <w:sz w:val="20"/>
        </w:rPr>
        <w:t xml:space="preserve">, </w:t>
      </w:r>
      <w:r w:rsidR="00AE2983">
        <w:rPr>
          <w:rFonts w:ascii="Times New Roman" w:hAnsi="Times New Roman"/>
          <w:sz w:val="20"/>
        </w:rPr>
        <w:t>business development, strateg</w:t>
      </w:r>
      <w:r w:rsidR="00410F07">
        <w:rPr>
          <w:rFonts w:ascii="Times New Roman" w:hAnsi="Times New Roman"/>
          <w:sz w:val="20"/>
        </w:rPr>
        <w:t>ic partnerships</w:t>
      </w:r>
      <w:r w:rsidR="00957D18">
        <w:rPr>
          <w:rFonts w:ascii="Times New Roman" w:hAnsi="Times New Roman"/>
          <w:sz w:val="20"/>
        </w:rPr>
        <w:t>, clinical operations</w:t>
      </w:r>
      <w:r w:rsidR="00567D8C">
        <w:rPr>
          <w:rFonts w:ascii="Times New Roman" w:hAnsi="Times New Roman"/>
          <w:sz w:val="20"/>
        </w:rPr>
        <w:t xml:space="preserve"> </w:t>
      </w:r>
      <w:r w:rsidR="002A0A5A">
        <w:rPr>
          <w:rFonts w:ascii="Times New Roman" w:hAnsi="Times New Roman"/>
          <w:sz w:val="20"/>
        </w:rPr>
        <w:t>and finance</w:t>
      </w:r>
    </w:p>
    <w:p w14:paraId="74ABA8A4" w14:textId="5478157C" w:rsidR="00B64F27" w:rsidRDefault="00B64F27" w:rsidP="00B64F27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Key accomplishments</w:t>
      </w:r>
      <w:r w:rsidR="008B212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include:</w:t>
      </w:r>
    </w:p>
    <w:p w14:paraId="78719662" w14:textId="77777777" w:rsidR="00B64F27" w:rsidRDefault="00B64F27" w:rsidP="00B64F27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Led strategy review in first </w:t>
      </w:r>
      <w:r w:rsidR="00930CEF">
        <w:rPr>
          <w:rFonts w:ascii="Times New Roman" w:hAnsi="Times New Roman"/>
          <w:sz w:val="20"/>
        </w:rPr>
        <w:t>six</w:t>
      </w:r>
      <w:r>
        <w:rPr>
          <w:rFonts w:ascii="Times New Roman" w:hAnsi="Times New Roman"/>
          <w:sz w:val="20"/>
        </w:rPr>
        <w:t xml:space="preserve"> weeks – exited unprofitable </w:t>
      </w:r>
      <w:r w:rsidR="00DC09D0"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z w:val="20"/>
        </w:rPr>
        <w:t xml:space="preserve"> lines, refocused organization to invest in integrated </w:t>
      </w:r>
      <w:r w:rsidR="00DC09D0">
        <w:rPr>
          <w:rFonts w:ascii="Times New Roman" w:hAnsi="Times New Roman"/>
          <w:sz w:val="20"/>
        </w:rPr>
        <w:t>CRO</w:t>
      </w:r>
      <w:r>
        <w:rPr>
          <w:rFonts w:ascii="Times New Roman" w:hAnsi="Times New Roman"/>
          <w:sz w:val="20"/>
        </w:rPr>
        <w:t xml:space="preserve"> service offering</w:t>
      </w:r>
      <w:r w:rsidR="00DC09D0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developed financial plan to profitability within 30 months</w:t>
      </w:r>
    </w:p>
    <w:p w14:paraId="38A322B7" w14:textId="77777777" w:rsidR="00B64F27" w:rsidRDefault="00930CEF" w:rsidP="00B64F27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Revamped sales and operations planning process, including RFP selection, pricing strategy and bid </w:t>
      </w:r>
      <w:r w:rsidR="00367007">
        <w:rPr>
          <w:rFonts w:ascii="Times New Roman" w:hAnsi="Times New Roman"/>
          <w:sz w:val="20"/>
        </w:rPr>
        <w:t>decision</w:t>
      </w:r>
      <w:r w:rsidR="00BC44CD">
        <w:rPr>
          <w:rFonts w:ascii="Times New Roman" w:hAnsi="Times New Roman"/>
          <w:sz w:val="20"/>
        </w:rPr>
        <w:t xml:space="preserve">; drove </w:t>
      </w:r>
      <w:r>
        <w:rPr>
          <w:rFonts w:ascii="Times New Roman" w:hAnsi="Times New Roman"/>
          <w:sz w:val="20"/>
        </w:rPr>
        <w:t>unit economics</w:t>
      </w:r>
      <w:r w:rsidR="00BC44CD">
        <w:rPr>
          <w:rFonts w:ascii="Times New Roman" w:hAnsi="Times New Roman"/>
          <w:sz w:val="20"/>
        </w:rPr>
        <w:t xml:space="preserve"> improvement through establishing KPIs, implementing staffing </w:t>
      </w:r>
      <w:r w:rsidR="00367007">
        <w:rPr>
          <w:rFonts w:ascii="Times New Roman" w:hAnsi="Times New Roman"/>
          <w:sz w:val="20"/>
        </w:rPr>
        <w:t xml:space="preserve">and operating </w:t>
      </w:r>
      <w:r w:rsidR="00BC44CD">
        <w:rPr>
          <w:rFonts w:ascii="Times New Roman" w:hAnsi="Times New Roman"/>
          <w:sz w:val="20"/>
        </w:rPr>
        <w:t xml:space="preserve">efficiencies, and introducing performance-based pricing </w:t>
      </w:r>
      <w:r w:rsidR="00367007">
        <w:rPr>
          <w:rFonts w:ascii="Times New Roman" w:hAnsi="Times New Roman"/>
          <w:sz w:val="20"/>
        </w:rPr>
        <w:t xml:space="preserve">for better customer </w:t>
      </w:r>
      <w:r w:rsidR="00BC44CD">
        <w:rPr>
          <w:rFonts w:ascii="Times New Roman" w:hAnsi="Times New Roman"/>
          <w:sz w:val="20"/>
        </w:rPr>
        <w:t>align</w:t>
      </w:r>
      <w:r w:rsidR="00367007">
        <w:rPr>
          <w:rFonts w:ascii="Times New Roman" w:hAnsi="Times New Roman"/>
          <w:sz w:val="20"/>
        </w:rPr>
        <w:t>ment</w:t>
      </w:r>
    </w:p>
    <w:p w14:paraId="65779CB9" w14:textId="77777777" w:rsidR="008D6824" w:rsidRDefault="008D6824" w:rsidP="008D6824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Recruited key senior management leaders in Operations, HR and Product teams</w:t>
      </w:r>
    </w:p>
    <w:p w14:paraId="38C441AB" w14:textId="77777777" w:rsidR="008D6824" w:rsidRDefault="008D6824" w:rsidP="008D6824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Led cost reduction </w:t>
      </w:r>
      <w:r w:rsidR="00726CC9">
        <w:rPr>
          <w:rFonts w:ascii="Times New Roman" w:hAnsi="Times New Roman"/>
          <w:sz w:val="20"/>
        </w:rPr>
        <w:t xml:space="preserve">plan </w:t>
      </w:r>
      <w:r w:rsidR="000C66FC">
        <w:rPr>
          <w:rFonts w:ascii="Times New Roman" w:hAnsi="Times New Roman"/>
          <w:sz w:val="20"/>
        </w:rPr>
        <w:t xml:space="preserve">and fundraising efforts </w:t>
      </w:r>
      <w:r>
        <w:rPr>
          <w:rFonts w:ascii="Times New Roman" w:hAnsi="Times New Roman"/>
          <w:sz w:val="20"/>
        </w:rPr>
        <w:t>through COVID-19</w:t>
      </w:r>
      <w:r w:rsidR="000C66FC">
        <w:rPr>
          <w:rFonts w:ascii="Times New Roman" w:hAnsi="Times New Roman"/>
          <w:sz w:val="20"/>
        </w:rPr>
        <w:t xml:space="preserve"> economic crisis</w:t>
      </w:r>
    </w:p>
    <w:p w14:paraId="5C181C81" w14:textId="77777777" w:rsidR="00C33C17" w:rsidRDefault="00C33C17">
      <w:pPr>
        <w:pStyle w:val="BodyText"/>
        <w:spacing w:before="0"/>
        <w:ind w:left="1440" w:hanging="1440"/>
        <w:rPr>
          <w:rFonts w:ascii="Times New Roman" w:hAnsi="Times New Roman"/>
          <w:sz w:val="20"/>
        </w:rPr>
      </w:pPr>
    </w:p>
    <w:p w14:paraId="240A6379" w14:textId="77777777" w:rsidR="00C33C17" w:rsidRDefault="002B2F25" w:rsidP="00C33C17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2017 – 2019</w:t>
      </w:r>
      <w:r>
        <w:rPr>
          <w:rFonts w:ascii="Times New Roman" w:hAnsi="Times New Roman"/>
          <w:sz w:val="20"/>
        </w:rPr>
        <w:tab/>
      </w:r>
      <w:r w:rsidR="00C33C17">
        <w:rPr>
          <w:rFonts w:ascii="Times New Roman" w:hAnsi="Times New Roman"/>
          <w:b/>
          <w:sz w:val="20"/>
        </w:rPr>
        <w:t>C</w:t>
      </w:r>
      <w:r w:rsidR="001C08D6">
        <w:rPr>
          <w:rFonts w:ascii="Times New Roman" w:hAnsi="Times New Roman"/>
          <w:b/>
          <w:sz w:val="20"/>
        </w:rPr>
        <w:t>ITY</w:t>
      </w:r>
      <w:r w:rsidR="00C33C17">
        <w:rPr>
          <w:rFonts w:ascii="Times New Roman" w:hAnsi="Times New Roman"/>
          <w:b/>
          <w:sz w:val="20"/>
        </w:rPr>
        <w:t>MD</w:t>
      </w:r>
      <w:r w:rsidR="00C33C17">
        <w:rPr>
          <w:rFonts w:ascii="Times New Roman" w:hAnsi="Times New Roman"/>
          <w:b/>
          <w:sz w:val="20"/>
        </w:rPr>
        <w:tab/>
        <w:t>New York, NY</w:t>
      </w:r>
    </w:p>
    <w:p w14:paraId="5D670D68" w14:textId="40EF67CC" w:rsidR="00B03774" w:rsidRPr="008334C8" w:rsidRDefault="002B2F25" w:rsidP="008334C8">
      <w:pPr>
        <w:pStyle w:val="BodyText"/>
        <w:spacing w:before="0"/>
        <w:ind w:left="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Chief Financial Officer</w:t>
      </w:r>
    </w:p>
    <w:p w14:paraId="4A52FECB" w14:textId="77777777" w:rsidR="00900354" w:rsidRDefault="00900354" w:rsidP="0090035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Leading urgent care operator in the New York metro area with 110+ clinics and &gt;2.5 million patient visits</w:t>
      </w:r>
    </w:p>
    <w:p w14:paraId="6D05934D" w14:textId="77777777" w:rsidR="00900354" w:rsidRDefault="00900354" w:rsidP="0090035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Played key role as strategic leader and change agent following $600 million acquisition by Warburg Pincus</w:t>
      </w:r>
    </w:p>
    <w:p w14:paraId="09F0E950" w14:textId="36952FA1" w:rsidR="00900354" w:rsidRDefault="00900354" w:rsidP="0090035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Responsible for finance and centralized operations, including revenue cycle/billing, procurement, data analytics, M&amp;A, accounting, treasury and tax</w:t>
      </w:r>
    </w:p>
    <w:p w14:paraId="46A2B1B3" w14:textId="77777777" w:rsidR="00386A64" w:rsidRDefault="00386A64" w:rsidP="00386A6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9306A3">
        <w:rPr>
          <w:rFonts w:ascii="Times New Roman" w:hAnsi="Times New Roman"/>
          <w:sz w:val="20"/>
        </w:rPr>
        <w:t>Key a</w:t>
      </w:r>
      <w:r>
        <w:rPr>
          <w:rFonts w:ascii="Times New Roman" w:hAnsi="Times New Roman"/>
          <w:sz w:val="20"/>
        </w:rPr>
        <w:t>ccomplishments include:</w:t>
      </w:r>
    </w:p>
    <w:p w14:paraId="6A87F5E5" w14:textId="77777777" w:rsidR="002B2F25" w:rsidRDefault="009306A3" w:rsidP="00386A64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 operational efficiency initiatives</w:t>
      </w:r>
      <w:r w:rsidR="00BA0E1A">
        <w:rPr>
          <w:rFonts w:ascii="Times New Roman" w:hAnsi="Times New Roman"/>
          <w:sz w:val="20"/>
        </w:rPr>
        <w:t xml:space="preserve"> to address site staffing efficiencies, centralized procurement and vendor management, corporate </w:t>
      </w:r>
      <w:r w:rsidR="00D20A2D">
        <w:rPr>
          <w:rFonts w:ascii="Times New Roman" w:hAnsi="Times New Roman"/>
          <w:sz w:val="20"/>
        </w:rPr>
        <w:t>G&amp;A</w:t>
      </w:r>
      <w:r w:rsidR="00BA0E1A">
        <w:rPr>
          <w:rFonts w:ascii="Times New Roman" w:hAnsi="Times New Roman"/>
          <w:sz w:val="20"/>
        </w:rPr>
        <w:t xml:space="preserve"> rationalization that resulted in &gt;10% run-rate EBITDA savings</w:t>
      </w:r>
    </w:p>
    <w:p w14:paraId="7CF1322C" w14:textId="77777777" w:rsidR="00D20A2D" w:rsidRDefault="00D20A2D" w:rsidP="00386A64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Designed and implemented new management structure to </w:t>
      </w:r>
      <w:proofErr w:type="spellStart"/>
      <w:r>
        <w:rPr>
          <w:rFonts w:ascii="Times New Roman" w:hAnsi="Times New Roman"/>
          <w:sz w:val="20"/>
        </w:rPr>
        <w:t>rightsize</w:t>
      </w:r>
      <w:proofErr w:type="spellEnd"/>
      <w:r>
        <w:rPr>
          <w:rFonts w:ascii="Times New Roman" w:hAnsi="Times New Roman"/>
          <w:sz w:val="20"/>
        </w:rPr>
        <w:t xml:space="preserve"> span of control, increase transparency and accountability, and improve collaboration across departments</w:t>
      </w:r>
    </w:p>
    <w:p w14:paraId="6954C8E6" w14:textId="77777777" w:rsidR="00AF01D2" w:rsidRDefault="00AF01D2" w:rsidP="00AF01D2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Successfully remediated significant accounting errors and inadequate financial controls inherited from prior team, and completed 2017 and 2018 audits with clean opinions and no material weaknesses</w:t>
      </w:r>
    </w:p>
    <w:p w14:paraId="7AA36489" w14:textId="16621F23" w:rsidR="00AF01D2" w:rsidRPr="00AF01D2" w:rsidRDefault="00AF01D2" w:rsidP="00AF01D2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 execution of ~$100 million acquisition of Stat Health, including contract negotiations and securing $340 million in debt financing</w:t>
      </w:r>
    </w:p>
    <w:p w14:paraId="6A530862" w14:textId="25AD8A49" w:rsidR="003B5596" w:rsidRDefault="004F21B1" w:rsidP="00386A64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Drove </w:t>
      </w:r>
      <w:r w:rsidR="00D20A2D">
        <w:rPr>
          <w:rFonts w:ascii="Times New Roman" w:hAnsi="Times New Roman"/>
          <w:sz w:val="20"/>
        </w:rPr>
        <w:t xml:space="preserve">75% </w:t>
      </w:r>
      <w:r w:rsidR="003B5596">
        <w:rPr>
          <w:rFonts w:ascii="Times New Roman" w:hAnsi="Times New Roman"/>
          <w:sz w:val="20"/>
        </w:rPr>
        <w:t>EBITDA growth</w:t>
      </w:r>
      <w:r w:rsidR="00B22A49">
        <w:rPr>
          <w:rFonts w:ascii="Times New Roman" w:hAnsi="Times New Roman"/>
          <w:sz w:val="20"/>
        </w:rPr>
        <w:t xml:space="preserve"> in 18 months</w:t>
      </w:r>
    </w:p>
    <w:p w14:paraId="7189E1F3" w14:textId="1CFC2284" w:rsidR="0077318E" w:rsidRPr="00555E61" w:rsidRDefault="004F21B1" w:rsidP="00555E61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 s</w:t>
      </w:r>
      <w:r w:rsidR="002B21CC">
        <w:rPr>
          <w:rFonts w:ascii="Times New Roman" w:hAnsi="Times New Roman"/>
          <w:sz w:val="20"/>
        </w:rPr>
        <w:t>uccessful exit through m</w:t>
      </w:r>
      <w:r w:rsidR="00F85325">
        <w:rPr>
          <w:rFonts w:ascii="Times New Roman" w:hAnsi="Times New Roman"/>
          <w:sz w:val="20"/>
        </w:rPr>
        <w:t xml:space="preserve">erger with </w:t>
      </w:r>
      <w:r w:rsidR="001F3C41">
        <w:rPr>
          <w:rFonts w:ascii="Times New Roman" w:hAnsi="Times New Roman"/>
          <w:sz w:val="20"/>
        </w:rPr>
        <w:t xml:space="preserve">Summit Medical Group </w:t>
      </w:r>
      <w:r w:rsidR="00AF01D2">
        <w:rPr>
          <w:rFonts w:ascii="Times New Roman" w:hAnsi="Times New Roman"/>
          <w:sz w:val="20"/>
        </w:rPr>
        <w:t xml:space="preserve">at 2.35x MOIC </w:t>
      </w:r>
      <w:r>
        <w:rPr>
          <w:rFonts w:ascii="Times New Roman" w:hAnsi="Times New Roman"/>
          <w:sz w:val="20"/>
        </w:rPr>
        <w:t xml:space="preserve">in </w:t>
      </w:r>
      <w:r w:rsidR="001F3C41">
        <w:rPr>
          <w:rFonts w:ascii="Times New Roman" w:hAnsi="Times New Roman"/>
          <w:sz w:val="20"/>
        </w:rPr>
        <w:t>2</w:t>
      </w:r>
      <w:r w:rsidR="00F85325">
        <w:rPr>
          <w:rFonts w:ascii="Times New Roman" w:hAnsi="Times New Roman"/>
          <w:sz w:val="20"/>
        </w:rPr>
        <w:t xml:space="preserve"> year</w:t>
      </w:r>
      <w:r w:rsidR="00A46A0A">
        <w:rPr>
          <w:rFonts w:ascii="Times New Roman" w:hAnsi="Times New Roman"/>
          <w:sz w:val="20"/>
        </w:rPr>
        <w:t>s</w:t>
      </w:r>
    </w:p>
    <w:p w14:paraId="66D63946" w14:textId="77777777" w:rsidR="00A46A0A" w:rsidRDefault="00A46A0A" w:rsidP="002B2F25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sz w:val="20"/>
        </w:rPr>
      </w:pPr>
    </w:p>
    <w:p w14:paraId="7FF461B0" w14:textId="4CEE238A" w:rsidR="002B2F25" w:rsidRDefault="009306A3" w:rsidP="002B2F25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2005 – 2017</w:t>
      </w:r>
      <w:r w:rsidR="002B2F25">
        <w:rPr>
          <w:rFonts w:ascii="Times New Roman" w:hAnsi="Times New Roman"/>
          <w:sz w:val="20"/>
        </w:rPr>
        <w:tab/>
      </w:r>
      <w:r w:rsidR="002B2F25">
        <w:rPr>
          <w:rFonts w:ascii="Times New Roman" w:hAnsi="Times New Roman"/>
          <w:b/>
          <w:sz w:val="20"/>
        </w:rPr>
        <w:t>CRESTVIEW PARTNERS</w:t>
      </w:r>
      <w:r w:rsidR="002B2F25">
        <w:rPr>
          <w:rFonts w:ascii="Times New Roman" w:hAnsi="Times New Roman"/>
          <w:b/>
          <w:sz w:val="20"/>
        </w:rPr>
        <w:tab/>
        <w:t>New York, NY</w:t>
      </w:r>
    </w:p>
    <w:p w14:paraId="5D54A5C1" w14:textId="35F3DFC0" w:rsidR="002403C4" w:rsidRDefault="002403C4">
      <w:pPr>
        <w:pStyle w:val="BodyText"/>
        <w:spacing w:before="0"/>
        <w:ind w:left="1440" w:hanging="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ab/>
      </w:r>
      <w:r w:rsidR="007C1C1F">
        <w:rPr>
          <w:rFonts w:ascii="Times New Roman" w:hAnsi="Times New Roman"/>
          <w:i/>
          <w:sz w:val="20"/>
        </w:rPr>
        <w:t>Partner</w:t>
      </w:r>
    </w:p>
    <w:p w14:paraId="1367D0E1" w14:textId="77777777" w:rsidR="00784660" w:rsidRDefault="002403C4" w:rsidP="00E6238A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16666B">
        <w:rPr>
          <w:rFonts w:ascii="Times New Roman" w:hAnsi="Times New Roman"/>
          <w:sz w:val="20"/>
        </w:rPr>
        <w:t xml:space="preserve">$7 billion in AUM across </w:t>
      </w:r>
      <w:r w:rsidR="001F3C41">
        <w:rPr>
          <w:rFonts w:ascii="Times New Roman" w:hAnsi="Times New Roman"/>
          <w:sz w:val="20"/>
        </w:rPr>
        <w:t>3</w:t>
      </w:r>
      <w:r w:rsidR="0016666B">
        <w:rPr>
          <w:rFonts w:ascii="Times New Roman" w:hAnsi="Times New Roman"/>
          <w:sz w:val="20"/>
        </w:rPr>
        <w:t xml:space="preserve"> private equity funds focused </w:t>
      </w:r>
      <w:r w:rsidR="000279EE">
        <w:rPr>
          <w:rFonts w:ascii="Times New Roman" w:hAnsi="Times New Roman"/>
          <w:sz w:val="20"/>
        </w:rPr>
        <w:t>o</w:t>
      </w:r>
      <w:r w:rsidR="0016666B">
        <w:rPr>
          <w:rFonts w:ascii="Times New Roman" w:hAnsi="Times New Roman"/>
          <w:sz w:val="20"/>
        </w:rPr>
        <w:t>n U.S. and European buyouts</w:t>
      </w:r>
    </w:p>
    <w:p w14:paraId="10C51392" w14:textId="51F6EE77" w:rsidR="002403C4" w:rsidRDefault="00B430C4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•</w:t>
      </w:r>
      <w:r>
        <w:rPr>
          <w:rFonts w:ascii="Times New Roman" w:hAnsi="Times New Roman"/>
          <w:sz w:val="20"/>
        </w:rPr>
        <w:tab/>
      </w:r>
      <w:r w:rsidR="003F5C74">
        <w:rPr>
          <w:rFonts w:ascii="Times New Roman" w:hAnsi="Times New Roman"/>
          <w:sz w:val="20"/>
        </w:rPr>
        <w:t xml:space="preserve">Led </w:t>
      </w:r>
      <w:r w:rsidR="002403C4">
        <w:rPr>
          <w:rFonts w:ascii="Times New Roman" w:hAnsi="Times New Roman"/>
          <w:sz w:val="20"/>
        </w:rPr>
        <w:t>the firm’s</w:t>
      </w:r>
      <w:r w:rsidR="001A2E52">
        <w:rPr>
          <w:rFonts w:ascii="Times New Roman" w:hAnsi="Times New Roman"/>
          <w:sz w:val="20"/>
        </w:rPr>
        <w:t xml:space="preserve"> </w:t>
      </w:r>
      <w:r w:rsidR="003B44E5">
        <w:rPr>
          <w:rFonts w:ascii="Times New Roman" w:hAnsi="Times New Roman"/>
          <w:sz w:val="20"/>
        </w:rPr>
        <w:t>healthcare</w:t>
      </w:r>
      <w:r w:rsidR="003F5C74">
        <w:rPr>
          <w:rFonts w:ascii="Times New Roman" w:hAnsi="Times New Roman"/>
          <w:sz w:val="20"/>
        </w:rPr>
        <w:t xml:space="preserve"> and</w:t>
      </w:r>
      <w:r w:rsidR="001A2E52">
        <w:rPr>
          <w:rFonts w:ascii="Times New Roman" w:hAnsi="Times New Roman"/>
          <w:sz w:val="20"/>
        </w:rPr>
        <w:t xml:space="preserve"> financial services</w:t>
      </w:r>
      <w:r w:rsidR="002403C4">
        <w:rPr>
          <w:rFonts w:ascii="Times New Roman" w:hAnsi="Times New Roman"/>
          <w:sz w:val="20"/>
        </w:rPr>
        <w:t xml:space="preserve"> practice</w:t>
      </w:r>
      <w:r w:rsidR="003B44E5">
        <w:rPr>
          <w:rFonts w:ascii="Times New Roman" w:hAnsi="Times New Roman"/>
          <w:sz w:val="20"/>
        </w:rPr>
        <w:t>s</w:t>
      </w:r>
    </w:p>
    <w:p w14:paraId="6E62D485" w14:textId="185ED3F4" w:rsidR="002403C4" w:rsidRPr="00A46A0A" w:rsidRDefault="00B430C4" w:rsidP="00A46A0A">
      <w:pPr>
        <w:pStyle w:val="BodyText"/>
        <w:numPr>
          <w:ilvl w:val="0"/>
          <w:numId w:val="28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</w:t>
      </w:r>
      <w:r w:rsidR="004F697F">
        <w:rPr>
          <w:rFonts w:ascii="Times New Roman" w:hAnsi="Times New Roman"/>
          <w:sz w:val="20"/>
        </w:rPr>
        <w:t xml:space="preserve">investment </w:t>
      </w:r>
      <w:r w:rsidR="002403C4">
        <w:rPr>
          <w:rFonts w:ascii="Times New Roman" w:hAnsi="Times New Roman"/>
          <w:sz w:val="20"/>
        </w:rPr>
        <w:t>theses</w:t>
      </w:r>
      <w:r w:rsidR="004D1F9B">
        <w:rPr>
          <w:rFonts w:ascii="Times New Roman" w:hAnsi="Times New Roman"/>
          <w:sz w:val="20"/>
        </w:rPr>
        <w:t xml:space="preserve"> in each </w:t>
      </w:r>
      <w:r w:rsidR="00B90861">
        <w:rPr>
          <w:rFonts w:ascii="Times New Roman" w:hAnsi="Times New Roman"/>
          <w:sz w:val="20"/>
        </w:rPr>
        <w:t>sector</w:t>
      </w:r>
      <w:r w:rsidR="00A46A0A">
        <w:rPr>
          <w:rFonts w:ascii="Times New Roman" w:hAnsi="Times New Roman"/>
          <w:sz w:val="20"/>
        </w:rPr>
        <w:t xml:space="preserve"> and s</w:t>
      </w:r>
      <w:r w:rsidRPr="00A46A0A">
        <w:rPr>
          <w:rFonts w:ascii="Times New Roman" w:hAnsi="Times New Roman"/>
          <w:sz w:val="20"/>
        </w:rPr>
        <w:t>ourced</w:t>
      </w:r>
      <w:r w:rsidR="002403C4" w:rsidRPr="00A46A0A">
        <w:rPr>
          <w:rFonts w:ascii="Times New Roman" w:hAnsi="Times New Roman"/>
          <w:sz w:val="20"/>
        </w:rPr>
        <w:t xml:space="preserve"> </w:t>
      </w:r>
      <w:r w:rsidR="00D8250C" w:rsidRPr="00A46A0A">
        <w:rPr>
          <w:rFonts w:ascii="Times New Roman" w:hAnsi="Times New Roman"/>
          <w:sz w:val="20"/>
        </w:rPr>
        <w:t xml:space="preserve">over 500 </w:t>
      </w:r>
      <w:r w:rsidR="002403C4" w:rsidRPr="00A46A0A">
        <w:rPr>
          <w:rFonts w:ascii="Times New Roman" w:hAnsi="Times New Roman"/>
          <w:sz w:val="20"/>
        </w:rPr>
        <w:t>investment opportunities</w:t>
      </w:r>
      <w:r w:rsidR="00784660" w:rsidRPr="00A46A0A">
        <w:rPr>
          <w:rFonts w:ascii="Times New Roman" w:hAnsi="Times New Roman"/>
          <w:sz w:val="20"/>
        </w:rPr>
        <w:t xml:space="preserve"> </w:t>
      </w:r>
      <w:r w:rsidR="00D8250C" w:rsidRPr="00A46A0A">
        <w:rPr>
          <w:rFonts w:ascii="Times New Roman" w:hAnsi="Times New Roman"/>
          <w:sz w:val="20"/>
        </w:rPr>
        <w:t>to date</w:t>
      </w:r>
    </w:p>
    <w:p w14:paraId="26C9F29A" w14:textId="77777777" w:rsidR="002403C4" w:rsidRDefault="00BD56AF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E6238A">
        <w:rPr>
          <w:rFonts w:ascii="Times New Roman" w:hAnsi="Times New Roman"/>
          <w:sz w:val="20"/>
        </w:rPr>
        <w:t>Deployed over $1 billion of investments in private equity, structured finance and distressed debt</w:t>
      </w:r>
    </w:p>
    <w:p w14:paraId="2C6CBB63" w14:textId="77777777" w:rsidR="002403C4" w:rsidRDefault="002403C4" w:rsidP="002403C4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Managed </w:t>
      </w:r>
      <w:r w:rsidR="00270FE3">
        <w:rPr>
          <w:rFonts w:ascii="Times New Roman" w:hAnsi="Times New Roman"/>
          <w:sz w:val="20"/>
        </w:rPr>
        <w:t>20</w:t>
      </w:r>
      <w:r w:rsidR="002446D3">
        <w:rPr>
          <w:rFonts w:ascii="Times New Roman" w:hAnsi="Times New Roman"/>
          <w:sz w:val="20"/>
        </w:rPr>
        <w:t xml:space="preserve">+ </w:t>
      </w:r>
      <w:r w:rsidR="00270FE3">
        <w:rPr>
          <w:rFonts w:ascii="Times New Roman" w:hAnsi="Times New Roman"/>
          <w:sz w:val="20"/>
        </w:rPr>
        <w:t xml:space="preserve">person </w:t>
      </w:r>
      <w:r>
        <w:rPr>
          <w:rFonts w:ascii="Times New Roman" w:hAnsi="Times New Roman"/>
          <w:sz w:val="20"/>
        </w:rPr>
        <w:t>deal teams in business, financial, accounting and legal due diligence</w:t>
      </w:r>
    </w:p>
    <w:p w14:paraId="625D9CB4" w14:textId="77777777" w:rsidR="000061D8" w:rsidRDefault="000061D8" w:rsidP="002403C4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implemented transaction str</w:t>
      </w:r>
      <w:r w:rsidR="0076742F">
        <w:rPr>
          <w:rFonts w:ascii="Times New Roman" w:hAnsi="Times New Roman"/>
          <w:sz w:val="20"/>
        </w:rPr>
        <w:t>uctures to address valuation</w:t>
      </w:r>
      <w:r>
        <w:rPr>
          <w:rFonts w:ascii="Times New Roman" w:hAnsi="Times New Roman"/>
          <w:sz w:val="20"/>
        </w:rPr>
        <w:t xml:space="preserve">, </w:t>
      </w:r>
      <w:r w:rsidR="0076742F">
        <w:rPr>
          <w:rFonts w:ascii="Times New Roman" w:hAnsi="Times New Roman"/>
          <w:sz w:val="20"/>
        </w:rPr>
        <w:t xml:space="preserve">governance, </w:t>
      </w:r>
      <w:r>
        <w:rPr>
          <w:rFonts w:ascii="Times New Roman" w:hAnsi="Times New Roman"/>
          <w:sz w:val="20"/>
        </w:rPr>
        <w:t xml:space="preserve">tax </w:t>
      </w:r>
      <w:r w:rsidR="0076742F">
        <w:rPr>
          <w:rFonts w:ascii="Times New Roman" w:hAnsi="Times New Roman"/>
          <w:sz w:val="20"/>
        </w:rPr>
        <w:t>and other issues</w:t>
      </w:r>
    </w:p>
    <w:p w14:paraId="3C519A21" w14:textId="77777777" w:rsidR="00E24D2B" w:rsidRPr="00E24D2B" w:rsidRDefault="002403C4" w:rsidP="00E24D2B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Led negotiation of purchase agreements, shareholders’ agreements, employment agreements, </w:t>
      </w:r>
      <w:r w:rsidR="00014AF8">
        <w:rPr>
          <w:rFonts w:ascii="Times New Roman" w:hAnsi="Times New Roman"/>
          <w:sz w:val="20"/>
        </w:rPr>
        <w:t>management incentive plans</w:t>
      </w:r>
      <w:r w:rsidR="00AC5C41">
        <w:rPr>
          <w:rFonts w:ascii="Times New Roman" w:hAnsi="Times New Roman"/>
          <w:sz w:val="20"/>
        </w:rPr>
        <w:t xml:space="preserve"> and compensation structures</w:t>
      </w:r>
      <w:r w:rsidR="00014AF8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credit agreements and bond indentures</w:t>
      </w:r>
    </w:p>
    <w:p w14:paraId="20C4F40A" w14:textId="5A4E9462" w:rsidR="003B0415" w:rsidRDefault="00E24D2B" w:rsidP="00605266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Led firm</w:t>
      </w:r>
      <w:r w:rsidR="004B3040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 xml:space="preserve">wide training for over 30 Associates since </w:t>
      </w:r>
      <w:proofErr w:type="gramStart"/>
      <w:r>
        <w:rPr>
          <w:rFonts w:ascii="Times New Roman" w:hAnsi="Times New Roman"/>
          <w:sz w:val="20"/>
        </w:rPr>
        <w:t>inception;</w:t>
      </w:r>
      <w:proofErr w:type="gramEnd"/>
      <w:r>
        <w:rPr>
          <w:rFonts w:ascii="Times New Roman" w:hAnsi="Times New Roman"/>
          <w:sz w:val="20"/>
        </w:rPr>
        <w:t xml:space="preserve"> initiated talent development program for Principals taking on greater leadership and external-facing roles</w:t>
      </w:r>
    </w:p>
    <w:p w14:paraId="5800FED2" w14:textId="77777777" w:rsidR="00235FDA" w:rsidRDefault="00235FDA" w:rsidP="00605266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</w:p>
    <w:p w14:paraId="00F74A56" w14:textId="77777777" w:rsidR="00235FDA" w:rsidRPr="00E24D2B" w:rsidRDefault="00235FDA" w:rsidP="00235FDA">
      <w:pPr>
        <w:pStyle w:val="BodyText"/>
        <w:spacing w:before="0"/>
        <w:ind w:left="720" w:firstLine="72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Management and Operating Experience in Portfolio Companies:</w:t>
      </w:r>
    </w:p>
    <w:p w14:paraId="477D93CC" w14:textId="77777777" w:rsidR="00235FDA" w:rsidRDefault="00235FDA" w:rsidP="00235FDA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Served as director or board observer (including audit, compensation, investment and risk committees) in 4 private companies and 2 publicly traded companies</w:t>
      </w:r>
    </w:p>
    <w:p w14:paraId="6DCF2EE1" w14:textId="77777777" w:rsidR="00235FDA" w:rsidRPr="00167055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Established strategic plan and annual budgets in collaboration with management team</w:t>
      </w:r>
    </w:p>
    <w:p w14:paraId="67901855" w14:textId="41C49DD6" w:rsidR="00235FDA" w:rsidRPr="002F4701" w:rsidRDefault="00235FDA" w:rsidP="002F4701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Played active role in IPO preparation and execution, including S-1 filing, roadshow presentations and investor meetings</w:t>
      </w:r>
    </w:p>
    <w:p w14:paraId="1E026187" w14:textId="77777777" w:rsidR="00235FDA" w:rsidRDefault="00235FDA" w:rsidP="00235FDA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Led successful turnaround of highly levered business following the Great Recession (</w:t>
      </w:r>
      <w:proofErr w:type="spellStart"/>
      <w:r>
        <w:rPr>
          <w:rFonts w:ascii="Times New Roman" w:hAnsi="Times New Roman"/>
          <w:sz w:val="20"/>
        </w:rPr>
        <w:t>Symbion</w:t>
      </w:r>
      <w:proofErr w:type="spellEnd"/>
      <w:r>
        <w:rPr>
          <w:rFonts w:ascii="Times New Roman" w:hAnsi="Times New Roman"/>
          <w:sz w:val="20"/>
        </w:rPr>
        <w:t>)</w:t>
      </w:r>
    </w:p>
    <w:p w14:paraId="5C643A0E" w14:textId="77777777" w:rsid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 cost rationalization and cash conservation to address debt covenant pressure</w:t>
      </w:r>
    </w:p>
    <w:p w14:paraId="0C1405E7" w14:textId="77777777" w:rsid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drove aggressive acquisition strategy to compensate for weak organic/market growth</w:t>
      </w:r>
    </w:p>
    <w:p w14:paraId="77332816" w14:textId="77777777" w:rsid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Negotiated favorable debt restructuring that eliminated covenants and reduced interest burden</w:t>
      </w:r>
    </w:p>
    <w:p w14:paraId="0095C48A" w14:textId="20CDE93F" w:rsid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Sold investment </w:t>
      </w:r>
      <w:r w:rsidR="002F4701">
        <w:rPr>
          <w:rFonts w:ascii="Times New Roman" w:hAnsi="Times New Roman"/>
          <w:sz w:val="20"/>
        </w:rPr>
        <w:t>for a modest gain</w:t>
      </w:r>
      <w:r>
        <w:rPr>
          <w:rFonts w:ascii="Times New Roman" w:hAnsi="Times New Roman"/>
          <w:sz w:val="20"/>
        </w:rPr>
        <w:t>, recovering from a trough valuation of 25% of cost</w:t>
      </w:r>
    </w:p>
    <w:p w14:paraId="0CA18EDE" w14:textId="77777777" w:rsidR="00235FDA" w:rsidRDefault="00235FDA" w:rsidP="00235FDA">
      <w:pPr>
        <w:pStyle w:val="BodyText"/>
        <w:tabs>
          <w:tab w:val="right" w:pos="10800"/>
        </w:tabs>
        <w:spacing w:before="0"/>
        <w:rPr>
          <w:rFonts w:ascii="Times New Roman" w:hAnsi="Times New Roman"/>
          <w:b/>
          <w:sz w:val="20"/>
        </w:rPr>
      </w:pPr>
    </w:p>
    <w:p w14:paraId="2CF29EFC" w14:textId="77777777" w:rsidR="00235FDA" w:rsidRPr="00E24D2B" w:rsidRDefault="00235FDA" w:rsidP="00235FDA">
      <w:pPr>
        <w:pStyle w:val="BodyText"/>
        <w:spacing w:before="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i/>
          <w:sz w:val="20"/>
        </w:rPr>
        <w:t>Industry and Sector Experience:</w:t>
      </w:r>
    </w:p>
    <w:p w14:paraId="72CA01B2" w14:textId="77777777" w:rsidR="00235FDA" w:rsidRDefault="00235FDA" w:rsidP="00235FDA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  <w:t>Performed extensive due diligence and developed strong industry networks in the following sectors:</w:t>
      </w:r>
    </w:p>
    <w:p w14:paraId="4AB0118C" w14:textId="77777777" w:rsidR="00235FDA" w:rsidRPr="0070538F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Healthcare – facility-based providers, physician practices, managed care, payor services, revenue cycle management, HCIT, drug distribution, pharma outsourcing, specialty/generic pharma</w:t>
      </w:r>
    </w:p>
    <w:p w14:paraId="5F9DFE1A" w14:textId="77777777" w:rsid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Financial Services – commercial and consumer banking, insurance underwriting and brokerage, specialty finance, capital markets, asset and wealth management, payment services</w:t>
      </w:r>
    </w:p>
    <w:p w14:paraId="64969C4E" w14:textId="05DE7203" w:rsidR="00235FDA" w:rsidRPr="00235FDA" w:rsidRDefault="00235FDA" w:rsidP="00235FDA">
      <w:pPr>
        <w:pStyle w:val="BodyText"/>
        <w:numPr>
          <w:ilvl w:val="0"/>
          <w:numId w:val="29"/>
        </w:numPr>
        <w:spacing w:befor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Business Services – data analytics, BPO, CRM, HR outsourcing, logistics and facility services</w:t>
      </w:r>
    </w:p>
    <w:p w14:paraId="3ED2F8E7" w14:textId="77777777" w:rsidR="003B0415" w:rsidRDefault="003B0415" w:rsidP="000C03AE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sz w:val="20"/>
        </w:rPr>
      </w:pPr>
    </w:p>
    <w:p w14:paraId="3EA38485" w14:textId="1A567506" w:rsidR="002403C4" w:rsidRPr="000C03AE" w:rsidRDefault="002403C4" w:rsidP="000C03AE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2001 – 2003</w:t>
      </w:r>
      <w:r>
        <w:rPr>
          <w:rFonts w:ascii="Times New Roman" w:hAnsi="Times New Roman"/>
          <w:b/>
          <w:sz w:val="20"/>
        </w:rPr>
        <w:tab/>
        <w:t>THE CARLYLE GROUP</w:t>
      </w:r>
      <w:r w:rsidR="000C03AE">
        <w:rPr>
          <w:rFonts w:ascii="Times New Roman" w:hAnsi="Times New Roman"/>
          <w:b/>
          <w:sz w:val="20"/>
        </w:rPr>
        <w:t xml:space="preserve"> – Associate</w:t>
      </w:r>
      <w:r w:rsidR="009A7320">
        <w:rPr>
          <w:rFonts w:ascii="Times New Roman" w:hAnsi="Times New Roman"/>
          <w:b/>
          <w:sz w:val="20"/>
        </w:rPr>
        <w:t xml:space="preserve">, </w:t>
      </w:r>
      <w:r w:rsidR="000C03AE">
        <w:rPr>
          <w:rFonts w:ascii="Times New Roman" w:hAnsi="Times New Roman"/>
          <w:b/>
          <w:sz w:val="20"/>
        </w:rPr>
        <w:t>Healthcare Buyout Group</w:t>
      </w:r>
      <w:r w:rsidR="009E3172">
        <w:rPr>
          <w:rFonts w:ascii="Times New Roman" w:hAnsi="Times New Roman"/>
          <w:b/>
          <w:sz w:val="20"/>
        </w:rPr>
        <w:tab/>
      </w:r>
      <w:r w:rsidR="00D537DB">
        <w:rPr>
          <w:rFonts w:ascii="Times New Roman" w:hAnsi="Times New Roman"/>
          <w:b/>
          <w:sz w:val="20"/>
        </w:rPr>
        <w:t>New York, NY</w:t>
      </w:r>
    </w:p>
    <w:p w14:paraId="221FAA8D" w14:textId="77777777" w:rsidR="002403C4" w:rsidRPr="00E240D0" w:rsidRDefault="002403C4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sz w:val="20"/>
          <w:szCs w:val="16"/>
        </w:rPr>
      </w:pPr>
    </w:p>
    <w:p w14:paraId="33DE9A99" w14:textId="77777777" w:rsidR="002403C4" w:rsidRPr="004F21B1" w:rsidRDefault="002403C4" w:rsidP="004F21B1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1999 – 2001</w:t>
      </w:r>
      <w:r>
        <w:rPr>
          <w:rFonts w:ascii="Times New Roman" w:hAnsi="Times New Roman"/>
          <w:b/>
          <w:sz w:val="20"/>
        </w:rPr>
        <w:tab/>
        <w:t>GOLDMAN, SACHS &amp; CO.</w:t>
      </w:r>
      <w:r w:rsidR="000C03AE">
        <w:rPr>
          <w:rFonts w:ascii="Times New Roman" w:hAnsi="Times New Roman"/>
          <w:b/>
          <w:sz w:val="20"/>
        </w:rPr>
        <w:t xml:space="preserve"> –</w:t>
      </w:r>
      <w:r w:rsidR="009A7320">
        <w:rPr>
          <w:rFonts w:ascii="Times New Roman" w:hAnsi="Times New Roman"/>
          <w:b/>
          <w:sz w:val="20"/>
        </w:rPr>
        <w:t xml:space="preserve"> Analyst, </w:t>
      </w:r>
      <w:r w:rsidR="000C03AE">
        <w:rPr>
          <w:rFonts w:ascii="Times New Roman" w:hAnsi="Times New Roman"/>
          <w:b/>
          <w:sz w:val="20"/>
        </w:rPr>
        <w:t>Healthcare Investment Banking Group</w:t>
      </w:r>
      <w:r>
        <w:rPr>
          <w:rFonts w:ascii="Times New Roman" w:hAnsi="Times New Roman"/>
          <w:b/>
          <w:sz w:val="20"/>
        </w:rPr>
        <w:tab/>
        <w:t>New York, NY</w:t>
      </w:r>
    </w:p>
    <w:p w14:paraId="7DDD9BF9" w14:textId="77777777" w:rsidR="00A666C0" w:rsidRDefault="00A666C0" w:rsidP="00960486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</w:p>
    <w:p w14:paraId="39B588BB" w14:textId="77777777" w:rsidR="00960486" w:rsidRDefault="002D3FB2" w:rsidP="00960486">
      <w:pPr>
        <w:pStyle w:val="BodyText"/>
        <w:tabs>
          <w:tab w:val="right" w:pos="10800"/>
        </w:tabs>
        <w:spacing w:before="0"/>
        <w:ind w:left="1440" w:hanging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Community</w:t>
      </w:r>
      <w:r w:rsidR="00960486">
        <w:rPr>
          <w:rFonts w:ascii="Times New Roman" w:hAnsi="Times New Roman"/>
          <w:b/>
          <w:sz w:val="20"/>
        </w:rPr>
        <w:tab/>
        <w:t>BREAKTHROUGH NEW YORK</w:t>
      </w:r>
      <w:r w:rsidR="00960486">
        <w:rPr>
          <w:rFonts w:ascii="Times New Roman" w:hAnsi="Times New Roman"/>
          <w:b/>
          <w:sz w:val="20"/>
        </w:rPr>
        <w:tab/>
        <w:t>New York, NY</w:t>
      </w:r>
    </w:p>
    <w:p w14:paraId="044B4FB8" w14:textId="77777777" w:rsidR="00960486" w:rsidRDefault="00960486" w:rsidP="00960486">
      <w:pPr>
        <w:pStyle w:val="BodyText"/>
        <w:spacing w:before="0"/>
        <w:ind w:left="1440" w:hanging="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2015 – </w:t>
      </w:r>
      <w:r w:rsidR="00926071">
        <w:rPr>
          <w:rFonts w:ascii="Times New Roman" w:hAnsi="Times New Roman"/>
          <w:sz w:val="20"/>
        </w:rPr>
        <w:t>2020</w:t>
      </w:r>
      <w:r>
        <w:rPr>
          <w:rFonts w:ascii="Times New Roman" w:hAnsi="Times New Roman"/>
          <w:sz w:val="20"/>
        </w:rPr>
        <w:tab/>
      </w:r>
      <w:r w:rsidR="007D0349">
        <w:rPr>
          <w:rFonts w:ascii="Times New Roman" w:hAnsi="Times New Roman"/>
          <w:i/>
          <w:sz w:val="20"/>
        </w:rPr>
        <w:t>Board Member</w:t>
      </w:r>
    </w:p>
    <w:p w14:paraId="583DFAE4" w14:textId="77777777" w:rsidR="00960486" w:rsidRDefault="00960486" w:rsidP="00960486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7D0349">
        <w:rPr>
          <w:rFonts w:ascii="Times New Roman" w:hAnsi="Times New Roman"/>
          <w:sz w:val="20"/>
        </w:rPr>
        <w:t>Not-for-profit organization providing</w:t>
      </w:r>
      <w:r w:rsidR="00E2668E">
        <w:rPr>
          <w:rFonts w:ascii="Times New Roman" w:hAnsi="Times New Roman"/>
          <w:sz w:val="20"/>
        </w:rPr>
        <w:t xml:space="preserve"> educational support to low-income students from middle school through college with the goal of 90% college graduation rate and 100% employment post-graduation</w:t>
      </w:r>
    </w:p>
    <w:p w14:paraId="5CCEEDBE" w14:textId="77777777" w:rsidR="00BF344E" w:rsidRDefault="00BF344E" w:rsidP="00960486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593EAC">
        <w:rPr>
          <w:rFonts w:ascii="Times New Roman" w:hAnsi="Times New Roman"/>
          <w:sz w:val="20"/>
        </w:rPr>
        <w:t>Served as Treasurer and l</w:t>
      </w:r>
      <w:r w:rsidR="0067241D">
        <w:rPr>
          <w:rFonts w:ascii="Times New Roman" w:hAnsi="Times New Roman"/>
          <w:sz w:val="20"/>
        </w:rPr>
        <w:t xml:space="preserve">ed initiative to improve financial reporting, formalize authority limits and expense policies, and establish investment and cash management </w:t>
      </w:r>
      <w:r w:rsidR="0024234A">
        <w:rPr>
          <w:rFonts w:ascii="Times New Roman" w:hAnsi="Times New Roman"/>
          <w:sz w:val="20"/>
        </w:rPr>
        <w:t>guidelines</w:t>
      </w:r>
    </w:p>
    <w:p w14:paraId="098387F7" w14:textId="77777777" w:rsidR="00772376" w:rsidRDefault="00772376" w:rsidP="00960486">
      <w:pPr>
        <w:pStyle w:val="BodyText"/>
        <w:spacing w:before="0"/>
        <w:ind w:left="171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•</w:t>
      </w:r>
      <w:r>
        <w:rPr>
          <w:rFonts w:ascii="Times New Roman" w:hAnsi="Times New Roman"/>
          <w:sz w:val="20"/>
        </w:rPr>
        <w:tab/>
      </w:r>
      <w:r w:rsidR="00593EAC">
        <w:rPr>
          <w:rFonts w:ascii="Times New Roman" w:hAnsi="Times New Roman"/>
          <w:sz w:val="20"/>
        </w:rPr>
        <w:t xml:space="preserve">Led initiative </w:t>
      </w:r>
      <w:r w:rsidR="00C46EBC">
        <w:rPr>
          <w:rFonts w:ascii="Times New Roman" w:hAnsi="Times New Roman"/>
          <w:sz w:val="20"/>
        </w:rPr>
        <w:t>to develop performance metrics and comparative statistics</w:t>
      </w:r>
      <w:r w:rsidR="00593EAC">
        <w:rPr>
          <w:rFonts w:ascii="Times New Roman" w:hAnsi="Times New Roman"/>
          <w:sz w:val="20"/>
        </w:rPr>
        <w:t xml:space="preserve"> for program management, strategic planning and fundraising</w:t>
      </w:r>
    </w:p>
    <w:p w14:paraId="49F37AF4" w14:textId="7CF2679E" w:rsidR="00AE73EB" w:rsidRDefault="00AE73EB" w:rsidP="000F6531">
      <w:pPr>
        <w:pStyle w:val="BodyText"/>
        <w:spacing w:before="0"/>
        <w:rPr>
          <w:rFonts w:ascii="Times New Roman" w:hAnsi="Times New Roman"/>
          <w:b/>
          <w:sz w:val="20"/>
        </w:rPr>
      </w:pPr>
    </w:p>
    <w:p w14:paraId="1CC0C480" w14:textId="103C8621" w:rsidR="002403C4" w:rsidRDefault="002403C4" w:rsidP="002403C4">
      <w:pPr>
        <w:pStyle w:val="BodyText"/>
        <w:spacing w:before="0"/>
        <w:ind w:left="1440" w:hanging="14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Personal</w:t>
      </w:r>
      <w:r>
        <w:rPr>
          <w:rFonts w:ascii="Times New Roman" w:hAnsi="Times New Roman"/>
          <w:b/>
          <w:sz w:val="20"/>
        </w:rPr>
        <w:tab/>
      </w:r>
      <w:r w:rsidR="00CA2884">
        <w:rPr>
          <w:rFonts w:ascii="Times New Roman" w:hAnsi="Times New Roman"/>
          <w:bCs/>
          <w:sz w:val="20"/>
        </w:rPr>
        <w:t xml:space="preserve">Married with two children.  </w:t>
      </w:r>
      <w:r w:rsidR="00181D28">
        <w:rPr>
          <w:rFonts w:ascii="Times New Roman" w:hAnsi="Times New Roman"/>
          <w:sz w:val="20"/>
        </w:rPr>
        <w:t xml:space="preserve">Born and raised in Hong Kong.  </w:t>
      </w:r>
      <w:r>
        <w:rPr>
          <w:rFonts w:ascii="Times New Roman" w:hAnsi="Times New Roman"/>
          <w:sz w:val="20"/>
        </w:rPr>
        <w:t xml:space="preserve">Fluent in Cantonese, proficient in Mandarin.  </w:t>
      </w:r>
      <w:r w:rsidR="00386A64">
        <w:rPr>
          <w:rFonts w:ascii="Times New Roman" w:hAnsi="Times New Roman"/>
          <w:sz w:val="20"/>
        </w:rPr>
        <w:t xml:space="preserve">CFA </w:t>
      </w:r>
      <w:proofErr w:type="spellStart"/>
      <w:r w:rsidR="00386A64">
        <w:rPr>
          <w:rFonts w:ascii="Times New Roman" w:hAnsi="Times New Roman"/>
          <w:sz w:val="20"/>
        </w:rPr>
        <w:t>Charterholder</w:t>
      </w:r>
      <w:proofErr w:type="spellEnd"/>
      <w:r w:rsidR="00386A64">
        <w:rPr>
          <w:rFonts w:ascii="Times New Roman" w:hAnsi="Times New Roman"/>
          <w:sz w:val="20"/>
        </w:rPr>
        <w:t xml:space="preserve"> (inactive).  </w:t>
      </w:r>
      <w:r>
        <w:rPr>
          <w:rFonts w:ascii="Times New Roman" w:hAnsi="Times New Roman"/>
          <w:sz w:val="20"/>
        </w:rPr>
        <w:t>Enjoy jazz piano</w:t>
      </w:r>
      <w:r w:rsidR="00DE6C85">
        <w:rPr>
          <w:rFonts w:ascii="Times New Roman" w:hAnsi="Times New Roman"/>
          <w:sz w:val="20"/>
        </w:rPr>
        <w:t xml:space="preserve">, </w:t>
      </w:r>
      <w:r w:rsidR="00F95D3F">
        <w:rPr>
          <w:rFonts w:ascii="Times New Roman" w:hAnsi="Times New Roman"/>
          <w:sz w:val="20"/>
        </w:rPr>
        <w:t xml:space="preserve">acoustic </w:t>
      </w:r>
      <w:r w:rsidR="00DE6C85">
        <w:rPr>
          <w:rFonts w:ascii="Times New Roman" w:hAnsi="Times New Roman"/>
          <w:sz w:val="20"/>
        </w:rPr>
        <w:t>guitar, chess</w:t>
      </w:r>
      <w:r w:rsidR="000F6531">
        <w:rPr>
          <w:rFonts w:ascii="Times New Roman" w:hAnsi="Times New Roman"/>
          <w:sz w:val="20"/>
        </w:rPr>
        <w:t>,</w:t>
      </w:r>
      <w:r w:rsidR="006426F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and </w:t>
      </w:r>
      <w:r w:rsidR="00625E2C">
        <w:rPr>
          <w:rFonts w:ascii="Times New Roman" w:hAnsi="Times New Roman"/>
          <w:sz w:val="20"/>
        </w:rPr>
        <w:t>the outdoors</w:t>
      </w:r>
      <w:r>
        <w:rPr>
          <w:rFonts w:ascii="Times New Roman" w:hAnsi="Times New Roman"/>
          <w:sz w:val="20"/>
        </w:rPr>
        <w:t xml:space="preserve">.  Completed 5 Ironman triathlons and </w:t>
      </w:r>
      <w:r w:rsidR="00625E2C">
        <w:rPr>
          <w:rFonts w:ascii="Times New Roman" w:hAnsi="Times New Roman"/>
          <w:sz w:val="20"/>
        </w:rPr>
        <w:t>8 marathons</w:t>
      </w:r>
      <w:r w:rsidR="00AC3F70">
        <w:rPr>
          <w:rFonts w:ascii="Times New Roman" w:hAnsi="Times New Roman"/>
          <w:sz w:val="20"/>
        </w:rPr>
        <w:t xml:space="preserve">, with my last race </w:t>
      </w:r>
      <w:r w:rsidR="00AC3F70" w:rsidRPr="00860491">
        <w:rPr>
          <w:rFonts w:ascii="Times New Roman" w:hAnsi="Times New Roman"/>
          <w:sz w:val="20"/>
        </w:rPr>
        <w:t>circa</w:t>
      </w:r>
      <w:r w:rsidR="00AC3F70">
        <w:rPr>
          <w:rFonts w:ascii="Times New Roman" w:hAnsi="Times New Roman"/>
          <w:sz w:val="20"/>
        </w:rPr>
        <w:t xml:space="preserve"> 2014 B.C. (i.e., before children).</w:t>
      </w:r>
    </w:p>
    <w:sectPr w:rsidR="002403C4" w:rsidSect="00287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5C123" w14:textId="77777777" w:rsidR="00991F90" w:rsidRDefault="00991F90">
      <w:pPr>
        <w:pStyle w:val="Footer"/>
        <w:rPr>
          <w:sz w:val="2"/>
        </w:rPr>
      </w:pPr>
    </w:p>
  </w:endnote>
  <w:endnote w:type="continuationSeparator" w:id="0">
    <w:p w14:paraId="5C7836F7" w14:textId="77777777" w:rsidR="00991F90" w:rsidRDefault="00991F90">
      <w:pPr>
        <w:pStyle w:val="Footer"/>
        <w:rPr>
          <w:sz w:val="2"/>
        </w:rPr>
      </w:pPr>
    </w:p>
  </w:endnote>
  <w:endnote w:type="continuationNotice" w:id="1">
    <w:p w14:paraId="0C1CAA5D" w14:textId="77777777" w:rsidR="00991F90" w:rsidRDefault="00991F90">
      <w:pPr>
        <w:pStyle w:val="Footer"/>
        <w:rPr>
          <w:sz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FE0A" w14:textId="77777777" w:rsidR="000A003A" w:rsidRDefault="000A0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D5C8" w14:textId="77777777" w:rsidR="00C670BF" w:rsidRDefault="00C670BF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0D643" w14:textId="77777777" w:rsidR="000A003A" w:rsidRDefault="000A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99A12" w14:textId="77777777" w:rsidR="00991F90" w:rsidRDefault="00991F90">
      <w:pPr>
        <w:pStyle w:val="Footer"/>
        <w:rPr>
          <w:sz w:val="2"/>
        </w:rPr>
      </w:pPr>
    </w:p>
  </w:footnote>
  <w:footnote w:type="continuationSeparator" w:id="0">
    <w:p w14:paraId="2BDF71B9" w14:textId="77777777" w:rsidR="00991F90" w:rsidRDefault="00991F90">
      <w:pPr>
        <w:pStyle w:val="Footer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6CC3A" w14:textId="77777777" w:rsidR="000A003A" w:rsidRDefault="000A0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1B85B" w14:textId="77777777" w:rsidR="000A003A" w:rsidRDefault="000A0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7478" w14:textId="77777777" w:rsidR="000A003A" w:rsidRDefault="000A0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BA65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578E4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AB6E8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A09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90B9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0B8E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AAD2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D6EB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B0067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C0657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8E0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42E80B14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3.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3.%4. 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3.%4.%5. 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3.%4.%5.%6.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3.%4.%5.%6.%7.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pStyle w:val="Heading8"/>
      <w:suff w:val="nothing"/>
      <w:lvlText w:val="Appendix %8.   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suff w:val="nothing"/>
      <w:lvlText w:val="%8.%9.   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91F6F5A"/>
    <w:multiLevelType w:val="hybridMultilevel"/>
    <w:tmpl w:val="E4ECCDAA"/>
    <w:lvl w:ilvl="0" w:tplc="C3C84762">
      <w:start w:val="2001"/>
      <w:numFmt w:val="bullet"/>
      <w:lvlText w:val="–"/>
      <w:lvlJc w:val="left"/>
      <w:pPr>
        <w:tabs>
          <w:tab w:val="num" w:pos="2070"/>
        </w:tabs>
        <w:ind w:left="20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24D81E2B"/>
    <w:multiLevelType w:val="hybridMultilevel"/>
    <w:tmpl w:val="270C629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2F4477C8"/>
    <w:multiLevelType w:val="hybridMultilevel"/>
    <w:tmpl w:val="F10E52D6"/>
    <w:lvl w:ilvl="0" w:tplc="D56C19FA">
      <w:numFmt w:val="bullet"/>
      <w:lvlText w:val="–"/>
      <w:lvlJc w:val="left"/>
      <w:pPr>
        <w:ind w:left="207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38402067"/>
    <w:multiLevelType w:val="hybridMultilevel"/>
    <w:tmpl w:val="DDAA7738"/>
    <w:lvl w:ilvl="0" w:tplc="49D49A7A">
      <w:start w:val="2001"/>
      <w:numFmt w:val="bullet"/>
      <w:lvlText w:val="–"/>
      <w:lvlJc w:val="left"/>
      <w:pPr>
        <w:tabs>
          <w:tab w:val="num" w:pos="2070"/>
        </w:tabs>
        <w:ind w:left="20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3C16600B"/>
    <w:multiLevelType w:val="hybridMultilevel"/>
    <w:tmpl w:val="04AC7638"/>
    <w:lvl w:ilvl="0" w:tplc="FF842022">
      <w:start w:val="2001"/>
      <w:numFmt w:val="bullet"/>
      <w:lvlText w:val="–"/>
      <w:lvlJc w:val="left"/>
      <w:pPr>
        <w:tabs>
          <w:tab w:val="num" w:pos="2070"/>
        </w:tabs>
        <w:ind w:left="20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48256D6C"/>
    <w:multiLevelType w:val="singleLevel"/>
    <w:tmpl w:val="4E185B68"/>
    <w:lvl w:ilvl="0">
      <w:start w:val="1"/>
      <w:numFmt w:val="upperRoman"/>
      <w:pStyle w:val="TableTOE1SS"/>
      <w:lvlText w:val="%1"/>
      <w:legacy w:legacy="1" w:legacySpace="0" w:legacyIndent="0"/>
      <w:lvlJc w:val="center"/>
      <w:pPr>
        <w:ind w:left="0" w:firstLine="0"/>
      </w:pPr>
    </w:lvl>
  </w:abstractNum>
  <w:abstractNum w:abstractNumId="18" w15:restartNumberingAfterBreak="0">
    <w:nsid w:val="741937BC"/>
    <w:multiLevelType w:val="hybridMultilevel"/>
    <w:tmpl w:val="8DCC76F0"/>
    <w:lvl w:ilvl="0" w:tplc="FFFFFFFF">
      <w:start w:val="1"/>
      <w:numFmt w:val="lowerLetter"/>
      <w:pStyle w:val="Footnote"/>
      <w:lvlText w:val="(%1)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0261DE"/>
    <w:multiLevelType w:val="singleLevel"/>
    <w:tmpl w:val="3306C7C6"/>
    <w:lvl w:ilvl="0">
      <w:start w:val="1"/>
      <w:numFmt w:val="upperLetter"/>
      <w:pStyle w:val="TableTOE2SS"/>
      <w:lvlText w:val="%1"/>
      <w:legacy w:legacy="1" w:legacySpace="0" w:legacyIndent="0"/>
      <w:lvlJc w:val="center"/>
      <w:pPr>
        <w:ind w:left="0" w:firstLine="0"/>
      </w:pPr>
    </w:lvl>
  </w:abstractNum>
  <w:abstractNum w:abstractNumId="20" w15:restartNumberingAfterBreak="0">
    <w:nsid w:val="7A4A3FB2"/>
    <w:multiLevelType w:val="hybridMultilevel"/>
    <w:tmpl w:val="01486AEA"/>
    <w:lvl w:ilvl="0" w:tplc="58AACD3C">
      <w:start w:val="2001"/>
      <w:numFmt w:val="bullet"/>
      <w:lvlText w:val="–"/>
      <w:lvlJc w:val="left"/>
      <w:pPr>
        <w:tabs>
          <w:tab w:val="num" w:pos="2070"/>
        </w:tabs>
        <w:ind w:left="20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BF52B75"/>
    <w:multiLevelType w:val="hybridMultilevel"/>
    <w:tmpl w:val="BA12F6B4"/>
    <w:lvl w:ilvl="0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num w:numId="1" w16cid:durableId="1851019017">
    <w:abstractNumId w:val="18"/>
  </w:num>
  <w:num w:numId="2" w16cid:durableId="1101947415">
    <w:abstractNumId w:val="17"/>
  </w:num>
  <w:num w:numId="3" w16cid:durableId="1510172232">
    <w:abstractNumId w:val="19"/>
  </w:num>
  <w:num w:numId="4" w16cid:durableId="510922808">
    <w:abstractNumId w:val="11"/>
  </w:num>
  <w:num w:numId="5" w16cid:durableId="1552617283">
    <w:abstractNumId w:val="11"/>
  </w:num>
  <w:num w:numId="6" w16cid:durableId="786238734">
    <w:abstractNumId w:val="11"/>
  </w:num>
  <w:num w:numId="7" w16cid:durableId="2072144496">
    <w:abstractNumId w:val="11"/>
  </w:num>
  <w:num w:numId="8" w16cid:durableId="527375639">
    <w:abstractNumId w:val="11"/>
  </w:num>
  <w:num w:numId="9" w16cid:durableId="774979806">
    <w:abstractNumId w:val="11"/>
  </w:num>
  <w:num w:numId="10" w16cid:durableId="1141118450">
    <w:abstractNumId w:val="11"/>
  </w:num>
  <w:num w:numId="11" w16cid:durableId="475538774">
    <w:abstractNumId w:val="11"/>
  </w:num>
  <w:num w:numId="12" w16cid:durableId="152839034">
    <w:abstractNumId w:val="11"/>
  </w:num>
  <w:num w:numId="13" w16cid:durableId="1075322057">
    <w:abstractNumId w:val="10"/>
  </w:num>
  <w:num w:numId="14" w16cid:durableId="99573148">
    <w:abstractNumId w:val="8"/>
  </w:num>
  <w:num w:numId="15" w16cid:durableId="1761874838">
    <w:abstractNumId w:val="7"/>
  </w:num>
  <w:num w:numId="16" w16cid:durableId="120419606">
    <w:abstractNumId w:val="6"/>
  </w:num>
  <w:num w:numId="17" w16cid:durableId="211232493">
    <w:abstractNumId w:val="5"/>
  </w:num>
  <w:num w:numId="18" w16cid:durableId="21713468">
    <w:abstractNumId w:val="9"/>
  </w:num>
  <w:num w:numId="19" w16cid:durableId="462046174">
    <w:abstractNumId w:val="4"/>
  </w:num>
  <w:num w:numId="20" w16cid:durableId="1688099442">
    <w:abstractNumId w:val="3"/>
  </w:num>
  <w:num w:numId="21" w16cid:durableId="2133671071">
    <w:abstractNumId w:val="2"/>
  </w:num>
  <w:num w:numId="22" w16cid:durableId="1892616350">
    <w:abstractNumId w:val="1"/>
  </w:num>
  <w:num w:numId="23" w16cid:durableId="905191818">
    <w:abstractNumId w:val="15"/>
  </w:num>
  <w:num w:numId="24" w16cid:durableId="1536388178">
    <w:abstractNumId w:val="20"/>
  </w:num>
  <w:num w:numId="25" w16cid:durableId="1460877098">
    <w:abstractNumId w:val="16"/>
  </w:num>
  <w:num w:numId="26" w16cid:durableId="22479527">
    <w:abstractNumId w:val="12"/>
  </w:num>
  <w:num w:numId="27" w16cid:durableId="1719890159">
    <w:abstractNumId w:val="14"/>
  </w:num>
  <w:num w:numId="28" w16cid:durableId="1519730970">
    <w:abstractNumId w:val="21"/>
  </w:num>
  <w:num w:numId="29" w16cid:durableId="1153908368">
    <w:abstractNumId w:val="13"/>
  </w:num>
  <w:num w:numId="30" w16cid:durableId="158020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suppressTopSpacing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9"/>
    <w:rsid w:val="00001355"/>
    <w:rsid w:val="000061D8"/>
    <w:rsid w:val="00006829"/>
    <w:rsid w:val="00013417"/>
    <w:rsid w:val="00014AF8"/>
    <w:rsid w:val="00024D80"/>
    <w:rsid w:val="000279EE"/>
    <w:rsid w:val="00032E98"/>
    <w:rsid w:val="000371FA"/>
    <w:rsid w:val="0004053B"/>
    <w:rsid w:val="00045C30"/>
    <w:rsid w:val="00082923"/>
    <w:rsid w:val="0008361B"/>
    <w:rsid w:val="00091C41"/>
    <w:rsid w:val="000929EA"/>
    <w:rsid w:val="0009321B"/>
    <w:rsid w:val="000A003A"/>
    <w:rsid w:val="000A441D"/>
    <w:rsid w:val="000A6E3D"/>
    <w:rsid w:val="000C03AE"/>
    <w:rsid w:val="000C27EF"/>
    <w:rsid w:val="000C4644"/>
    <w:rsid w:val="000C471E"/>
    <w:rsid w:val="000C66FC"/>
    <w:rsid w:val="000E5671"/>
    <w:rsid w:val="000F6531"/>
    <w:rsid w:val="000F7536"/>
    <w:rsid w:val="0011444F"/>
    <w:rsid w:val="001339B9"/>
    <w:rsid w:val="001532BB"/>
    <w:rsid w:val="00153855"/>
    <w:rsid w:val="001560C2"/>
    <w:rsid w:val="00157691"/>
    <w:rsid w:val="00157EBC"/>
    <w:rsid w:val="00160CA7"/>
    <w:rsid w:val="00163DC4"/>
    <w:rsid w:val="0016666B"/>
    <w:rsid w:val="00167055"/>
    <w:rsid w:val="00170F05"/>
    <w:rsid w:val="00181D28"/>
    <w:rsid w:val="001930B4"/>
    <w:rsid w:val="00193BC7"/>
    <w:rsid w:val="001A2E52"/>
    <w:rsid w:val="001A379D"/>
    <w:rsid w:val="001B02D7"/>
    <w:rsid w:val="001C08D6"/>
    <w:rsid w:val="001D669A"/>
    <w:rsid w:val="001E12F3"/>
    <w:rsid w:val="001E403F"/>
    <w:rsid w:val="001E6B44"/>
    <w:rsid w:val="001E7B49"/>
    <w:rsid w:val="001F1B8F"/>
    <w:rsid w:val="001F3C41"/>
    <w:rsid w:val="001F3DB0"/>
    <w:rsid w:val="002016CE"/>
    <w:rsid w:val="002061BD"/>
    <w:rsid w:val="00226051"/>
    <w:rsid w:val="0023284D"/>
    <w:rsid w:val="00235FDA"/>
    <w:rsid w:val="002403C4"/>
    <w:rsid w:val="0024234A"/>
    <w:rsid w:val="002446D3"/>
    <w:rsid w:val="00251609"/>
    <w:rsid w:val="00261D1F"/>
    <w:rsid w:val="00270FE3"/>
    <w:rsid w:val="0027594E"/>
    <w:rsid w:val="00281AA5"/>
    <w:rsid w:val="002859B8"/>
    <w:rsid w:val="00287F70"/>
    <w:rsid w:val="002A0A5A"/>
    <w:rsid w:val="002B21CC"/>
    <w:rsid w:val="002B2F25"/>
    <w:rsid w:val="002B33B6"/>
    <w:rsid w:val="002B4D33"/>
    <w:rsid w:val="002B5D1C"/>
    <w:rsid w:val="002B7FFA"/>
    <w:rsid w:val="002C1CA2"/>
    <w:rsid w:val="002D250A"/>
    <w:rsid w:val="002D31F2"/>
    <w:rsid w:val="002D3FB2"/>
    <w:rsid w:val="002E60B0"/>
    <w:rsid w:val="002F0049"/>
    <w:rsid w:val="002F1D39"/>
    <w:rsid w:val="002F4701"/>
    <w:rsid w:val="00306E6D"/>
    <w:rsid w:val="00311947"/>
    <w:rsid w:val="003149BE"/>
    <w:rsid w:val="00315ECB"/>
    <w:rsid w:val="003268E1"/>
    <w:rsid w:val="00330997"/>
    <w:rsid w:val="00357CD0"/>
    <w:rsid w:val="00367007"/>
    <w:rsid w:val="00372B8E"/>
    <w:rsid w:val="00373617"/>
    <w:rsid w:val="00386A64"/>
    <w:rsid w:val="00393B5E"/>
    <w:rsid w:val="003A43AE"/>
    <w:rsid w:val="003B0415"/>
    <w:rsid w:val="003B44E5"/>
    <w:rsid w:val="003B5596"/>
    <w:rsid w:val="003B5B60"/>
    <w:rsid w:val="003C4CD8"/>
    <w:rsid w:val="003C58B2"/>
    <w:rsid w:val="003D7490"/>
    <w:rsid w:val="003E09E2"/>
    <w:rsid w:val="003E1EE1"/>
    <w:rsid w:val="003E5220"/>
    <w:rsid w:val="003F24B9"/>
    <w:rsid w:val="003F5C74"/>
    <w:rsid w:val="003F62E0"/>
    <w:rsid w:val="00410F07"/>
    <w:rsid w:val="004174BF"/>
    <w:rsid w:val="00420267"/>
    <w:rsid w:val="00420E36"/>
    <w:rsid w:val="004214B4"/>
    <w:rsid w:val="004341DB"/>
    <w:rsid w:val="0045228B"/>
    <w:rsid w:val="0045233E"/>
    <w:rsid w:val="00470866"/>
    <w:rsid w:val="00472673"/>
    <w:rsid w:val="004739BC"/>
    <w:rsid w:val="004847AA"/>
    <w:rsid w:val="00486E90"/>
    <w:rsid w:val="004A4B18"/>
    <w:rsid w:val="004B062A"/>
    <w:rsid w:val="004B3040"/>
    <w:rsid w:val="004B39B3"/>
    <w:rsid w:val="004B49AF"/>
    <w:rsid w:val="004B7586"/>
    <w:rsid w:val="004C24CE"/>
    <w:rsid w:val="004D1F9B"/>
    <w:rsid w:val="004D5E1D"/>
    <w:rsid w:val="004D6299"/>
    <w:rsid w:val="004E02DC"/>
    <w:rsid w:val="004F117F"/>
    <w:rsid w:val="004F21B1"/>
    <w:rsid w:val="004F36F4"/>
    <w:rsid w:val="004F55C3"/>
    <w:rsid w:val="004F6471"/>
    <w:rsid w:val="004F697F"/>
    <w:rsid w:val="00510448"/>
    <w:rsid w:val="0052351D"/>
    <w:rsid w:val="00526261"/>
    <w:rsid w:val="00526C87"/>
    <w:rsid w:val="0053503F"/>
    <w:rsid w:val="00536C1B"/>
    <w:rsid w:val="00546700"/>
    <w:rsid w:val="0055105C"/>
    <w:rsid w:val="00551D88"/>
    <w:rsid w:val="00555E61"/>
    <w:rsid w:val="00565993"/>
    <w:rsid w:val="00567D1E"/>
    <w:rsid w:val="00567D8C"/>
    <w:rsid w:val="00570035"/>
    <w:rsid w:val="00573CE4"/>
    <w:rsid w:val="00582A08"/>
    <w:rsid w:val="00587200"/>
    <w:rsid w:val="00593EAC"/>
    <w:rsid w:val="00597B7D"/>
    <w:rsid w:val="005A0078"/>
    <w:rsid w:val="005A673F"/>
    <w:rsid w:val="005D442A"/>
    <w:rsid w:val="005D7069"/>
    <w:rsid w:val="005E33D1"/>
    <w:rsid w:val="005E4679"/>
    <w:rsid w:val="005E6FAA"/>
    <w:rsid w:val="005E7563"/>
    <w:rsid w:val="005E79D7"/>
    <w:rsid w:val="005F2ED4"/>
    <w:rsid w:val="005F5672"/>
    <w:rsid w:val="005F5A0E"/>
    <w:rsid w:val="005F5F80"/>
    <w:rsid w:val="00602A0E"/>
    <w:rsid w:val="00605266"/>
    <w:rsid w:val="00614295"/>
    <w:rsid w:val="0061720F"/>
    <w:rsid w:val="00625987"/>
    <w:rsid w:val="00625DE2"/>
    <w:rsid w:val="00625E2C"/>
    <w:rsid w:val="0063061A"/>
    <w:rsid w:val="00630A17"/>
    <w:rsid w:val="0063508C"/>
    <w:rsid w:val="00636E61"/>
    <w:rsid w:val="00637BD3"/>
    <w:rsid w:val="006426F9"/>
    <w:rsid w:val="00643FA5"/>
    <w:rsid w:val="006444F3"/>
    <w:rsid w:val="00651CDF"/>
    <w:rsid w:val="00656604"/>
    <w:rsid w:val="00661AD4"/>
    <w:rsid w:val="00663806"/>
    <w:rsid w:val="00664441"/>
    <w:rsid w:val="00671074"/>
    <w:rsid w:val="0067118B"/>
    <w:rsid w:val="00671484"/>
    <w:rsid w:val="0067241D"/>
    <w:rsid w:val="006735C0"/>
    <w:rsid w:val="006804A5"/>
    <w:rsid w:val="00687308"/>
    <w:rsid w:val="00690514"/>
    <w:rsid w:val="00692615"/>
    <w:rsid w:val="0069603A"/>
    <w:rsid w:val="00696CD5"/>
    <w:rsid w:val="006A2924"/>
    <w:rsid w:val="006B53BC"/>
    <w:rsid w:val="006C757E"/>
    <w:rsid w:val="006D1719"/>
    <w:rsid w:val="006E6EF3"/>
    <w:rsid w:val="006F1E1A"/>
    <w:rsid w:val="006F4B49"/>
    <w:rsid w:val="0070538F"/>
    <w:rsid w:val="00713CE4"/>
    <w:rsid w:val="00726CC9"/>
    <w:rsid w:val="00726E5D"/>
    <w:rsid w:val="0073179F"/>
    <w:rsid w:val="00731BD7"/>
    <w:rsid w:val="0073341D"/>
    <w:rsid w:val="00733681"/>
    <w:rsid w:val="00745CE9"/>
    <w:rsid w:val="00753015"/>
    <w:rsid w:val="00754D86"/>
    <w:rsid w:val="00756EDC"/>
    <w:rsid w:val="0076411A"/>
    <w:rsid w:val="00765DFD"/>
    <w:rsid w:val="0076742F"/>
    <w:rsid w:val="00772376"/>
    <w:rsid w:val="0077318E"/>
    <w:rsid w:val="00774FCB"/>
    <w:rsid w:val="00781CCD"/>
    <w:rsid w:val="00784660"/>
    <w:rsid w:val="00786AF6"/>
    <w:rsid w:val="0079551A"/>
    <w:rsid w:val="007B74E6"/>
    <w:rsid w:val="007C1C1F"/>
    <w:rsid w:val="007C7BB2"/>
    <w:rsid w:val="007D0349"/>
    <w:rsid w:val="007D24D7"/>
    <w:rsid w:val="007D5335"/>
    <w:rsid w:val="007E4F5C"/>
    <w:rsid w:val="007E4FB5"/>
    <w:rsid w:val="007E75FD"/>
    <w:rsid w:val="008043C6"/>
    <w:rsid w:val="00810F5A"/>
    <w:rsid w:val="00821CB7"/>
    <w:rsid w:val="0082596C"/>
    <w:rsid w:val="00831205"/>
    <w:rsid w:val="008334C8"/>
    <w:rsid w:val="00860491"/>
    <w:rsid w:val="00864D86"/>
    <w:rsid w:val="00870581"/>
    <w:rsid w:val="00874DEC"/>
    <w:rsid w:val="008774A7"/>
    <w:rsid w:val="00883D6A"/>
    <w:rsid w:val="00886F61"/>
    <w:rsid w:val="00890154"/>
    <w:rsid w:val="00893B6B"/>
    <w:rsid w:val="00895813"/>
    <w:rsid w:val="008A0AC0"/>
    <w:rsid w:val="008A264D"/>
    <w:rsid w:val="008B2126"/>
    <w:rsid w:val="008B648C"/>
    <w:rsid w:val="008C1A53"/>
    <w:rsid w:val="008D6824"/>
    <w:rsid w:val="008F052B"/>
    <w:rsid w:val="00900354"/>
    <w:rsid w:val="00903A7C"/>
    <w:rsid w:val="009040AA"/>
    <w:rsid w:val="009055CC"/>
    <w:rsid w:val="00907BE0"/>
    <w:rsid w:val="0091776C"/>
    <w:rsid w:val="00923642"/>
    <w:rsid w:val="00926071"/>
    <w:rsid w:val="009306A3"/>
    <w:rsid w:val="009309D5"/>
    <w:rsid w:val="00930CEF"/>
    <w:rsid w:val="009333AB"/>
    <w:rsid w:val="009339D2"/>
    <w:rsid w:val="00942538"/>
    <w:rsid w:val="00943F4F"/>
    <w:rsid w:val="009445F9"/>
    <w:rsid w:val="0094771F"/>
    <w:rsid w:val="009567F0"/>
    <w:rsid w:val="00957D18"/>
    <w:rsid w:val="00960486"/>
    <w:rsid w:val="009604CC"/>
    <w:rsid w:val="00972317"/>
    <w:rsid w:val="0097267B"/>
    <w:rsid w:val="00973DEE"/>
    <w:rsid w:val="00977B52"/>
    <w:rsid w:val="00984DBB"/>
    <w:rsid w:val="0099070B"/>
    <w:rsid w:val="00990B6C"/>
    <w:rsid w:val="009912EB"/>
    <w:rsid w:val="00991F90"/>
    <w:rsid w:val="00992EE6"/>
    <w:rsid w:val="0099606E"/>
    <w:rsid w:val="009A565C"/>
    <w:rsid w:val="009A7320"/>
    <w:rsid w:val="009B6F27"/>
    <w:rsid w:val="009C29AA"/>
    <w:rsid w:val="009D0FEC"/>
    <w:rsid w:val="009D2D44"/>
    <w:rsid w:val="009E1010"/>
    <w:rsid w:val="009E3172"/>
    <w:rsid w:val="009F4BCD"/>
    <w:rsid w:val="00A14128"/>
    <w:rsid w:val="00A149E1"/>
    <w:rsid w:val="00A22263"/>
    <w:rsid w:val="00A251AA"/>
    <w:rsid w:val="00A27271"/>
    <w:rsid w:val="00A301ED"/>
    <w:rsid w:val="00A32C59"/>
    <w:rsid w:val="00A37898"/>
    <w:rsid w:val="00A37A34"/>
    <w:rsid w:val="00A46A0A"/>
    <w:rsid w:val="00A5202E"/>
    <w:rsid w:val="00A55545"/>
    <w:rsid w:val="00A56DF8"/>
    <w:rsid w:val="00A666C0"/>
    <w:rsid w:val="00A708C2"/>
    <w:rsid w:val="00A943DB"/>
    <w:rsid w:val="00AA74D7"/>
    <w:rsid w:val="00AB68E5"/>
    <w:rsid w:val="00AC1C0D"/>
    <w:rsid w:val="00AC3F70"/>
    <w:rsid w:val="00AC5C41"/>
    <w:rsid w:val="00AC7198"/>
    <w:rsid w:val="00AE0F2E"/>
    <w:rsid w:val="00AE2983"/>
    <w:rsid w:val="00AE3BAB"/>
    <w:rsid w:val="00AE51BB"/>
    <w:rsid w:val="00AE73EB"/>
    <w:rsid w:val="00AF01D2"/>
    <w:rsid w:val="00B03774"/>
    <w:rsid w:val="00B06E5C"/>
    <w:rsid w:val="00B10AD1"/>
    <w:rsid w:val="00B12870"/>
    <w:rsid w:val="00B14B34"/>
    <w:rsid w:val="00B16722"/>
    <w:rsid w:val="00B20910"/>
    <w:rsid w:val="00B22A49"/>
    <w:rsid w:val="00B25A66"/>
    <w:rsid w:val="00B37815"/>
    <w:rsid w:val="00B42837"/>
    <w:rsid w:val="00B430C4"/>
    <w:rsid w:val="00B55089"/>
    <w:rsid w:val="00B64F27"/>
    <w:rsid w:val="00B7438E"/>
    <w:rsid w:val="00B759E4"/>
    <w:rsid w:val="00B90861"/>
    <w:rsid w:val="00B93B5B"/>
    <w:rsid w:val="00B9557E"/>
    <w:rsid w:val="00BA0E1A"/>
    <w:rsid w:val="00BA3664"/>
    <w:rsid w:val="00BA7A47"/>
    <w:rsid w:val="00BC44CD"/>
    <w:rsid w:val="00BD0CB3"/>
    <w:rsid w:val="00BD41D8"/>
    <w:rsid w:val="00BD56AF"/>
    <w:rsid w:val="00BD6629"/>
    <w:rsid w:val="00BE003B"/>
    <w:rsid w:val="00BF1BCD"/>
    <w:rsid w:val="00BF344E"/>
    <w:rsid w:val="00BF5FE0"/>
    <w:rsid w:val="00C0720D"/>
    <w:rsid w:val="00C11FD1"/>
    <w:rsid w:val="00C17059"/>
    <w:rsid w:val="00C26082"/>
    <w:rsid w:val="00C33C17"/>
    <w:rsid w:val="00C44634"/>
    <w:rsid w:val="00C44F4F"/>
    <w:rsid w:val="00C46EBC"/>
    <w:rsid w:val="00C65AB7"/>
    <w:rsid w:val="00C6632A"/>
    <w:rsid w:val="00C670BF"/>
    <w:rsid w:val="00C9518C"/>
    <w:rsid w:val="00CA0F49"/>
    <w:rsid w:val="00CA1257"/>
    <w:rsid w:val="00CA1667"/>
    <w:rsid w:val="00CA2884"/>
    <w:rsid w:val="00CA2B4B"/>
    <w:rsid w:val="00CB36FA"/>
    <w:rsid w:val="00CC3067"/>
    <w:rsid w:val="00CD2F4E"/>
    <w:rsid w:val="00CD4A6F"/>
    <w:rsid w:val="00CD7277"/>
    <w:rsid w:val="00CE57C5"/>
    <w:rsid w:val="00D0295F"/>
    <w:rsid w:val="00D05FE0"/>
    <w:rsid w:val="00D20A2D"/>
    <w:rsid w:val="00D445DF"/>
    <w:rsid w:val="00D45EBF"/>
    <w:rsid w:val="00D537DB"/>
    <w:rsid w:val="00D53BDC"/>
    <w:rsid w:val="00D5468C"/>
    <w:rsid w:val="00D7002C"/>
    <w:rsid w:val="00D733C2"/>
    <w:rsid w:val="00D7713C"/>
    <w:rsid w:val="00D81119"/>
    <w:rsid w:val="00D81286"/>
    <w:rsid w:val="00D8242F"/>
    <w:rsid w:val="00D8250C"/>
    <w:rsid w:val="00D87D3B"/>
    <w:rsid w:val="00D90705"/>
    <w:rsid w:val="00D930A4"/>
    <w:rsid w:val="00DA044F"/>
    <w:rsid w:val="00DA429B"/>
    <w:rsid w:val="00DB4FFC"/>
    <w:rsid w:val="00DB7D51"/>
    <w:rsid w:val="00DC09D0"/>
    <w:rsid w:val="00DE43EC"/>
    <w:rsid w:val="00DE4710"/>
    <w:rsid w:val="00DE6C85"/>
    <w:rsid w:val="00DF1536"/>
    <w:rsid w:val="00E03CAB"/>
    <w:rsid w:val="00E0592C"/>
    <w:rsid w:val="00E14B80"/>
    <w:rsid w:val="00E22BAF"/>
    <w:rsid w:val="00E24D2B"/>
    <w:rsid w:val="00E257A7"/>
    <w:rsid w:val="00E2668E"/>
    <w:rsid w:val="00E35B2F"/>
    <w:rsid w:val="00E368CD"/>
    <w:rsid w:val="00E413C7"/>
    <w:rsid w:val="00E50A9B"/>
    <w:rsid w:val="00E5430F"/>
    <w:rsid w:val="00E565AF"/>
    <w:rsid w:val="00E60BB2"/>
    <w:rsid w:val="00E6238A"/>
    <w:rsid w:val="00E65674"/>
    <w:rsid w:val="00E7465E"/>
    <w:rsid w:val="00E85FC9"/>
    <w:rsid w:val="00E9267E"/>
    <w:rsid w:val="00E95D8B"/>
    <w:rsid w:val="00EA7119"/>
    <w:rsid w:val="00EB253B"/>
    <w:rsid w:val="00EB30E1"/>
    <w:rsid w:val="00EC00E1"/>
    <w:rsid w:val="00EC02A1"/>
    <w:rsid w:val="00EC7B7C"/>
    <w:rsid w:val="00ED4475"/>
    <w:rsid w:val="00EE0524"/>
    <w:rsid w:val="00EE0DF2"/>
    <w:rsid w:val="00EE2AA4"/>
    <w:rsid w:val="00EF2333"/>
    <w:rsid w:val="00EF33D4"/>
    <w:rsid w:val="00EF377C"/>
    <w:rsid w:val="00F047AF"/>
    <w:rsid w:val="00F10D37"/>
    <w:rsid w:val="00F166EF"/>
    <w:rsid w:val="00F20AA5"/>
    <w:rsid w:val="00F20E8B"/>
    <w:rsid w:val="00F37683"/>
    <w:rsid w:val="00F57A64"/>
    <w:rsid w:val="00F57E03"/>
    <w:rsid w:val="00F62A88"/>
    <w:rsid w:val="00F63FAA"/>
    <w:rsid w:val="00F771FB"/>
    <w:rsid w:val="00F8202C"/>
    <w:rsid w:val="00F85325"/>
    <w:rsid w:val="00F86576"/>
    <w:rsid w:val="00F87DDA"/>
    <w:rsid w:val="00F919B0"/>
    <w:rsid w:val="00F9567D"/>
    <w:rsid w:val="00F95D3F"/>
    <w:rsid w:val="00FB2F5E"/>
    <w:rsid w:val="00FB53CE"/>
    <w:rsid w:val="00FC2EDE"/>
    <w:rsid w:val="00FC4A8E"/>
    <w:rsid w:val="00FC7E7F"/>
    <w:rsid w:val="00FD30B8"/>
    <w:rsid w:val="00FD4617"/>
    <w:rsid w:val="00FE4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EB96"/>
  <w14:defaultImageDpi w14:val="300"/>
  <w15:chartTrackingRefBased/>
  <w15:docId w15:val="{85D3BC88-6D49-6A4E-B9F6-45063C3E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Pr>
      <w:rFonts w:ascii="Arial" w:hAnsi="Arial"/>
      <w:color w:val="000000"/>
      <w:kern w:val="2"/>
      <w:sz w:val="22"/>
      <w:lang w:eastAsia="zh-CN"/>
    </w:rPr>
  </w:style>
  <w:style w:type="paragraph" w:styleId="Heading1">
    <w:name w:val="heading 1"/>
    <w:basedOn w:val="Normal"/>
    <w:next w:val="BodyText"/>
    <w:qFormat/>
    <w:pPr>
      <w:pageBreakBefore/>
      <w:numPr>
        <w:numId w:val="4"/>
      </w:numPr>
      <w:pBdr>
        <w:top w:val="single" w:sz="12" w:space="3" w:color="000080"/>
        <w:left w:val="single" w:sz="12" w:space="2" w:color="000080"/>
        <w:bottom w:val="single" w:sz="12" w:space="3" w:color="000080"/>
        <w:right w:val="single" w:sz="12" w:space="2" w:color="000080"/>
      </w:pBdr>
      <w:shd w:val="clear" w:color="000080" w:fill="000080"/>
      <w:spacing w:after="60"/>
      <w:jc w:val="center"/>
      <w:outlineLvl w:val="0"/>
    </w:pPr>
    <w:rPr>
      <w:b/>
      <w:color w:val="FFFFFF"/>
      <w:lang w:bidi="he-IL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5"/>
      </w:numPr>
      <w:pBdr>
        <w:top w:val="single" w:sz="12" w:space="4" w:color="000080"/>
        <w:left w:val="single" w:sz="12" w:space="2" w:color="000080"/>
        <w:bottom w:val="single" w:sz="12" w:space="3" w:color="000080"/>
        <w:right w:val="single" w:sz="12" w:space="2" w:color="000080"/>
      </w:pBdr>
      <w:shd w:val="clear" w:color="C0C0C0" w:fill="auto"/>
      <w:spacing w:after="60"/>
      <w:jc w:val="center"/>
      <w:outlineLvl w:val="1"/>
    </w:pPr>
    <w:rPr>
      <w:b/>
      <w:bCs/>
      <w:color w:val="000080"/>
      <w:lang w:bidi="he-IL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220"/>
      <w:textAlignment w:val="baseline"/>
      <w:outlineLvl w:val="2"/>
    </w:pPr>
    <w:rPr>
      <w:b/>
      <w:lang w:bidi="he-IL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7"/>
      </w:numPr>
      <w:overflowPunct w:val="0"/>
      <w:autoSpaceDE w:val="0"/>
      <w:autoSpaceDN w:val="0"/>
      <w:adjustRightInd w:val="0"/>
      <w:spacing w:before="220"/>
      <w:textAlignment w:val="baseline"/>
      <w:outlineLvl w:val="3"/>
    </w:pPr>
    <w:rPr>
      <w:b/>
      <w:bCs/>
      <w:lang w:bidi="he-IL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8"/>
      </w:numPr>
      <w:overflowPunct w:val="0"/>
      <w:autoSpaceDE w:val="0"/>
      <w:autoSpaceDN w:val="0"/>
      <w:adjustRightInd w:val="0"/>
      <w:spacing w:before="220"/>
      <w:textAlignment w:val="baseline"/>
      <w:outlineLvl w:val="4"/>
    </w:pPr>
    <w:rPr>
      <w:b/>
      <w:bCs/>
      <w:lang w:bidi="he-IL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9"/>
      </w:numPr>
      <w:overflowPunct w:val="0"/>
      <w:autoSpaceDE w:val="0"/>
      <w:autoSpaceDN w:val="0"/>
      <w:adjustRightInd w:val="0"/>
      <w:spacing w:before="220"/>
      <w:textAlignment w:val="baseline"/>
      <w:outlineLvl w:val="5"/>
    </w:pPr>
    <w:rPr>
      <w:b/>
      <w:bCs/>
      <w:lang w:bidi="he-IL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0"/>
      </w:numPr>
      <w:overflowPunct w:val="0"/>
      <w:autoSpaceDE w:val="0"/>
      <w:autoSpaceDN w:val="0"/>
      <w:adjustRightInd w:val="0"/>
      <w:spacing w:before="220"/>
      <w:textAlignment w:val="baseline"/>
      <w:outlineLvl w:val="6"/>
    </w:pPr>
    <w:rPr>
      <w:b/>
      <w:bCs/>
      <w:lang w:bidi="he-IL"/>
    </w:rPr>
  </w:style>
  <w:style w:type="paragraph" w:styleId="Heading8">
    <w:name w:val="heading 8"/>
    <w:aliases w:val="AppendixSubHead"/>
    <w:basedOn w:val="Normal"/>
    <w:next w:val="BodyText"/>
    <w:qFormat/>
    <w:pPr>
      <w:keepNext/>
      <w:numPr>
        <w:ilvl w:val="7"/>
        <w:numId w:val="11"/>
      </w:numPr>
      <w:pBdr>
        <w:top w:val="single" w:sz="12" w:space="4" w:color="000080"/>
        <w:left w:val="single" w:sz="12" w:space="2" w:color="000080"/>
        <w:bottom w:val="single" w:sz="12" w:space="3" w:color="000080"/>
        <w:right w:val="single" w:sz="12" w:space="2" w:color="000080"/>
      </w:pBdr>
      <w:overflowPunct w:val="0"/>
      <w:autoSpaceDE w:val="0"/>
      <w:autoSpaceDN w:val="0"/>
      <w:adjustRightInd w:val="0"/>
      <w:spacing w:after="60"/>
      <w:jc w:val="center"/>
      <w:textAlignment w:val="baseline"/>
      <w:outlineLvl w:val="7"/>
    </w:pPr>
    <w:rPr>
      <w:b/>
      <w:bCs/>
      <w:color w:val="000080"/>
      <w:lang w:bidi="he-IL"/>
    </w:rPr>
  </w:style>
  <w:style w:type="paragraph" w:styleId="Heading9">
    <w:name w:val="heading 9"/>
    <w:aliases w:val="AppendixBodyHead"/>
    <w:basedOn w:val="Normal"/>
    <w:next w:val="BodyText"/>
    <w:qFormat/>
    <w:pPr>
      <w:keepNext/>
      <w:numPr>
        <w:ilvl w:val="8"/>
        <w:numId w:val="12"/>
      </w:numPr>
      <w:shd w:val="clear" w:color="C0C0C0" w:fill="auto"/>
      <w:overflowPunct w:val="0"/>
      <w:autoSpaceDE w:val="0"/>
      <w:autoSpaceDN w:val="0"/>
      <w:adjustRightInd w:val="0"/>
      <w:spacing w:before="220"/>
      <w:textAlignment w:val="baseline"/>
      <w:outlineLvl w:val="8"/>
    </w:pPr>
    <w:rPr>
      <w:b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Pr>
      <w:sz w:val="16"/>
    </w:rPr>
  </w:style>
  <w:style w:type="paragraph" w:styleId="Footer">
    <w:name w:val="footer"/>
    <w:basedOn w:val="Normal"/>
    <w:pPr>
      <w:ind w:right="1080"/>
    </w:pPr>
    <w:rPr>
      <w:sz w:val="14"/>
    </w:rPr>
  </w:style>
  <w:style w:type="paragraph" w:customStyle="1" w:styleId="Between">
    <w:name w:val="_Between"/>
    <w:basedOn w:val="Normal"/>
    <w:next w:val="BodyText"/>
    <w:rPr>
      <w:sz w:val="12"/>
    </w:rPr>
  </w:style>
  <w:style w:type="paragraph" w:customStyle="1" w:styleId="BodyText">
    <w:name w:val="_BodyText"/>
    <w:basedOn w:val="Normal"/>
    <w:pPr>
      <w:spacing w:before="220"/>
    </w:pPr>
  </w:style>
  <w:style w:type="paragraph" w:customStyle="1" w:styleId="BodyHeading">
    <w:name w:val="_BodyHeading"/>
    <w:basedOn w:val="BodyText"/>
    <w:next w:val="BodyText"/>
    <w:pPr>
      <w:keepNext/>
      <w:spacing w:before="440"/>
    </w:pPr>
    <w:rPr>
      <w:b/>
    </w:rPr>
  </w:style>
  <w:style w:type="paragraph" w:customStyle="1" w:styleId="BodyTextFirstPagePara">
    <w:name w:val="_BodyTextFirstPagePara"/>
    <w:basedOn w:val="BodyText"/>
    <w:next w:val="BodyText"/>
    <w:pPr>
      <w:spacing w:before="0"/>
    </w:pPr>
  </w:style>
  <w:style w:type="paragraph" w:customStyle="1" w:styleId="Continued">
    <w:name w:val="_Continued"/>
    <w:basedOn w:val="Normal"/>
    <w:pPr>
      <w:jc w:val="right"/>
    </w:pPr>
    <w:rPr>
      <w:i/>
      <w:sz w:val="14"/>
    </w:rPr>
  </w:style>
  <w:style w:type="paragraph" w:customStyle="1" w:styleId="DocTop">
    <w:name w:val="_DocTop"/>
    <w:basedOn w:val="Normal"/>
    <w:pPr>
      <w:spacing w:after="800"/>
      <w:ind w:left="-3168"/>
    </w:pPr>
    <w:rPr>
      <w:sz w:val="16"/>
    </w:rPr>
  </w:style>
  <w:style w:type="paragraph" w:customStyle="1" w:styleId="Footnote">
    <w:name w:val="_Footnote"/>
    <w:basedOn w:val="Normal"/>
    <w:pPr>
      <w:numPr>
        <w:numId w:val="1"/>
      </w:numPr>
      <w:tabs>
        <w:tab w:val="clear" w:pos="360"/>
      </w:tabs>
      <w:ind w:left="216" w:hanging="216"/>
    </w:pPr>
    <w:rPr>
      <w:sz w:val="14"/>
    </w:rPr>
  </w:style>
  <w:style w:type="paragraph" w:customStyle="1" w:styleId="Headline">
    <w:name w:val="_Headline"/>
    <w:basedOn w:val="Normal"/>
    <w:pPr>
      <w:spacing w:line="440" w:lineRule="exact"/>
      <w:ind w:left="-432"/>
    </w:pPr>
    <w:rPr>
      <w:b/>
      <w:sz w:val="44"/>
    </w:rPr>
  </w:style>
  <w:style w:type="paragraph" w:customStyle="1" w:styleId="Message">
    <w:name w:val="_Message"/>
    <w:basedOn w:val="Normal"/>
    <w:pPr>
      <w:spacing w:after="280" w:line="340" w:lineRule="atLeast"/>
    </w:pPr>
    <w:rPr>
      <w:b/>
      <w:i/>
      <w:sz w:val="28"/>
    </w:rPr>
  </w:style>
  <w:style w:type="paragraph" w:customStyle="1" w:styleId="Subhead">
    <w:name w:val="_Subhead"/>
    <w:basedOn w:val="Normal"/>
    <w:pPr>
      <w:spacing w:before="40"/>
      <w:ind w:left="-432"/>
    </w:pPr>
    <w:rPr>
      <w:b/>
      <w:sz w:val="28"/>
    </w:rPr>
  </w:style>
  <w:style w:type="paragraph" w:customStyle="1" w:styleId="TableColHeadThick">
    <w:name w:val="_TableColHeadThick"/>
    <w:basedOn w:val="TableText"/>
    <w:pPr>
      <w:keepNext/>
      <w:pBdr>
        <w:top w:val="single" w:sz="2" w:space="3" w:color="FFFFFF"/>
        <w:left w:val="single" w:sz="2" w:space="8" w:color="FFFFFF"/>
        <w:bottom w:val="single" w:sz="24" w:space="3" w:color="000000"/>
        <w:right w:val="single" w:sz="2" w:space="8" w:color="FFFFFF"/>
      </w:pBdr>
      <w:spacing w:before="0" w:after="0"/>
      <w:jc w:val="center"/>
    </w:pPr>
    <w:rPr>
      <w:b/>
    </w:rPr>
  </w:style>
  <w:style w:type="paragraph" w:customStyle="1" w:styleId="TableColEndThick">
    <w:name w:val="_TableColEndThick"/>
    <w:basedOn w:val="TableColHeadThick"/>
    <w:pPr>
      <w:keepNext w:val="0"/>
      <w:pBdr>
        <w:top w:val="single" w:sz="2" w:space="0" w:color="FFFFFF"/>
        <w:bottom w:val="single" w:sz="24" w:space="0" w:color="000000"/>
      </w:pBdr>
      <w:jc w:val="left"/>
    </w:pPr>
    <w:rPr>
      <w:b w:val="0"/>
      <w:bCs/>
      <w:sz w:val="6"/>
    </w:rPr>
  </w:style>
  <w:style w:type="paragraph" w:customStyle="1" w:styleId="TableColHeadBlack">
    <w:name w:val="_TableColHeadBlack"/>
    <w:basedOn w:val="TableText"/>
    <w:pPr>
      <w:keepNext/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clear" w:color="auto" w:fill="000000"/>
      <w:spacing w:before="0" w:after="0"/>
      <w:jc w:val="center"/>
    </w:pPr>
    <w:rPr>
      <w:b/>
      <w:color w:val="FFFFFF"/>
    </w:rPr>
  </w:style>
  <w:style w:type="paragraph" w:customStyle="1" w:styleId="TableColHeadBlackSub">
    <w:name w:val="_TableColHeadBlackSub"/>
    <w:basedOn w:val="TableText"/>
    <w:pPr>
      <w:keepNext/>
      <w:pBdr>
        <w:top w:val="single" w:sz="2" w:space="3" w:color="FFFFFF"/>
        <w:left w:val="single" w:sz="2" w:space="0" w:color="FFFFFF"/>
        <w:bottom w:val="single" w:sz="6" w:space="3" w:color="000000"/>
        <w:right w:val="single" w:sz="2" w:space="0" w:color="FFFFFF"/>
      </w:pBdr>
      <w:spacing w:before="0" w:after="0"/>
    </w:pPr>
    <w:rPr>
      <w:b/>
    </w:rPr>
  </w:style>
  <w:style w:type="paragraph" w:customStyle="1" w:styleId="TableColHeadBlue">
    <w:name w:val="_TableColHeadBlue"/>
    <w:basedOn w:val="TableText"/>
    <w:pPr>
      <w:keepNext/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clear" w:color="auto" w:fill="000080"/>
      <w:spacing w:before="0" w:after="0"/>
      <w:jc w:val="center"/>
    </w:pPr>
    <w:rPr>
      <w:b/>
      <w:color w:val="FFFFFF"/>
    </w:rPr>
  </w:style>
  <w:style w:type="paragraph" w:customStyle="1" w:styleId="TableColHeadSuper">
    <w:name w:val="_TableColHeadSuper"/>
    <w:basedOn w:val="TableText"/>
    <w:pPr>
      <w:keepNext/>
      <w:pBdr>
        <w:top w:val="single" w:sz="2" w:space="3" w:color="FFFFFF"/>
        <w:left w:val="single" w:sz="2" w:space="0" w:color="FFFFFF"/>
        <w:bottom w:val="single" w:sz="6" w:space="3" w:color="000000"/>
        <w:right w:val="single" w:sz="2" w:space="0" w:color="FFFFFF"/>
      </w:pBdr>
      <w:spacing w:before="0" w:after="0"/>
      <w:jc w:val="center"/>
    </w:pPr>
    <w:rPr>
      <w:b/>
    </w:rPr>
  </w:style>
  <w:style w:type="paragraph" w:customStyle="1" w:styleId="TableRowHeadBlack">
    <w:name w:val="_TableRowHeadBlack"/>
    <w:basedOn w:val="TableText"/>
    <w:pPr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clear" w:color="000080" w:fill="000000"/>
      <w:spacing w:before="0" w:after="0"/>
    </w:pPr>
    <w:rPr>
      <w:b/>
      <w:bCs/>
      <w:color w:val="FFFFFF"/>
    </w:rPr>
  </w:style>
  <w:style w:type="paragraph" w:customStyle="1" w:styleId="TableRowHeadBlue">
    <w:name w:val="_TableRowHeadBlue"/>
    <w:basedOn w:val="TableText"/>
    <w:pPr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clear" w:color="000080" w:fill="000080"/>
      <w:spacing w:before="0" w:after="0"/>
    </w:pPr>
    <w:rPr>
      <w:b/>
      <w:color w:val="FFFFFF"/>
    </w:rPr>
  </w:style>
  <w:style w:type="paragraph" w:customStyle="1" w:styleId="TableRowHeadGrey">
    <w:name w:val="_TableRowHeadGrey"/>
    <w:basedOn w:val="TableText"/>
    <w:pPr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clear" w:color="auto" w:fill="C0C0C0"/>
    </w:pPr>
  </w:style>
  <w:style w:type="paragraph" w:customStyle="1" w:styleId="TableText">
    <w:name w:val="_TableText"/>
    <w:basedOn w:val="Normal"/>
    <w:pPr>
      <w:spacing w:before="60" w:after="60"/>
    </w:pPr>
    <w:rPr>
      <w:kern w:val="0"/>
      <w:szCs w:val="24"/>
      <w:lang w:bidi="he-IL"/>
    </w:rPr>
  </w:style>
  <w:style w:type="paragraph" w:customStyle="1" w:styleId="TableTOE1ES">
    <w:name w:val="_TableTOE1ES"/>
    <w:basedOn w:val="TableText"/>
    <w:pPr>
      <w:pBdr>
        <w:top w:val="single" w:sz="8" w:space="3" w:color="FFFFFF"/>
        <w:left w:val="single" w:sz="8" w:space="3" w:color="FFFFFF"/>
        <w:bottom w:val="single" w:sz="8" w:space="3" w:color="FFFFFF"/>
        <w:right w:val="single" w:sz="8" w:space="3" w:color="FFFFFF"/>
      </w:pBdr>
      <w:shd w:val="solid" w:color="000080" w:fill="auto"/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b/>
      <w:color w:val="FFFFFF"/>
    </w:rPr>
  </w:style>
  <w:style w:type="paragraph" w:customStyle="1" w:styleId="TableTOE1SS">
    <w:name w:val="_TableTOE1SS"/>
    <w:basedOn w:val="TableText"/>
    <w:pPr>
      <w:numPr>
        <w:numId w:val="2"/>
      </w:numPr>
      <w:jc w:val="center"/>
    </w:pPr>
    <w:rPr>
      <w:b/>
    </w:rPr>
  </w:style>
  <w:style w:type="paragraph" w:customStyle="1" w:styleId="TableTOE2ES">
    <w:name w:val="_TableTOE2ES"/>
    <w:basedOn w:val="TableTOE1ES"/>
    <w:pPr>
      <w:shd w:val="clear" w:color="000080" w:fill="C0C0C0"/>
    </w:pPr>
    <w:rPr>
      <w:b w:val="0"/>
      <w:color w:val="000000"/>
    </w:rPr>
  </w:style>
  <w:style w:type="paragraph" w:customStyle="1" w:styleId="TableTOE2SS">
    <w:name w:val="_TableTOE2SS"/>
    <w:basedOn w:val="TableTOE1SS"/>
    <w:pPr>
      <w:numPr>
        <w:numId w:val="3"/>
      </w:numPr>
    </w:pPr>
    <w:rPr>
      <w:bCs/>
    </w:rPr>
  </w:style>
  <w:style w:type="character" w:styleId="CommentReference">
    <w:name w:val="annotation reference"/>
    <w:semiHidden/>
    <w:rPr>
      <w:b/>
      <w:caps/>
      <w:noProof w:val="0"/>
      <w:vanish/>
      <w:color w:val="FF00FF"/>
      <w:sz w:val="22"/>
      <w:vertAlign w:val="baseline"/>
      <w:lang w:val="en-US"/>
    </w:rPr>
  </w:style>
  <w:style w:type="paragraph" w:styleId="CommentText">
    <w:name w:val="annotation text"/>
    <w:basedOn w:val="BodyText"/>
    <w:semiHidden/>
    <w:pPr>
      <w:ind w:right="-2160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color w:val="FFFFFF"/>
    </w:rPr>
  </w:style>
  <w:style w:type="character" w:styleId="EndnoteReference">
    <w:name w:val="endnote reference"/>
    <w:semiHidden/>
    <w:rPr>
      <w:noProof w:val="0"/>
      <w:vertAlign w:val="superscript"/>
      <w:lang w:val="en-US"/>
    </w:rPr>
  </w:style>
  <w:style w:type="paragraph" w:styleId="EndnoteText">
    <w:name w:val="endnote text"/>
    <w:basedOn w:val="Normal"/>
    <w:semiHidden/>
    <w:pPr>
      <w:ind w:left="72" w:hanging="72"/>
    </w:pPr>
    <w:rPr>
      <w:sz w:val="14"/>
    </w:rPr>
  </w:style>
  <w:style w:type="character" w:styleId="FootnoteReference">
    <w:name w:val="footnote reference"/>
    <w:semiHidden/>
    <w:rPr>
      <w:noProof w:val="0"/>
      <w:vertAlign w:val="superscript"/>
      <w:lang w:val="en-US"/>
    </w:rPr>
  </w:style>
  <w:style w:type="paragraph" w:styleId="FootnoteText">
    <w:name w:val="footnote text"/>
    <w:basedOn w:val="Normal"/>
    <w:semiHidden/>
    <w:pPr>
      <w:ind w:left="72" w:hanging="72"/>
    </w:pPr>
    <w:rPr>
      <w:sz w:val="14"/>
    </w:rPr>
  </w:style>
  <w:style w:type="paragraph" w:styleId="TOC1">
    <w:name w:val="toc 1"/>
    <w:basedOn w:val="Normal"/>
    <w:next w:val="TOC2"/>
    <w:autoRedefine/>
    <w:semiHidden/>
    <w:pPr>
      <w:spacing w:before="120"/>
      <w:ind w:left="360" w:hanging="360"/>
    </w:pPr>
    <w:rPr>
      <w:b/>
      <w:noProof/>
    </w:rPr>
  </w:style>
  <w:style w:type="paragraph" w:styleId="TOC2">
    <w:name w:val="toc 2"/>
    <w:basedOn w:val="Normal"/>
    <w:autoRedefine/>
    <w:semiHidden/>
    <w:pPr>
      <w:spacing w:before="60"/>
      <w:ind w:left="720" w:hanging="360"/>
    </w:pPr>
    <w:rPr>
      <w:noProof/>
    </w:rPr>
  </w:style>
  <w:style w:type="paragraph" w:customStyle="1" w:styleId="TableColHeadCellShading">
    <w:name w:val="_TableColHeadCellShading"/>
    <w:basedOn w:val="TableText"/>
    <w:pPr>
      <w:keepNext/>
      <w:jc w:val="center"/>
    </w:pPr>
    <w:rPr>
      <w:b/>
      <w:color w:val="FFFFFF"/>
    </w:rPr>
  </w:style>
  <w:style w:type="paragraph" w:styleId="BodyText0">
    <w:name w:val="Body Text"/>
    <w:basedOn w:val="Normal"/>
    <w:pPr>
      <w:spacing w:before="440" w:after="880"/>
      <w:jc w:val="center"/>
    </w:pPr>
    <w:rPr>
      <w:b/>
      <w:bCs/>
      <w:color w:val="FFFFFF"/>
      <w:sz w:val="44"/>
    </w:rPr>
  </w:style>
  <w:style w:type="paragraph" w:styleId="BodyText2">
    <w:name w:val="Body Text 2"/>
    <w:basedOn w:val="Normal"/>
    <w:pPr>
      <w:spacing w:before="440"/>
      <w:ind w:right="360"/>
      <w:jc w:val="center"/>
    </w:pPr>
    <w:rPr>
      <w:b/>
      <w:bCs/>
      <w:color w:val="FFFFFF"/>
      <w:sz w:val="4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pPr>
      <w:spacing w:before="0" w:after="120"/>
      <w:ind w:firstLine="210"/>
      <w:jc w:val="left"/>
    </w:pPr>
    <w:rPr>
      <w:b w:val="0"/>
      <w:bCs w:val="0"/>
      <w:color w:val="000000"/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  <w:noProof w:val="0"/>
      <w:lang w:val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FollowedHyperlink">
    <w:name w:val="FollowedHyperlink"/>
    <w:rPr>
      <w:noProof w:val="0"/>
      <w:color w:val="800080"/>
      <w:u w:val="single"/>
      <w:lang w:val="en-US"/>
    </w:rPr>
  </w:style>
  <w:style w:type="character" w:styleId="HTMLAcronym">
    <w:name w:val="HTML Acronym"/>
    <w:basedOn w:val="DefaultParagraphFont"/>
    <w:rPr>
      <w:noProof w:val="0"/>
      <w:lang w:val="en-US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noProof w:val="0"/>
      <w:lang w:val="en-US"/>
    </w:rPr>
  </w:style>
  <w:style w:type="character" w:styleId="HTMLCode">
    <w:name w:val="HTML Code"/>
    <w:rPr>
      <w:rFonts w:ascii="Courier New" w:hAnsi="Courier New"/>
      <w:noProof w:val="0"/>
      <w:sz w:val="20"/>
      <w:szCs w:val="20"/>
      <w:lang w:val="en-US"/>
    </w:rPr>
  </w:style>
  <w:style w:type="character" w:styleId="HTMLDefinition">
    <w:name w:val="HTML Definition"/>
    <w:rPr>
      <w:i/>
      <w:iCs/>
      <w:noProof w:val="0"/>
      <w:lang w:val="en-US"/>
    </w:rPr>
  </w:style>
  <w:style w:type="character" w:styleId="HTMLKeyboard">
    <w:name w:val="HTML Keyboard"/>
    <w:rPr>
      <w:rFonts w:ascii="Courier New" w:hAnsi="Courier New"/>
      <w:noProof w:val="0"/>
      <w:sz w:val="20"/>
      <w:szCs w:val="20"/>
      <w:lang w:val="en-US"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character" w:styleId="HTMLSample">
    <w:name w:val="HTML Sample"/>
    <w:rPr>
      <w:rFonts w:ascii="Courier New" w:hAnsi="Courier New"/>
      <w:noProof w:val="0"/>
      <w:lang w:val="en-US"/>
    </w:rPr>
  </w:style>
  <w:style w:type="character" w:styleId="HTMLTypewriter">
    <w:name w:val="HTML Typewriter"/>
    <w:rPr>
      <w:rFonts w:ascii="Courier New" w:hAnsi="Courier New"/>
      <w:noProof w:val="0"/>
      <w:sz w:val="20"/>
      <w:szCs w:val="20"/>
      <w:lang w:val="en-US"/>
    </w:rPr>
  </w:style>
  <w:style w:type="character" w:styleId="HTMLVariable">
    <w:name w:val="HTML Variable"/>
    <w:rPr>
      <w:i/>
      <w:iCs/>
      <w:noProof w:val="0"/>
      <w:lang w:val="en-US"/>
    </w:rPr>
  </w:style>
  <w:style w:type="character" w:styleId="Hyperlink">
    <w:name w:val="Hyperlink"/>
    <w:rPr>
      <w:noProof w:val="0"/>
      <w:color w:val="0000FF"/>
      <w:u w:val="single"/>
      <w:lang w:val="en-US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b/>
      <w:bCs/>
    </w:rPr>
  </w:style>
  <w:style w:type="character" w:styleId="LineNumber">
    <w:name w:val="line number"/>
    <w:basedOn w:val="DefaultParagraphFont"/>
    <w:rPr>
      <w:noProof w:val="0"/>
      <w:lang w:val="en-US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paragraph" w:styleId="ListBullet2">
    <w:name w:val="List Bullet 2"/>
    <w:basedOn w:val="Normal"/>
    <w:autoRedefine/>
    <w:pPr>
      <w:numPr>
        <w:numId w:val="14"/>
      </w:numPr>
    </w:pPr>
  </w:style>
  <w:style w:type="paragraph" w:styleId="ListBullet3">
    <w:name w:val="List Bullet 3"/>
    <w:basedOn w:val="Normal"/>
    <w:autoRedefine/>
    <w:pPr>
      <w:numPr>
        <w:numId w:val="15"/>
      </w:numPr>
    </w:pPr>
  </w:style>
  <w:style w:type="paragraph" w:styleId="ListBullet4">
    <w:name w:val="List Bullet 4"/>
    <w:basedOn w:val="Normal"/>
    <w:autoRedefine/>
    <w:pPr>
      <w:numPr>
        <w:numId w:val="16"/>
      </w:numPr>
    </w:pPr>
  </w:style>
  <w:style w:type="paragraph" w:styleId="ListBullet5">
    <w:name w:val="List Bullet 5"/>
    <w:basedOn w:val="Normal"/>
    <w:autoRedefine/>
    <w:pPr>
      <w:numPr>
        <w:numId w:val="1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8"/>
      </w:numPr>
    </w:pPr>
  </w:style>
  <w:style w:type="paragraph" w:styleId="ListNumber2">
    <w:name w:val="List Number 2"/>
    <w:basedOn w:val="Normal"/>
    <w:pPr>
      <w:numPr>
        <w:numId w:val="19"/>
      </w:numPr>
    </w:pPr>
  </w:style>
  <w:style w:type="paragraph" w:styleId="ListNumber3">
    <w:name w:val="List Number 3"/>
    <w:basedOn w:val="Normal"/>
    <w:pPr>
      <w:numPr>
        <w:numId w:val="20"/>
      </w:numPr>
    </w:pPr>
  </w:style>
  <w:style w:type="paragraph" w:styleId="ListNumber4">
    <w:name w:val="List Number 4"/>
    <w:basedOn w:val="Normal"/>
    <w:pPr>
      <w:numPr>
        <w:numId w:val="21"/>
      </w:numPr>
    </w:pPr>
  </w:style>
  <w:style w:type="paragraph" w:styleId="ListNumber5">
    <w:name w:val="List Number 5"/>
    <w:basedOn w:val="Normal"/>
    <w:pPr>
      <w:numPr>
        <w:numId w:val="2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color w:val="000000"/>
      <w:kern w:val="2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  <w:rPr>
      <w:noProof w:val="0"/>
      <w:lang w:val="en-US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character" w:styleId="Strong">
    <w:name w:val="Strong"/>
    <w:qFormat/>
    <w:rPr>
      <w:b/>
      <w:bCs/>
      <w:noProof w:val="0"/>
      <w:lang w:val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PlaceholderText">
    <w:name w:val="Placeholder Text"/>
    <w:basedOn w:val="DefaultParagraphFont"/>
    <w:rsid w:val="003F62E0"/>
    <w:rPr>
      <w:noProof w:val="0"/>
      <w:color w:val="66666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1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ABAFE3-3F57-A447-A0E9-F6FBC4FD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Quentin Chu</vt:lpstr>
    </vt:vector>
  </TitlesOfParts>
  <Company>Goldman, Sachs &amp; Co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Quentin Chu</dc:title>
  <dc:subject>personal\Resume.doc</dc:subject>
  <dc:creator>chuq</dc:creator>
  <cp:keywords/>
  <cp:lastModifiedBy>Quentin Chu</cp:lastModifiedBy>
  <cp:revision>9</cp:revision>
  <cp:lastPrinted>2019-04-01T19:29:00Z</cp:lastPrinted>
  <dcterms:created xsi:type="dcterms:W3CDTF">2025-09-19T18:41:00Z</dcterms:created>
  <dcterms:modified xsi:type="dcterms:W3CDTF">2025-09-19T19:34:00Z</dcterms:modified>
</cp:coreProperties>
</file>