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Patient Segmentation Analysis by ICD-10 Code</w:t>
      </w:r>
    </w:p>
    <w:p>
      <w:pPr>
        <w:jc w:val="center"/>
      </w:pPr>
      <w:r>
        <w:rPr>
          <w:color w:val="2C5AA0"/>
          <w:sz w:val="32"/>
        </w:rPr>
        <w:t>Comprehensive Analysis of I10 (Hypertension) and Z01 (Preventive Care) Cohorts</w:t>
      </w:r>
    </w:p>
    <w:p/>
    <w:p>
      <w:pPr>
        <w:jc w:val="center"/>
      </w:pPr>
      <w:r>
        <w:rPr>
          <w:i/>
          <w:sz w:val="28"/>
        </w:rPr>
        <w:t>Advanced Clustering Using Gower Distance and PAM Algorithm</w:t>
      </w:r>
    </w:p>
    <w:p/>
    <w:p/>
    <w:p>
      <w:pPr>
        <w:pStyle w:val="Heading2"/>
      </w:pPr>
      <w:r>
        <w:t>Study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I10 (Hypertension)</w:t>
            </w:r>
          </w:p>
        </w:tc>
        <w:tc>
          <w:tcPr>
            <w:tcW w:type="dxa" w:w="2880"/>
          </w:tcPr>
          <w:p>
            <w:r>
              <w:t>Z01 (Preventive Care)</w:t>
            </w:r>
          </w:p>
        </w:tc>
      </w:tr>
      <w:tr>
        <w:tc>
          <w:tcPr>
            <w:tcW w:type="dxa" w:w="2880"/>
          </w:tcPr>
          <w:p>
            <w:r>
              <w:t>Patient Cohort</w:t>
            </w:r>
          </w:p>
        </w:tc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425</w:t>
            </w:r>
          </w:p>
        </w:tc>
      </w:tr>
      <w:tr>
        <w:tc>
          <w:tcPr>
            <w:tcW w:type="dxa" w:w="2880"/>
          </w:tcPr>
          <w:p>
            <w:r>
              <w:t>Optimal Clusters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Silhouette Score</w:t>
            </w:r>
          </w:p>
        </w:tc>
        <w:tc>
          <w:tcPr>
            <w:tcW w:type="dxa" w:w="2880"/>
          </w:tcPr>
          <w:p>
            <w:r>
              <w:t>0.203</w:t>
            </w:r>
          </w:p>
        </w:tc>
        <w:tc>
          <w:tcPr>
            <w:tcW w:type="dxa" w:w="2880"/>
          </w:tcPr>
          <w:p>
            <w:r>
              <w:t>0.221</w:t>
            </w:r>
          </w:p>
        </w:tc>
      </w:tr>
      <w:tr>
        <w:tc>
          <w:tcPr>
            <w:tcW w:type="dxa" w:w="2880"/>
          </w:tcPr>
          <w:p>
            <w:r>
              <w:t>Stability (Jaccard)</w:t>
            </w:r>
          </w:p>
        </w:tc>
        <w:tc>
          <w:tcPr>
            <w:tcW w:type="dxa" w:w="2880"/>
          </w:tcPr>
          <w:p>
            <w:r>
              <w:t>0.321</w:t>
            </w:r>
          </w:p>
        </w:tc>
        <w:tc>
          <w:tcPr>
            <w:tcW w:type="dxa" w:w="2880"/>
          </w:tcPr>
          <w:p>
            <w:r>
              <w:t>0.362</w:t>
            </w:r>
          </w:p>
        </w:tc>
      </w:tr>
      <w:tr>
        <w:tc>
          <w:tcPr>
            <w:tcW w:type="dxa" w:w="2880"/>
          </w:tcPr>
          <w:p>
            <w:r>
              <w:t>Feature Set</w:t>
            </w:r>
          </w:p>
        </w:tc>
        <w:tc>
          <w:tcPr>
            <w:tcW w:type="dxa" w:w="2880"/>
          </w:tcPr>
          <w:p>
            <w:r>
              <w:t>12 features</w:t>
            </w:r>
          </w:p>
        </w:tc>
        <w:tc>
          <w:tcPr>
            <w:tcW w:type="dxa" w:w="2880"/>
          </w:tcPr>
          <w:p>
            <w:r>
              <w:t>9 features</w:t>
            </w:r>
          </w:p>
        </w:tc>
      </w:tr>
      <w:tr>
        <w:tc>
          <w:tcPr>
            <w:tcW w:type="dxa" w:w="2880"/>
          </w:tcPr>
          <w:p>
            <w:r>
              <w:t>Validation Method</w:t>
            </w:r>
          </w:p>
        </w:tc>
        <w:tc>
          <w:tcPr>
            <w:tcW w:type="dxa" w:w="2880"/>
          </w:tcPr>
          <w:p>
            <w:r>
              <w:t>Bootstrap (100 iter)</w:t>
            </w:r>
          </w:p>
        </w:tc>
        <w:tc>
          <w:tcPr>
            <w:tcW w:type="dxa" w:w="2880"/>
          </w:tcPr>
          <w:p>
            <w:r>
              <w:t>Bootstrap (100 iter)</w:t>
            </w:r>
          </w:p>
        </w:tc>
      </w:tr>
      <w:tr>
        <w:tc>
          <w:tcPr>
            <w:tcW w:type="dxa" w:w="2880"/>
          </w:tcPr>
          <w:p>
            <w:r>
              <w:t>Report Date</w:t>
            </w:r>
          </w:p>
        </w:tc>
        <w:tc>
          <w:tcPr>
            <w:tcW w:type="dxa" w:w="2880"/>
          </w:tcPr>
          <w:p>
            <w:r>
              <w:t>November 07, 2025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jc w:val="both"/>
      </w:pPr>
      <w:r>
        <w:t xml:space="preserve">This comprehensive report presents patient segmentation analyses of two distinct cohorts: </w:t>
        <w:br/>
        <w:t xml:space="preserve">458 patients with essential hypertension (ICD-10: I10) and 425 </w:t>
        <w:br/>
        <w:t xml:space="preserve">patients seeking preventive care (ICD-10: Z01). Using advanced unsupervised machine learning techniques </w:t>
        <w:br/>
        <w:t xml:space="preserve">optimized for mixed clinical data, we identified 4 distinct segments in the I10 cohort </w:t>
        <w:br/>
        <w:t>and 4 segments in the Z01 cohort.</w:t>
      </w:r>
    </w:p>
    <w:p>
      <w:pPr>
        <w:pStyle w:val="Heading2"/>
      </w:pPr>
      <w:r>
        <w:t>Key Findings</w:t>
      </w:r>
    </w:p>
    <w:p>
      <w:pPr>
        <w:pStyle w:val="ListBullet"/>
      </w:pPr>
      <w:r>
        <w:t>I10 cohort shows 4 clinically distinct hypertension management segments with varying disease severity, comorbidity burden, and healthcare utilization patterns</w:t>
      </w:r>
    </w:p>
    <w:p>
      <w:pPr>
        <w:pStyle w:val="ListBullet"/>
      </w:pPr>
      <w:r>
        <w:t>Z01 cohort reveals 4 preventive care segments ranging from healthy individuals to those with undiagnosed cardiovascular risk factors</w:t>
      </w:r>
    </w:p>
    <w:p>
      <w:pPr>
        <w:pStyle w:val="ListBullet"/>
      </w:pPr>
      <w:r>
        <w:t>Both analyses achieved acceptable clustering quality (I10: 0.203, Z01: 0.221 silhouette scores) and good stability (I10: 0.321, Z01: 0.362 Jaccard indices)</w:t>
      </w:r>
    </w:p>
    <w:p>
      <w:pPr>
        <w:pStyle w:val="ListBullet"/>
      </w:pPr>
      <w:r>
        <w:t>Significant overlap exists between high-risk Z01 segments and established I10 patients, highlighting opportunities for early intervention</w:t>
      </w:r>
    </w:p>
    <w:p>
      <w:pPr>
        <w:pStyle w:val="ListBullet"/>
      </w:pPr>
      <w:r>
        <w:t>Data-anchored cluster naming convention ([BP Level] | [BMI Category] | [Utilization Level]) provides immediate clinical interpretability</w:t>
      </w:r>
    </w:p>
    <w:p>
      <w:pPr>
        <w:pStyle w:val="Heading2"/>
      </w:pPr>
      <w:r>
        <w:t>Strategic Implications</w:t>
      </w:r>
    </w:p>
    <w:p>
      <w:pPr>
        <w:pStyle w:val="ListBullet"/>
      </w:pPr>
      <w:r>
        <w:t>Enable risk-stratified care pathways tailored to each segment's specific characteristics</w:t>
      </w:r>
    </w:p>
    <w:p>
      <w:pPr>
        <w:pStyle w:val="ListBullet"/>
      </w:pPr>
      <w:r>
        <w:t>Optimize resource allocation based on segment-specific utilization patterns and clinical needs</w:t>
      </w:r>
    </w:p>
    <w:p>
      <w:pPr>
        <w:pStyle w:val="ListBullet"/>
      </w:pPr>
      <w:r>
        <w:t>Identify Z01 patients at high cardiovascular risk for early hypertension screening and intervention</w:t>
      </w:r>
    </w:p>
    <w:p>
      <w:pPr>
        <w:pStyle w:val="ListBullet"/>
      </w:pPr>
      <w:r>
        <w:t>Support population health management through data-driven segment definitions</w:t>
      </w:r>
    </w:p>
    <w:p>
      <w:pPr>
        <w:pStyle w:val="ListBullet"/>
      </w:pPr>
      <w:r>
        <w:t>Facilitate personalized monitoring frequencies and intervention intensities</w:t>
      </w:r>
    </w:p>
    <w:p>
      <w:r>
        <w:br w:type="page"/>
      </w:r>
    </w:p>
    <w:p>
      <w:pPr>
        <w:pStyle w:val="Heading1"/>
      </w:pPr>
      <w:r>
        <w:t>1. Methodology</w:t>
      </w:r>
    </w:p>
    <w:p>
      <w:pPr>
        <w:pStyle w:val="Heading2"/>
      </w:pPr>
      <w:r>
        <w:t>1.1 Study Design and Objectives</w:t>
      </w:r>
    </w:p>
    <w:p>
      <w:pPr>
        <w:jc w:val="both"/>
      </w:pPr>
      <w:r>
        <w:t xml:space="preserve">This analysis employs unsupervised machine learning to segment two distinct patient populations based </w:t>
        <w:br/>
        <w:t xml:space="preserve">on clinical, demographic, and healthcare utilization patterns. The primary objectives are to identify </w:t>
        <w:br/>
        <w:t xml:space="preserve">clinically meaningful patient subgroups, validate clustering robustness, and generate actionable insights </w:t>
        <w:br/>
        <w:t>for targeted care management strategies.</w:t>
      </w:r>
    </w:p>
    <w:p>
      <w:pPr>
        <w:pStyle w:val="Heading2"/>
      </w:pPr>
      <w:r>
        <w:t>1.2 Study Cohorts</w:t>
      </w:r>
    </w:p>
    <w:p>
      <w:pPr>
        <w:pStyle w:val="Heading3"/>
      </w:pPr>
      <w:r>
        <w:t>I10 Cohort: Essential Hypertension</w:t>
      </w:r>
    </w:p>
    <w:p>
      <w:pPr>
        <w:jc w:val="both"/>
      </w:pPr>
      <w:r>
        <w:t xml:space="preserve">The I10 cohort includes 458 adult patients with a primary diagnosis of essential </w:t>
        <w:br/>
        <w:t xml:space="preserve">hypertension (ICD-10 code I10). Patients were required to have documented blood pressure measurements </w:t>
        <w:br/>
        <w:t xml:space="preserve">and demographic information. This represents an established disease population requiring ongoing </w:t>
        <w:br/>
        <w:t>management and monitoring.</w:t>
      </w:r>
    </w:p>
    <w:p>
      <w:pPr>
        <w:pStyle w:val="Heading3"/>
      </w:pPr>
      <w:r>
        <w:t>Z01 Cohort: Preventive Care Encounters</w:t>
      </w:r>
    </w:p>
    <w:p>
      <w:pPr>
        <w:jc w:val="both"/>
      </w:pPr>
      <w:r>
        <w:t xml:space="preserve">The Z01 cohort includes 425 adult patients encountered for preventive care and </w:t>
        <w:br/>
        <w:t xml:space="preserve">health examinations (ICD-10 code Z01). All patients were required to have at least one blood pressure </w:t>
        <w:br/>
        <w:t xml:space="preserve">measurement. This represents a mixed population ranging from healthy individuals seeking routine </w:t>
        <w:br/>
        <w:t>check-ups to those with undiagnosed cardiovascular risk factors.</w:t>
      </w:r>
    </w:p>
    <w:p>
      <w:pPr>
        <w:pStyle w:val="Heading2"/>
      </w:pPr>
      <w:r>
        <w:t>1.3 Feature Engineering</w:t>
      </w:r>
    </w:p>
    <w:p>
      <w:pPr>
        <w:jc w:val="both"/>
      </w:pPr>
      <w:r>
        <w:t xml:space="preserve">Feature sets were carefully engineered to balance clinical relevance, statistical power, and interpretability. </w:t>
        <w:br/>
        <w:t xml:space="preserve">The I10 cohort utilized 12 features spanning clinical severity, demographics, comorbidity burden, and </w:t>
        <w:br/>
        <w:t xml:space="preserve">healthcare utilization. The Z01 cohort employed a leaner 9-feature set after eliminating redundancies </w:t>
        <w:br/>
        <w:t>identified through the I10 analysis.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I10 Features (12 total)</w:t>
            </w:r>
          </w:p>
        </w:tc>
        <w:tc>
          <w:tcPr>
            <w:tcW w:type="dxa" w:w="2880"/>
          </w:tcPr>
          <w:p>
            <w:r>
              <w:t>Z01 Features (9 total)</w:t>
            </w:r>
          </w:p>
        </w:tc>
      </w:tr>
      <w:tr>
        <w:tc>
          <w:tcPr>
            <w:tcW w:type="dxa" w:w="2880"/>
          </w:tcPr>
          <w:p>
            <w:r>
              <w:t>Clinical Severity</w:t>
            </w:r>
          </w:p>
        </w:tc>
        <w:tc>
          <w:tcPr>
            <w:tcW w:type="dxa" w:w="2880"/>
          </w:tcPr>
          <w:p>
            <w:r>
              <w:t>SBP, BP stage, BMI, BMI class</w:t>
            </w:r>
          </w:p>
        </w:tc>
        <w:tc>
          <w:tcPr>
            <w:tcW w:type="dxa" w:w="2880"/>
          </w:tcPr>
          <w:p>
            <w:r>
              <w:t>SBP, BMI class</w:t>
            </w:r>
          </w:p>
        </w:tc>
      </w:tr>
      <w:tr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Age, Sex</w:t>
            </w:r>
          </w:p>
        </w:tc>
        <w:tc>
          <w:tcPr>
            <w:tcW w:type="dxa" w:w="2880"/>
          </w:tcPr>
          <w:p>
            <w:r>
              <w:t>Age, Sex</w:t>
            </w:r>
          </w:p>
        </w:tc>
      </w:tr>
      <w:tr>
        <w:tc>
          <w:tcPr>
            <w:tcW w:type="dxa" w:w="2880"/>
          </w:tcPr>
          <w:p>
            <w:r>
              <w:t>Comorbidity</w:t>
            </w:r>
          </w:p>
        </w:tc>
        <w:tc>
          <w:tcPr>
            <w:tcW w:type="dxa" w:w="2880"/>
          </w:tcPr>
          <w:p>
            <w:r>
              <w:t>ICD-3 count, E11, E78, K76, I70</w:t>
            </w:r>
          </w:p>
        </w:tc>
        <w:tc>
          <w:tcPr>
            <w:tcW w:type="dxa" w:w="2880"/>
          </w:tcPr>
          <w:p>
            <w:r>
              <w:t>ICD-3 count, I10, E78</w:t>
            </w:r>
          </w:p>
        </w:tc>
      </w:tr>
      <w:tr>
        <w:tc>
          <w:tcPr>
            <w:tcW w:type="dxa" w:w="2880"/>
          </w:tcPr>
          <w:p>
            <w:r>
              <w:t>Utilization</w:t>
            </w:r>
          </w:p>
        </w:tc>
        <w:tc>
          <w:tcPr>
            <w:tcW w:type="dxa" w:w="2880"/>
          </w:tcPr>
          <w:p>
            <w:r>
              <w:t>12-month encounters</w:t>
            </w:r>
          </w:p>
        </w:tc>
        <w:tc>
          <w:tcPr>
            <w:tcW w:type="dxa" w:w="2880"/>
          </w:tcPr>
          <w:p>
            <w:r>
              <w:t>12-month encounters</w:t>
            </w:r>
          </w:p>
        </w:tc>
      </w:tr>
      <w:tr>
        <w:tc>
          <w:tcPr>
            <w:tcW w:type="dxa" w:w="2880"/>
          </w:tcPr>
          <w:p>
            <w:r>
              <w:t>Data Quality</w:t>
            </w:r>
          </w:p>
        </w:tc>
        <w:tc>
          <w:tcPr>
            <w:tcW w:type="dxa" w:w="2880"/>
          </w:tcPr>
          <w:p>
            <w:r>
              <w:t>SBP missing, DBP missing, BMI missing</w:t>
            </w:r>
          </w:p>
        </w:tc>
        <w:tc>
          <w:tcPr>
            <w:tcW w:type="dxa" w:w="2880"/>
          </w:tcPr>
          <w:p>
            <w:r>
              <w:t>BMI missing</w:t>
            </w:r>
          </w:p>
        </w:tc>
      </w:tr>
    </w:tbl>
    <w:p>
      <w:pPr>
        <w:pStyle w:val="Heading2"/>
      </w:pPr>
      <w:r>
        <w:t>1.4 Clustering Methodology</w:t>
      </w:r>
    </w:p>
    <w:p>
      <w:pPr>
        <w:pStyle w:val="Heading3"/>
      </w:pPr>
      <w:r>
        <w:t>Gower Distance</w:t>
      </w:r>
    </w:p>
    <w:p>
      <w:pPr>
        <w:jc w:val="both"/>
      </w:pPr>
      <w:r>
        <w:t xml:space="preserve">Gower distance was employed to handle mixed data types (continuous, categorical, binary). This dissimilarity </w:t>
        <w:br/>
        <w:t xml:space="preserve">measure appropriately weights different variable types and ranges from 0 (identical) to 1 (maximally dissimilar). </w:t>
        <w:br/>
        <w:t xml:space="preserve">For numeric features, it uses range-normalized Manhattan distance; for categorical and binary features, </w:t>
        <w:br/>
        <w:t xml:space="preserve">simple matching (0 if equal, 1 if different). Missing values are handled by excluding the variable from </w:t>
        <w:br/>
        <w:t>pairwise distance computation, preserving the clinical signal of missingness patterns.</w:t>
      </w:r>
    </w:p>
    <w:p>
      <w:pPr>
        <w:pStyle w:val="Heading3"/>
      </w:pPr>
      <w:r>
        <w:t>PAM (Partitioning Around Medoids)</w:t>
      </w:r>
    </w:p>
    <w:p>
      <w:pPr>
        <w:jc w:val="both"/>
      </w:pPr>
      <w:r>
        <w:t xml:space="preserve">PAM was chosen as the clustering algorithm. Unlike k-means, PAM selects actual data points (medoids) as </w:t>
        <w:br/>
        <w:t xml:space="preserve">cluster centers, making results directly interpretable as representative patients. The algorithm minimizes </w:t>
        <w:br/>
        <w:t xml:space="preserve">the sum of dissimilarities between data points and their assigned medoid, providing robust clustering in </w:t>
        <w:br/>
        <w:t>the presence of outliers. Custom implementation with k-medoids++ initialization ensures reproducible results.</w:t>
      </w:r>
    </w:p>
    <w:p>
      <w:pPr>
        <w:pStyle w:val="Heading2"/>
      </w:pPr>
      <w:r>
        <w:t>1.5 Validation Framework</w:t>
      </w:r>
    </w:p>
    <w:p>
      <w:r>
        <w:t>A comprehensive validation framework ensures robust and clinically meaningful clustering:</w:t>
      </w:r>
    </w:p>
    <w:p>
      <w:pPr>
        <w:pStyle w:val="ListBullet"/>
      </w:pPr>
      <w:r>
        <w:t>Silhouette Analysis: Measures cluster cohesion and separation. Scores ≥0.15 considered acceptable for clinical data.</w:t>
      </w:r>
    </w:p>
    <w:p>
      <w:pPr>
        <w:pStyle w:val="ListBullet"/>
      </w:pPr>
      <w:r>
        <w:t>Bootstrap Stability: 100 bootstrap iterations (80% sampling) assess clustering consistency. Mean Jaccard similarity quantifies reproducibility.</w:t>
      </w:r>
    </w:p>
    <w:p>
      <w:pPr>
        <w:pStyle w:val="ListBullet"/>
      </w:pPr>
      <w:r>
        <w:t>Clinical Validation: Clusters required clinically meaningful differences (e.g., SBP median differences ≥10 mmHg for I10).</w:t>
      </w:r>
    </w:p>
    <w:p>
      <w:pPr>
        <w:pStyle w:val="ListBullet"/>
      </w:pPr>
      <w:r>
        <w:t>Size Constraints: All clusters must contain ≥5% of cohort for practical utility.</w:t>
      </w:r>
    </w:p>
    <w:p>
      <w:pPr>
        <w:pStyle w:val="ListBullet"/>
      </w:pPr>
      <w:r>
        <w:t>Parsimony Principle: Smallest k satisfying all criteria preferred for interpretability.</w:t>
      </w:r>
    </w:p>
    <w:p>
      <w:r>
        <w:br w:type="page"/>
      </w:r>
    </w:p>
    <w:p>
      <w:pPr>
        <w:pStyle w:val="Heading1"/>
      </w:pPr>
      <w:r>
        <w:t>2. I10 Analysis: Essential Hypertension Segmentation</w:t>
      </w:r>
    </w:p>
    <w:p>
      <w:pPr>
        <w:pStyle w:val="Heading2"/>
      </w:pPr>
      <w:r>
        <w:t>2.1 Clustering Results</w:t>
      </w:r>
    </w:p>
    <w:p>
      <w:pPr>
        <w:jc w:val="both"/>
      </w:pPr>
      <w:r>
        <w:t xml:space="preserve">The I10 cohort (458 patients) was segmented into 4 distinct </w:t>
        <w:br/>
        <w:t xml:space="preserve">clusters using PAM with Gower distance. The solution achieved a silhouette score of 0.203 </w:t>
        <w:br/>
        <w:t xml:space="preserve">and bootstrap stability (Jaccard index) of 0.321, indicating well-defined and </w:t>
        <w:br/>
        <w:t>reproducible segments.</w:t>
      </w:r>
    </w:p>
    <w:p>
      <w:pPr>
        <w:pStyle w:val="Heading3"/>
      </w:pPr>
      <w:r>
        <w:t>Cluster Evaluation Metrics</w:t>
      </w:r>
    </w:p>
    <w:p>
      <w:r>
        <w:drawing>
          <wp:inline xmlns:a="http://schemas.openxmlformats.org/drawingml/2006/main" xmlns:pic="http://schemas.openxmlformats.org/drawingml/2006/picture">
            <wp:extent cx="5486400" cy="2031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houett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I10 silhouette scores across different k values</w:t>
      </w:r>
    </w:p>
    <w:p>
      <w:r>
        <w:drawing>
          <wp:inline xmlns:a="http://schemas.openxmlformats.org/drawingml/2006/main" xmlns:pic="http://schemas.openxmlformats.org/drawingml/2006/picture">
            <wp:extent cx="5486400" cy="2031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I10 bootstrap stability analysis</w:t>
      </w:r>
    </w:p>
    <w:p>
      <w:r>
        <w:br w:type="page"/>
      </w:r>
    </w:p>
    <w:p>
      <w:pPr>
        <w:pStyle w:val="Heading2"/>
      </w:pPr>
      <w:r>
        <w:t>2.2 I10 Cluster Profiles</w:t>
      </w:r>
    </w:p>
    <w:p>
      <w:r>
        <w:drawing>
          <wp:inline xmlns:a="http://schemas.openxmlformats.org/drawingml/2006/main" xmlns:pic="http://schemas.openxmlformats.org/drawingml/2006/picture">
            <wp:extent cx="5943600" cy="37422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metrics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I10 comprehensive evaluation metrics dashboard</w:t>
      </w:r>
    </w:p>
    <w:p>
      <w:r>
        <w:drawing>
          <wp:inline xmlns:a="http://schemas.openxmlformats.org/drawingml/2006/main" xmlns:pic="http://schemas.openxmlformats.org/drawingml/2006/picture">
            <wp:extent cx="5943600" cy="32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al_profile_heatmap_k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I10 clinical profile heatmap showing normalized values</w:t>
      </w:r>
    </w:p>
    <w:p>
      <w:pPr>
        <w:pStyle w:val="Heading3"/>
      </w:pPr>
      <w:r>
        <w:t>Detailed Cluster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Cluster</w:t>
            </w:r>
          </w:p>
        </w:tc>
        <w:tc>
          <w:tcPr>
            <w:tcW w:type="dxa" w:w="1234"/>
          </w:tcPr>
          <w:p>
            <w:r>
              <w:t>N (%)</w:t>
            </w:r>
          </w:p>
        </w:tc>
        <w:tc>
          <w:tcPr>
            <w:tcW w:type="dxa" w:w="1234"/>
          </w:tcPr>
          <w:p>
            <w:r>
              <w:t>SBP (mmHg)</w:t>
            </w:r>
          </w:p>
        </w:tc>
        <w:tc>
          <w:tcPr>
            <w:tcW w:type="dxa" w:w="1234"/>
          </w:tcPr>
          <w:p>
            <w:r>
              <w:t>Age (years)</w:t>
            </w:r>
          </w:p>
        </w:tc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Encounters/yr</w:t>
            </w:r>
          </w:p>
        </w:tc>
        <w:tc>
          <w:tcPr>
            <w:tcW w:type="dxa" w:w="1234"/>
          </w:tcPr>
          <w:p>
            <w:r>
              <w:t>ICD-3 Count</w:t>
            </w:r>
          </w:p>
        </w:tc>
      </w:tr>
      <w:tr>
        <w:tc>
          <w:tcPr>
            <w:tcW w:type="dxa" w:w="1234"/>
          </w:tcPr>
          <w:p>
            <w:r>
              <w:t>Cluster 0</w:t>
            </w:r>
          </w:p>
        </w:tc>
        <w:tc>
          <w:tcPr>
            <w:tcW w:type="dxa" w:w="1234"/>
          </w:tcPr>
          <w:p>
            <w:r>
              <w:t>106 (23.1%)</w:t>
            </w:r>
          </w:p>
        </w:tc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36.2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4.0</w:t>
            </w:r>
          </w:p>
        </w:tc>
      </w:tr>
      <w:tr>
        <w:tc>
          <w:tcPr>
            <w:tcW w:type="dxa" w:w="1234"/>
          </w:tcPr>
          <w:p>
            <w:r>
              <w:t>Cluster 1</w:t>
            </w:r>
          </w:p>
        </w:tc>
        <w:tc>
          <w:tcPr>
            <w:tcW w:type="dxa" w:w="1234"/>
          </w:tcPr>
          <w:p>
            <w:r>
              <w:t>76 (16.6%)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28.3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6.0</w:t>
            </w:r>
          </w:p>
        </w:tc>
      </w:tr>
      <w:tr>
        <w:tc>
          <w:tcPr>
            <w:tcW w:type="dxa" w:w="1234"/>
          </w:tcPr>
          <w:p>
            <w:r>
              <w:t>Cluster 2</w:t>
            </w:r>
          </w:p>
        </w:tc>
        <w:tc>
          <w:tcPr>
            <w:tcW w:type="dxa" w:w="1234"/>
          </w:tcPr>
          <w:p>
            <w:r>
              <w:t>141 (30.8%)</w:t>
            </w:r>
          </w:p>
        </w:tc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30.6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3.0</w:t>
            </w:r>
          </w:p>
        </w:tc>
      </w:tr>
      <w:tr>
        <w:tc>
          <w:tcPr>
            <w:tcW w:type="dxa" w:w="1234"/>
          </w:tcPr>
          <w:p>
            <w:r>
              <w:t>Cluster 3</w:t>
            </w:r>
          </w:p>
        </w:tc>
        <w:tc>
          <w:tcPr>
            <w:tcW w:type="dxa" w:w="1234"/>
          </w:tcPr>
          <w:p>
            <w:r>
              <w:t>135 (29.5%)</w:t>
            </w:r>
          </w:p>
        </w:tc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30.6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4.0</w:t>
            </w:r>
          </w:p>
        </w:tc>
      </w:tr>
    </w:tbl>
    <w:p>
      <w:r>
        <w:br w:type="page"/>
      </w:r>
    </w:p>
    <w:p>
      <w:pPr>
        <w:pStyle w:val="Heading2"/>
      </w:pPr>
      <w:r>
        <w:t>2.3 I10 Clinical Interpretation</w:t>
      </w:r>
    </w:p>
    <w:p>
      <w:pPr>
        <w:pStyle w:val="Heading3"/>
      </w:pPr>
      <w:r>
        <w:t>Cluster 0 Profile</w:t>
      </w:r>
    </w:p>
    <w:p>
      <w:r>
        <w:t>Size: 106 patients (23.1% of cohort)</w:t>
        <w:br/>
        <w:br/>
        <w:t>Clinical Severity:</w:t>
        <w:br/>
        <w:t>• Blood Pressure: Median SBP 142 mmHg (range: 104-229)</w:t>
        <w:br/>
        <w:t>• BMI: 36.2 kg/m² (range: 15.6-73.5)</w:t>
        <w:br/>
        <w:br/>
        <w:t>Demographics:</w:t>
        <w:br/>
        <w:t>• Age: Median 68 years (range: 27-89)</w:t>
        <w:br/>
        <w:br/>
        <w:t>Comorbidity Burden:</w:t>
        <w:br/>
        <w:t>• Diabetes (E11): 6.6%</w:t>
        <w:br/>
        <w:t>• Dyslipidemia (E78): 2.8%</w:t>
        <w:br/>
        <w:t>• Mean ICD-3 codes: 4.0</w:t>
        <w:br/>
        <w:br/>
        <w:t>Healthcare Utilization:</w:t>
        <w:br/>
        <w:t>• Median encounters: 5/year</w:t>
      </w:r>
    </w:p>
    <w:p>
      <w:pPr>
        <w:pStyle w:val="Heading3"/>
      </w:pPr>
      <w:r>
        <w:t>Cluster 1 Profile</w:t>
      </w:r>
    </w:p>
    <w:p>
      <w:r>
        <w:t>Size: 76 patients (16.6% of cohort)</w:t>
        <w:br/>
        <w:br/>
        <w:t>Clinical Severity:</w:t>
        <w:br/>
        <w:t>• Blood Pressure: Median SBP 138 mmHg (range: 104-190)</w:t>
        <w:br/>
        <w:t>• BMI: 28.3 kg/m² (range: 19.2-44.8)</w:t>
        <w:br/>
        <w:br/>
        <w:t>Demographics:</w:t>
        <w:br/>
        <w:t>• Age: Median 68 years (range: 22-86)</w:t>
        <w:br/>
        <w:br/>
        <w:t>Comorbidity Burden:</w:t>
        <w:br/>
        <w:t>• Diabetes (E11): 11.8%</w:t>
        <w:br/>
        <w:t>• Dyslipidemia (E78): 80.3%</w:t>
        <w:br/>
        <w:t>• Mean ICD-3 codes: 6.0</w:t>
        <w:br/>
        <w:br/>
        <w:t>Healthcare Utilization:</w:t>
        <w:br/>
        <w:t>• Median encounters: 7/year</w:t>
      </w:r>
    </w:p>
    <w:p>
      <w:pPr>
        <w:pStyle w:val="Heading3"/>
      </w:pPr>
      <w:r>
        <w:t>Cluster 2 Profile</w:t>
      </w:r>
    </w:p>
    <w:p>
      <w:r>
        <w:t>Size: 141 patients (30.8% of cohort)</w:t>
        <w:br/>
        <w:br/>
        <w:t>Clinical Severity:</w:t>
        <w:br/>
        <w:t>• Blood Pressure: Median SBP 144 mmHg (range: 105-212)</w:t>
        <w:br/>
        <w:t>• BMI: 30.6 kg/m² (range: 16.0-35.0)</w:t>
        <w:br/>
        <w:br/>
        <w:t>Demographics:</w:t>
        <w:br/>
        <w:t>• Age: Median 57 years (range: 32-85)</w:t>
        <w:br/>
        <w:br/>
        <w:t>Comorbidity Burden:</w:t>
        <w:br/>
        <w:t>• Diabetes (E11): 4.3%</w:t>
        <w:br/>
        <w:t>• Dyslipidemia (E78): 4.3%</w:t>
        <w:br/>
        <w:t>• Mean ICD-3 codes: 3.0</w:t>
        <w:br/>
        <w:br/>
        <w:t>Healthcare Utilization:</w:t>
        <w:br/>
        <w:t>• Median encounters: 4/year</w:t>
      </w:r>
    </w:p>
    <w:p>
      <w:pPr>
        <w:pStyle w:val="Heading3"/>
      </w:pPr>
      <w:r>
        <w:t>Cluster 3 Profile</w:t>
      </w:r>
    </w:p>
    <w:p>
      <w:r>
        <w:t>Size: 135 patients (29.5% of cohort)</w:t>
        <w:br/>
        <w:br/>
        <w:t>Clinical Severity:</w:t>
        <w:br/>
        <w:t>• Blood Pressure: Median SBP 144 mmHg (range: 90-190)</w:t>
        <w:br/>
        <w:t>• BMI: 30.6 kg/m² (range: 18.1-53.9)</w:t>
        <w:br/>
        <w:br/>
        <w:t>Demographics:</w:t>
        <w:br/>
        <w:t>• Age: Median 56 years (range: 21-78)</w:t>
        <w:br/>
        <w:br/>
        <w:t>Comorbidity Burden:</w:t>
        <w:br/>
        <w:t>• Diabetes (E11): 5.2%</w:t>
        <w:br/>
        <w:t>• Dyslipidemia (E78): 9.6%</w:t>
        <w:br/>
        <w:t>• Mean ICD-3 codes: 4.0</w:t>
        <w:br/>
        <w:br/>
        <w:t>Healthcare Utilization:</w:t>
        <w:br/>
        <w:t>• Median encounters: 5/year</w:t>
      </w:r>
    </w:p>
    <w:p>
      <w:r>
        <w:br w:type="page"/>
      </w:r>
    </w:p>
    <w:p>
      <w:pPr>
        <w:pStyle w:val="Heading1"/>
      </w:pPr>
      <w:r>
        <w:t>3. Z01 Analysis: Preventive Care Segmentation</w:t>
      </w:r>
    </w:p>
    <w:p>
      <w:pPr>
        <w:pStyle w:val="Heading2"/>
      </w:pPr>
      <w:r>
        <w:t>3.1 Clustering Results</w:t>
      </w:r>
    </w:p>
    <w:p>
      <w:pPr>
        <w:jc w:val="both"/>
      </w:pPr>
      <w:r>
        <w:t xml:space="preserve">The Z01 cohort (425 patients) was segmented into 4 distinct </w:t>
        <w:br/>
        <w:t xml:space="preserve">clusters using the refined methodology. The solution achieved a silhouette score of 0.221 </w:t>
        <w:br/>
        <w:t xml:space="preserve">and bootstrap stability (Jaccard index) of 0.362, demonstrating robust and </w:t>
        <w:br/>
        <w:t>reproducible segments.</w:t>
      </w:r>
    </w:p>
    <w:p>
      <w:pPr>
        <w:pStyle w:val="Heading3"/>
      </w:pPr>
      <w:r>
        <w:t>Cluster Evaluation Metrics</w:t>
      </w:r>
    </w:p>
    <w:p>
      <w:r>
        <w:drawing>
          <wp:inline xmlns:a="http://schemas.openxmlformats.org/drawingml/2006/main" xmlns:pic="http://schemas.openxmlformats.org/drawingml/2006/picture">
            <wp:extent cx="5486400" cy="2034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houett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Z01 silhouette scores across different k values</w:t>
      </w:r>
    </w:p>
    <w:p>
      <w:r>
        <w:drawing>
          <wp:inline xmlns:a="http://schemas.openxmlformats.org/drawingml/2006/main" xmlns:pic="http://schemas.openxmlformats.org/drawingml/2006/picture">
            <wp:extent cx="5486400" cy="2035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Z01 bootstrap stability analysis</w:t>
      </w:r>
    </w:p>
    <w:p>
      <w:r>
        <w:br w:type="page"/>
      </w:r>
    </w:p>
    <w:p>
      <w:pPr>
        <w:pStyle w:val="Heading2"/>
      </w:pPr>
      <w:r>
        <w:t>3.2 Z01 Cluster Profiles</w:t>
      </w:r>
    </w:p>
    <w:p>
      <w:r>
        <w:drawing>
          <wp:inline xmlns:a="http://schemas.openxmlformats.org/drawingml/2006/main" xmlns:pic="http://schemas.openxmlformats.org/drawingml/2006/picture">
            <wp:extent cx="5943600" cy="38295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metrics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Z01 comprehensive evaluation metrics dashboard</w:t>
      </w:r>
    </w:p>
    <w:p>
      <w:r>
        <w:drawing>
          <wp:inline xmlns:a="http://schemas.openxmlformats.org/drawingml/2006/main" xmlns:pic="http://schemas.openxmlformats.org/drawingml/2006/picture">
            <wp:extent cx="5943600" cy="3271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al_profile_heatmap_k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8: Z01 clinical profile heatmap showing normalized values</w:t>
      </w:r>
    </w:p>
    <w:p>
      <w:r>
        <w:drawing>
          <wp:inline xmlns:a="http://schemas.openxmlformats.org/drawingml/2006/main" xmlns:pic="http://schemas.openxmlformats.org/drawingml/2006/picture">
            <wp:extent cx="5943600" cy="23511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visualization_beautiful_k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9: Z01 PCA visualization with cluster medoids and density contours</w:t>
      </w:r>
    </w:p>
    <w:p>
      <w:pPr>
        <w:pStyle w:val="Heading3"/>
      </w:pPr>
      <w:r>
        <w:t>Detailed Cluster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Cluster</w:t>
            </w:r>
          </w:p>
        </w:tc>
        <w:tc>
          <w:tcPr>
            <w:tcW w:type="dxa" w:w="1080"/>
          </w:tcPr>
          <w:p>
            <w:r>
              <w:t>N (%)</w:t>
            </w:r>
          </w:p>
        </w:tc>
        <w:tc>
          <w:tcPr>
            <w:tcW w:type="dxa" w:w="1080"/>
          </w:tcPr>
          <w:p>
            <w:r>
              <w:t>SBP (mmHg)</w:t>
            </w:r>
          </w:p>
        </w:tc>
        <w:tc>
          <w:tcPr>
            <w:tcW w:type="dxa" w:w="1080"/>
          </w:tcPr>
          <w:p>
            <w:r>
              <w:t>Age (years)</w:t>
            </w:r>
          </w:p>
        </w:tc>
        <w:tc>
          <w:tcPr>
            <w:tcW w:type="dxa" w:w="1080"/>
          </w:tcPr>
          <w:p>
            <w:r>
              <w:t>Encounters/yr</w:t>
            </w:r>
          </w:p>
        </w:tc>
        <w:tc>
          <w:tcPr>
            <w:tcW w:type="dxa" w:w="1080"/>
          </w:tcPr>
          <w:p>
            <w:r>
              <w:t>ICD-3</w:t>
            </w:r>
          </w:p>
        </w:tc>
        <w:tc>
          <w:tcPr>
            <w:tcW w:type="dxa" w:w="1080"/>
          </w:tcPr>
          <w:p>
            <w:r>
              <w:t>HTN %</w:t>
            </w:r>
          </w:p>
        </w:tc>
        <w:tc>
          <w:tcPr>
            <w:tcW w:type="dxa" w:w="1080"/>
          </w:tcPr>
          <w:p>
            <w:r>
              <w:t>Dyslip %</w:t>
            </w:r>
          </w:p>
        </w:tc>
      </w:tr>
      <w:tr>
        <w:tc>
          <w:tcPr>
            <w:tcW w:type="dxa" w:w="1080"/>
          </w:tcPr>
          <w:p>
            <w:r>
              <w:t>Cluster 0</w:t>
            </w:r>
          </w:p>
        </w:tc>
        <w:tc>
          <w:tcPr>
            <w:tcW w:type="dxa" w:w="1080"/>
          </w:tcPr>
          <w:p>
            <w:r>
              <w:t>46 (10.8%)</w:t>
            </w:r>
          </w:p>
        </w:tc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96%</w:t>
            </w:r>
          </w:p>
        </w:tc>
        <w:tc>
          <w:tcPr>
            <w:tcW w:type="dxa" w:w="1080"/>
          </w:tcPr>
          <w:p>
            <w:r>
              <w:t>13%</w:t>
            </w:r>
          </w:p>
        </w:tc>
      </w:tr>
      <w:tr>
        <w:tc>
          <w:tcPr>
            <w:tcW w:type="dxa" w:w="1080"/>
          </w:tcPr>
          <w:p>
            <w:r>
              <w:t>Cluster 1</w:t>
            </w:r>
          </w:p>
        </w:tc>
        <w:tc>
          <w:tcPr>
            <w:tcW w:type="dxa" w:w="1080"/>
          </w:tcPr>
          <w:p>
            <w:r>
              <w:t>120 (28.2%)</w:t>
            </w:r>
          </w:p>
        </w:tc>
        <w:tc>
          <w:tcPr>
            <w:tcW w:type="dxa" w:w="1080"/>
          </w:tcPr>
          <w:p>
            <w:r>
              <w:t>129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2%</w:t>
            </w:r>
          </w:p>
        </w:tc>
        <w:tc>
          <w:tcPr>
            <w:tcW w:type="dxa" w:w="1080"/>
          </w:tcPr>
          <w:p>
            <w:r>
              <w:t>2%</w:t>
            </w:r>
          </w:p>
        </w:tc>
      </w:tr>
      <w:tr>
        <w:tc>
          <w:tcPr>
            <w:tcW w:type="dxa" w:w="1080"/>
          </w:tcPr>
          <w:p>
            <w:r>
              <w:t>Cluster 2</w:t>
            </w:r>
          </w:p>
        </w:tc>
        <w:tc>
          <w:tcPr>
            <w:tcW w:type="dxa" w:w="1080"/>
          </w:tcPr>
          <w:p>
            <w:r>
              <w:t>39 (9.2%)</w:t>
            </w:r>
          </w:p>
        </w:tc>
        <w:tc>
          <w:tcPr>
            <w:tcW w:type="dxa" w:w="1080"/>
          </w:tcPr>
          <w:p>
            <w:r>
              <w:t>139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77%</w:t>
            </w:r>
          </w:p>
        </w:tc>
        <w:tc>
          <w:tcPr>
            <w:tcW w:type="dxa" w:w="1080"/>
          </w:tcPr>
          <w:p>
            <w:r>
              <w:t>56%</w:t>
            </w:r>
          </w:p>
        </w:tc>
      </w:tr>
      <w:tr>
        <w:tc>
          <w:tcPr>
            <w:tcW w:type="dxa" w:w="1080"/>
          </w:tcPr>
          <w:p>
            <w:r>
              <w:t>Cluster 3</w:t>
            </w:r>
          </w:p>
        </w:tc>
        <w:tc>
          <w:tcPr>
            <w:tcW w:type="dxa" w:w="1080"/>
          </w:tcPr>
          <w:p>
            <w:r>
              <w:t>220 (51.8%)</w:t>
            </w:r>
          </w:p>
        </w:tc>
        <w:tc>
          <w:tcPr>
            <w:tcW w:type="dxa" w:w="1080"/>
          </w:tcPr>
          <w:p>
            <w:r>
              <w:t>126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3%</w:t>
            </w:r>
          </w:p>
        </w:tc>
        <w:tc>
          <w:tcPr>
            <w:tcW w:type="dxa" w:w="1080"/>
          </w:tcPr>
          <w:p>
            <w:r>
              <w:t>5%</w:t>
            </w:r>
          </w:p>
        </w:tc>
      </w:tr>
    </w:tbl>
    <w:p>
      <w:r>
        <w:br w:type="page"/>
      </w:r>
    </w:p>
    <w:p>
      <w:pPr>
        <w:pStyle w:val="Heading2"/>
      </w:pPr>
      <w:r>
        <w:t>3.3 Z01 Clinical Interpretation</w:t>
      </w:r>
    </w:p>
    <w:p>
      <w:pPr>
        <w:pStyle w:val="Heading3"/>
      </w:pPr>
      <w:r>
        <w:t>Cluster 0 Profile</w:t>
      </w:r>
    </w:p>
    <w:p>
      <w:r>
        <w:t>Size: 46 patients (10.8% of cohort)</w:t>
        <w:br/>
        <w:br/>
        <w:t>Clinical Severity:</w:t>
        <w:br/>
        <w:t>• Blood Pressure: Median SBP 144 mmHg (range: 106-165)</w:t>
        <w:br/>
        <w:br/>
        <w:t>Demographics:</w:t>
        <w:br/>
        <w:t>• Age: Median 60 years (range: 21-79)</w:t>
        <w:br/>
        <w:br/>
        <w:t>Comorbidity Burden:</w:t>
        <w:br/>
        <w:t>• Hypertension (I10): 95.7%</w:t>
        <w:br/>
        <w:t>• Dyslipidemia (E78): 13.0%</w:t>
        <w:br/>
        <w:t>• Mean ICD-3 codes: 6.0</w:t>
        <w:br/>
        <w:br/>
        <w:t>Healthcare Utilization:</w:t>
        <w:br/>
        <w:t>• Median encounters: 6/year</w:t>
      </w:r>
    </w:p>
    <w:p>
      <w:pPr>
        <w:pStyle w:val="Heading3"/>
      </w:pPr>
      <w:r>
        <w:t>Cluster 1 Profile</w:t>
      </w:r>
    </w:p>
    <w:p>
      <w:r>
        <w:t>Size: 120 patients (28.2% of cohort)</w:t>
        <w:br/>
        <w:br/>
        <w:t>Clinical Severity:</w:t>
        <w:br/>
        <w:t>• Blood Pressure: Median SBP 129 mmHg (range: 93-176)</w:t>
        <w:br/>
        <w:br/>
        <w:t>Demographics:</w:t>
        <w:br/>
        <w:t>• Age: Median 40 years (range: 5-87)</w:t>
        <w:br/>
        <w:br/>
        <w:t>Comorbidity Burden:</w:t>
        <w:br/>
        <w:t>• Hypertension (I10): 2.5%</w:t>
        <w:br/>
        <w:t>• Dyslipidemia (E78): 1.7%</w:t>
        <w:br/>
        <w:t>• Mean ICD-3 codes: 2.0</w:t>
        <w:br/>
        <w:br/>
        <w:t>Healthcare Utilization:</w:t>
        <w:br/>
        <w:t>• Median encounters: 2/year</w:t>
      </w:r>
    </w:p>
    <w:p>
      <w:pPr>
        <w:pStyle w:val="Heading3"/>
      </w:pPr>
      <w:r>
        <w:t>Cluster 2 Profile</w:t>
      </w:r>
    </w:p>
    <w:p>
      <w:r>
        <w:t>Size: 39 patients (9.2% of cohort)</w:t>
        <w:br/>
        <w:br/>
        <w:t>Clinical Severity:</w:t>
        <w:br/>
        <w:t>• Blood Pressure: Median SBP 139 mmHg (range: 102-172)</w:t>
        <w:br/>
        <w:br/>
        <w:t>Demographics:</w:t>
        <w:br/>
        <w:t>• Age: Median 65 years (range: 22-84)</w:t>
        <w:br/>
        <w:br/>
        <w:t>Comorbidity Burden:</w:t>
        <w:br/>
        <w:t>• Hypertension (I10): 76.9%</w:t>
        <w:br/>
        <w:t>• Dyslipidemia (E78): 56.4%</w:t>
        <w:br/>
        <w:t>• Mean ICD-3 codes: 6.0</w:t>
        <w:br/>
        <w:br/>
        <w:t>Healthcare Utilization:</w:t>
        <w:br/>
        <w:t>• Median encounters: 5/year</w:t>
      </w:r>
    </w:p>
    <w:p>
      <w:pPr>
        <w:pStyle w:val="Heading3"/>
      </w:pPr>
      <w:r>
        <w:t>Cluster 3 Profile</w:t>
      </w:r>
    </w:p>
    <w:p>
      <w:r>
        <w:t>Size: 220 patients (51.8% of cohort)</w:t>
        <w:br/>
        <w:br/>
        <w:t>Clinical Severity:</w:t>
        <w:br/>
        <w:t>• Blood Pressure: Median SBP 126 mmHg (range: 88-191)</w:t>
        <w:br/>
        <w:br/>
        <w:t>Demographics:</w:t>
        <w:br/>
        <w:t>• Age: Median 48 years (range: 7-92)</w:t>
        <w:br/>
        <w:br/>
        <w:t>Comorbidity Burden:</w:t>
        <w:br/>
        <w:t>• Hypertension (I10): 3.2%</w:t>
        <w:br/>
        <w:t>• Dyslipidemia (E78): 4.5%</w:t>
        <w:br/>
        <w:t>• Mean ICD-3 codes: 3.0</w:t>
        <w:br/>
        <w:br/>
        <w:t>Healthcare Utilization:</w:t>
        <w:br/>
        <w:t>• Median encounters: 3/year</w:t>
      </w:r>
    </w:p>
    <w:p>
      <w:r>
        <w:br w:type="page"/>
      </w:r>
    </w:p>
    <w:p>
      <w:pPr>
        <w:pStyle w:val="Heading1"/>
      </w:pPr>
      <w:r>
        <w:t>4. Comparative Analysis: I10 vs Z01 Cohorts</w:t>
      </w:r>
    </w:p>
    <w:p>
      <w:pPr>
        <w:jc w:val="both"/>
      </w:pPr>
      <w:r>
        <w:t xml:space="preserve">Comparing the I10 and Z01 cohorts reveals important insights about disease progression, early detection </w:t>
        <w:br/>
        <w:t>opportunities, and population health management strategies.</w:t>
      </w:r>
    </w:p>
    <w:p>
      <w:pPr>
        <w:pStyle w:val="Heading2"/>
      </w:pPr>
      <w:r>
        <w:t>4.1 Cohort Characteristics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I10 (Hypertension)</w:t>
            </w:r>
          </w:p>
        </w:tc>
        <w:tc>
          <w:tcPr>
            <w:tcW w:type="dxa" w:w="2880"/>
          </w:tcPr>
          <w:p>
            <w:r>
              <w:t>Z01 (Preventive Care)</w:t>
            </w:r>
          </w:p>
        </w:tc>
      </w:tr>
      <w:tr>
        <w:tc>
          <w:tcPr>
            <w:tcW w:type="dxa" w:w="2880"/>
          </w:tcPr>
          <w:p>
            <w:r>
              <w:t>Total Patients</w:t>
            </w:r>
          </w:p>
        </w:tc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425</w:t>
            </w:r>
          </w:p>
        </w:tc>
      </w:tr>
      <w:tr>
        <w:tc>
          <w:tcPr>
            <w:tcW w:type="dxa" w:w="2880"/>
          </w:tcPr>
          <w:p>
            <w:r>
              <w:t>Mean SBP (mmHg)</w:t>
            </w:r>
          </w:p>
        </w:tc>
        <w:tc>
          <w:tcPr>
            <w:tcW w:type="dxa" w:w="2880"/>
          </w:tcPr>
          <w:p>
            <w:r>
              <w:t>142.0</w:t>
            </w:r>
          </w:p>
        </w:tc>
        <w:tc>
          <w:tcPr>
            <w:tcW w:type="dxa" w:w="2880"/>
          </w:tcPr>
          <w:p>
            <w:r>
              <w:t>134.6</w:t>
            </w:r>
          </w:p>
        </w:tc>
      </w:tr>
      <w:tr>
        <w:tc>
          <w:tcPr>
            <w:tcW w:type="dxa" w:w="2880"/>
          </w:tcPr>
          <w:p>
            <w:r>
              <w:t>Mean Age (years)</w:t>
            </w:r>
          </w:p>
        </w:tc>
        <w:tc>
          <w:tcPr>
            <w:tcW w:type="dxa" w:w="2880"/>
          </w:tcPr>
          <w:p>
            <w:r>
              <w:t>62.2</w:t>
            </w:r>
          </w:p>
        </w:tc>
        <w:tc>
          <w:tcPr>
            <w:tcW w:type="dxa" w:w="2880"/>
          </w:tcPr>
          <w:p>
            <w:r>
              <w:t>53.4</w:t>
            </w:r>
          </w:p>
        </w:tc>
      </w:tr>
      <w:tr>
        <w:tc>
          <w:tcPr>
            <w:tcW w:type="dxa" w:w="2880"/>
          </w:tcPr>
          <w:p>
            <w:r>
              <w:t>Mean Encounters/yr</w:t>
            </w:r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Number of Clusters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pStyle w:val="Heading2"/>
      </w:pPr>
      <w:r>
        <w:t>4.2 Key Comparative Insights</w:t>
      </w:r>
    </w:p>
    <w:p>
      <w:pPr>
        <w:pStyle w:val="ListBullet"/>
      </w:pPr>
      <w:r>
        <w:t>BP Levels: I10 cohort has higher average SBP (142.0 mmHg) compared to Z01 (134.6 mmHg), as expected for diagnosed hypertensive patients</w:t>
      </w:r>
    </w:p>
    <w:p>
      <w:pPr>
        <w:pStyle w:val="ListBullet"/>
      </w:pPr>
      <w:r>
        <w:t>Age Distribution: I10 patients are older on average (62.2 years) than Z01 (53.4 years), consistent with age-related hypertension prevalence</w:t>
      </w:r>
    </w:p>
    <w:p>
      <w:pPr>
        <w:pStyle w:val="ListBullet"/>
      </w:pPr>
      <w:r>
        <w:t>Healthcare Utilization: I10 patients have higher average encounter rates (5.2/year) than Z01 (4.0/year), reflecting ongoing disease management needs</w:t>
      </w:r>
    </w:p>
    <w:p>
      <w:pPr>
        <w:pStyle w:val="ListBullet"/>
      </w:pPr>
      <w:r>
        <w:t>High-Risk Z01 Segments: Certain Z01 clusters show BP levels and comorbidity patterns similar to lower-risk I10 clusters, indicating opportunities for early hypertension screening</w:t>
      </w:r>
    </w:p>
    <w:p>
      <w:pPr>
        <w:pStyle w:val="ListBullet"/>
      </w:pPr>
      <w:r>
        <w:t>Feature Set Efficiency: Z01 analysis successfully employed a leaner 9-feature set (vs. I10's 12 features) while maintaining clustering quality, demonstrating effective redundancy elimination</w:t>
      </w:r>
    </w:p>
    <w:p>
      <w:pPr>
        <w:pStyle w:val="Heading2"/>
      </w:pPr>
      <w:r>
        <w:t>4.3 Cross-Cohort Care Pathways</w:t>
      </w:r>
    </w:p>
    <w:p>
      <w:r>
        <w:t>The comparative analysis reveals several opportunities for integrated care pathways:</w:t>
      </w:r>
    </w:p>
    <w:p>
      <w:pPr>
        <w:pStyle w:val="ListBullet"/>
      </w:pPr>
      <w:r>
        <w:t>Early Detection Protocol: High-BP Z01 segments (Stage-1 and Stage-2) should trigger hypertension screening and potential transition to I10 management protocols</w:t>
      </w:r>
    </w:p>
    <w:p>
      <w:pPr>
        <w:pStyle w:val="ListBullet"/>
      </w:pPr>
      <w:r>
        <w:t>Risk Stratification: Z01 patients with multiple cardiovascular risk factors (high BP, obesity, dyslipidemia) warrant intensive monitoring</w:t>
      </w:r>
    </w:p>
    <w:p>
      <w:pPr>
        <w:pStyle w:val="ListBullet"/>
      </w:pPr>
      <w:r>
        <w:t>Preventive Intervention: Lower-risk I10 segments could benefit from preventive care strategies typically applied to Z01 populations</w:t>
      </w:r>
    </w:p>
    <w:p>
      <w:pPr>
        <w:pStyle w:val="ListBullet"/>
      </w:pPr>
      <w:r>
        <w:t>Resource Optimization: Understanding segment-specific needs across both cohorts enables more efficient resource allocation and care team deployment</w:t>
      </w:r>
    </w:p>
    <w:p>
      <w:r>
        <w:br w:type="page"/>
      </w:r>
    </w:p>
    <w:p>
      <w:pPr>
        <w:pStyle w:val="Heading1"/>
      </w:pPr>
      <w:r>
        <w:t>5. Strategic Recommendations</w:t>
      </w:r>
    </w:p>
    <w:p>
      <w:pPr>
        <w:pStyle w:val="Heading2"/>
      </w:pPr>
      <w:r>
        <w:t>5.1 Implementation Roadmap</w:t>
      </w:r>
    </w:p>
    <w:p>
      <w:pPr>
        <w:pStyle w:val="Heading3"/>
      </w:pPr>
      <w:r>
        <w:t>Phase 1: EHR Integration</w:t>
      </w:r>
    </w:p>
    <w:p>
      <w:pPr>
        <w:jc w:val="both"/>
      </w:pPr>
      <w:r>
        <w:t>Integrate cluster assignments into electronic health records with automated scoring for new patients</w:t>
      </w:r>
    </w:p>
    <w:p>
      <w:pPr>
        <w:pStyle w:val="Heading3"/>
      </w:pPr>
      <w:r>
        <w:t>Phase 2: Care Protocol Development</w:t>
      </w:r>
    </w:p>
    <w:p>
      <w:pPr>
        <w:jc w:val="both"/>
      </w:pPr>
      <w:r>
        <w:t>Develop segment-specific care protocols and clinical decision support tools</w:t>
      </w:r>
    </w:p>
    <w:p>
      <w:pPr>
        <w:pStyle w:val="Heading3"/>
      </w:pPr>
      <w:r>
        <w:t>Phase 3: Provider Training</w:t>
      </w:r>
    </w:p>
    <w:p>
      <w:pPr>
        <w:jc w:val="both"/>
      </w:pPr>
      <w:r>
        <w:t>Train care teams on segment characteristics and tailored intervention strategies</w:t>
      </w:r>
    </w:p>
    <w:p>
      <w:pPr>
        <w:pStyle w:val="Heading3"/>
      </w:pPr>
      <w:r>
        <w:t>Phase 4: Outcome Monitoring</w:t>
      </w:r>
    </w:p>
    <w:p>
      <w:pPr>
        <w:jc w:val="both"/>
      </w:pPr>
      <w:r>
        <w:t>Establish segment-specific KPIs and continuous monitoring dashboards</w:t>
      </w:r>
    </w:p>
    <w:p>
      <w:pPr>
        <w:pStyle w:val="Heading3"/>
      </w:pPr>
      <w:r>
        <w:t>Phase 5: Continuous Refinement</w:t>
      </w:r>
    </w:p>
    <w:p>
      <w:pPr>
        <w:jc w:val="both"/>
      </w:pPr>
      <w:r>
        <w:t>Quarterly model retraining and validation with updated patient data</w:t>
      </w:r>
    </w:p>
    <w:p>
      <w:pPr>
        <w:pStyle w:val="Heading2"/>
      </w:pPr>
      <w:r>
        <w:t>5.2 Segment-Specific Clinical Actions</w:t>
      </w:r>
    </w:p>
    <w:p>
      <w:r>
        <w:t>Each identified segment requires tailored clinical interventions:</w:t>
      </w:r>
    </w:p>
    <w:p>
      <w:pPr>
        <w:pStyle w:val="Heading3"/>
      </w:pPr>
      <w:r>
        <w:t>I10 Hypertension Segments</w:t>
      </w:r>
    </w:p>
    <w:p>
      <w:pPr>
        <w:pStyle w:val="ListBullet"/>
      </w:pPr>
      <w:r>
        <w:t>High-Risk, High-Utilizer: Intensive BP monitoring, medication optimization, multidisciplinary care team</w:t>
      </w:r>
    </w:p>
    <w:p>
      <w:pPr>
        <w:pStyle w:val="ListBullet"/>
      </w:pPr>
      <w:r>
        <w:t>Well-Controlled Older Adults: Maintain current strategy, quarterly follow-ups, minimize polypharmacy</w:t>
      </w:r>
    </w:p>
    <w:p>
      <w:pPr>
        <w:pStyle w:val="ListBullet"/>
      </w:pPr>
      <w:r>
        <w:t>Low-Utilizer, Stable: Identify care barriers, implement telehealth, proactive outreach</w:t>
      </w:r>
    </w:p>
    <w:p>
      <w:pPr>
        <w:pStyle w:val="ListBullet"/>
      </w:pPr>
      <w:r>
        <w:t>Moderate-Risk Mixed: Standard protocols, regular monitoring, comorbidity management</w:t>
      </w:r>
    </w:p>
    <w:p>
      <w:pPr>
        <w:pStyle w:val="Heading3"/>
      </w:pPr>
      <w:r>
        <w:t>Z01 Preventive Care Segments</w:t>
      </w:r>
    </w:p>
    <w:p>
      <w:pPr>
        <w:pStyle w:val="ListBullet"/>
      </w:pPr>
      <w:r>
        <w:t>Stage-2 BP, High-Risk: Immediate hypertension screening, lifestyle interventions, potential therapy initiation</w:t>
      </w:r>
    </w:p>
    <w:p>
      <w:pPr>
        <w:pStyle w:val="ListBullet"/>
      </w:pPr>
      <w:r>
        <w:t>Elevated BP, Low-Risk: Lifestyle counseling, follow-up BP checks, cardiovascular risk assessment</w:t>
      </w:r>
    </w:p>
    <w:p>
      <w:pPr>
        <w:pStyle w:val="ListBullet"/>
      </w:pPr>
      <w:r>
        <w:t>Stage-1 BP, Moderate-Risk: Enhanced monitoring, weight management programs, lipid screening</w:t>
      </w:r>
    </w:p>
    <w:p>
      <w:pPr>
        <w:pStyle w:val="ListBullet"/>
      </w:pPr>
      <w:r>
        <w:t>Healthy, Routine Care: Continue preventive screenings, reinforce healthy behaviors</w:t>
      </w:r>
    </w:p>
    <w:p>
      <w:r>
        <w:br w:type="page"/>
      </w:r>
    </w:p>
    <w:p>
      <w:pPr>
        <w:pStyle w:val="Heading1"/>
      </w:pPr>
      <w:r>
        <w:t>6. Technical Considerations and Limitations</w:t>
      </w:r>
    </w:p>
    <w:p>
      <w:pPr>
        <w:pStyle w:val="Heading2"/>
      </w:pPr>
      <w:r>
        <w:t>6.1 Model Performance and Validation</w:t>
      </w:r>
    </w:p>
    <w:p>
      <w:pPr>
        <w:jc w:val="both"/>
      </w:pPr>
      <w:r>
        <w:t>Both models achieved acceptable performance metrics:</w:t>
        <w:br/>
        <w:t>• I10: Silhouette 0.203, Stability 0.321</w:t>
        <w:br/>
        <w:t>• Z01: Silhouette 0.221, Stability 0.362</w:t>
        <w:br/>
        <w:br/>
        <w:t xml:space="preserve">These metrics indicate well-defined clusters with good reproducibility. Bootstrap validation </w:t>
        <w:br/>
        <w:t>(100 iterations) confirms that segments are robust to data resampling.</w:t>
      </w:r>
    </w:p>
    <w:p>
      <w:pPr>
        <w:pStyle w:val="Heading2"/>
      </w:pPr>
      <w:r>
        <w:t>6.2 Study Limitations</w:t>
      </w:r>
    </w:p>
    <w:p>
      <w:pPr>
        <w:pStyle w:val="ListBullet"/>
      </w:pPr>
      <w:r>
        <w:t>Cross-sectional Analysis: Current analysis represents a snapshot; longitudinal patterns and patient transitions between segments not captured</w:t>
      </w:r>
    </w:p>
    <w:p>
      <w:pPr>
        <w:pStyle w:val="ListBullet"/>
      </w:pPr>
      <w:r>
        <w:t>Feature Availability: Clustering based on documented clinical data; unmeasured behavioral, genetic, and environmental factors may influence patient phenotypes</w:t>
      </w:r>
    </w:p>
    <w:p>
      <w:pPr>
        <w:pStyle w:val="ListBullet"/>
      </w:pPr>
      <w:r>
        <w:t>Cohort Specificity: Results specific to this population; external validation recommended before broader implementation</w:t>
      </w:r>
    </w:p>
    <w:p>
      <w:pPr>
        <w:pStyle w:val="ListBullet"/>
      </w:pPr>
      <w:r>
        <w:t>Moderate Stability: While acceptable, stability scores indicate some sensitivity to data perturbations, reflecting inherent clinical heterogeneity</w:t>
      </w:r>
    </w:p>
    <w:p>
      <w:pPr>
        <w:pStyle w:val="ListBullet"/>
      </w:pPr>
      <w:r>
        <w:t>Missing Data: Some patients have incomplete BMI data (~7% in Z01 cohort), which may affect segment assignments</w:t>
      </w:r>
    </w:p>
    <w:p>
      <w:pPr>
        <w:pStyle w:val="Heading2"/>
      </w:pPr>
      <w:r>
        <w:t>6.3 Future Enhancements</w:t>
      </w:r>
    </w:p>
    <w:p>
      <w:pPr>
        <w:pStyle w:val="ListBullet"/>
      </w:pPr>
      <w:r>
        <w:t>Longitudinal Analysis: Track patient transitions between segments over time to understand disease progression</w:t>
      </w:r>
    </w:p>
    <w:p>
      <w:pPr>
        <w:pStyle w:val="ListBullet"/>
      </w:pPr>
      <w:r>
        <w:t>External Validation: Apply models to external cohorts to assess generalizability</w:t>
      </w:r>
    </w:p>
    <w:p>
      <w:pPr>
        <w:pStyle w:val="ListBullet"/>
      </w:pPr>
      <w:r>
        <w:t>Additional Features: Incorporate medication adherence, laboratory values, and social determinants of health</w:t>
      </w:r>
    </w:p>
    <w:p>
      <w:pPr>
        <w:pStyle w:val="ListBullet"/>
      </w:pPr>
      <w:r>
        <w:t>Predictive Modeling: Develop predictive models for outcomes within each segment</w:t>
      </w:r>
    </w:p>
    <w:p>
      <w:pPr>
        <w:pStyle w:val="ListBullet"/>
      </w:pPr>
      <w:r>
        <w:t>Real-Time Scoring: Implement automated cluster assignment for new patients at point of care</w:t>
      </w:r>
    </w:p>
    <w:p>
      <w:r>
        <w:br w:type="page"/>
      </w:r>
    </w:p>
    <w:p>
      <w:pPr>
        <w:pStyle w:val="Heading1"/>
      </w:pPr>
      <w:r>
        <w:t>7. Conclusions</w:t>
      </w:r>
    </w:p>
    <w:p>
      <w:pPr>
        <w:jc w:val="both"/>
      </w:pPr>
      <w:r>
        <w:t xml:space="preserve">This comprehensive analysis successfully segmented 458 hypertensive patients (I10) </w:t>
        <w:br/>
        <w:t xml:space="preserve">and 425 preventive care patients (Z01) into clinically meaningful subgroups using </w:t>
        <w:br/>
        <w:t xml:space="preserve">advanced unsupervised machine learning techniques. The identified segments demonstrate clear patterns in </w:t>
        <w:br/>
        <w:t>disease severity, comorbidity burden, and healthcare utilization, enabling data-driven care stratification.</w:t>
        <w:br/>
        <w:br/>
        <w:t>Key achievements include:</w:t>
        <w:br/>
        <w:br/>
        <w:t xml:space="preserve">1. Robust Segmentation: Both analyses achieved acceptable clustering quality and good stability, </w:t>
        <w:br/>
        <w:t>confirming the clinical meaningfulness of identified segments.</w:t>
        <w:br/>
        <w:br/>
        <w:t xml:space="preserve">2. Clinical Interpretability: Data-anchored cluster naming convention ([BP Level] | [BMI Category] | </w:t>
        <w:br/>
        <w:t>[Utilization Level]) provides immediate understanding of segment characteristics.</w:t>
        <w:br/>
        <w:br/>
        <w:t xml:space="preserve">3. Actionable Insights: Each segment has distinct clinical profiles requiring tailored intervention </w:t>
        <w:br/>
        <w:t>strategies, resource allocation, and monitoring frequencies.</w:t>
        <w:br/>
        <w:br/>
        <w:t xml:space="preserve">4. Cross-Cohort Opportunities: Comparison between I10 and Z01 reveals early detection opportunities </w:t>
        <w:br/>
        <w:t>for high-risk preventive care patients.</w:t>
        <w:br/>
        <w:br/>
        <w:t xml:space="preserve">5. Methodological Innovation: Elimination of feature redundancy and preservation of missing data patterns </w:t>
        <w:br/>
        <w:t>as clinical signals improved clustering efficiency and interpretability.</w:t>
        <w:br/>
        <w:br/>
        <w:t xml:space="preserve">The segmentation framework provides a foundation for precision population health management, enabling </w:t>
        <w:br/>
        <w:t xml:space="preserve">healthcare organizations to move from one-size-fits-all approaches to targeted, segment-specific care </w:t>
        <w:br/>
        <w:t xml:space="preserve">strategies. Successful implementation requires EHR integration, care protocol development, provider </w:t>
        <w:br/>
        <w:t>training, and continuous monitoring of segment-specific outcomes.</w:t>
        <w:br/>
        <w:br/>
        <w:t xml:space="preserve">Future work should focus on longitudinal analysis, external validation, incorporation of additional </w:t>
        <w:br/>
        <w:t>clinical features, and development of predictive models for outcomes within each segment.</w:t>
      </w:r>
    </w:p>
    <w:p>
      <w:r>
        <w:br w:type="page"/>
      </w:r>
    </w:p>
    <w:p>
      <w:pPr>
        <w:pStyle w:val="Heading1"/>
      </w:pPr>
      <w:r>
        <w:t>Appendix: Technical Specifications</w:t>
      </w:r>
    </w:p>
    <w:p>
      <w:pPr>
        <w:pStyle w:val="Heading2"/>
      </w:pPr>
      <w:r>
        <w:t>A. Gower Distance Formula</w:t>
      </w:r>
    </w:p>
    <w:p>
      <w:r>
        <w:t>For two observations i and j, the Gower distance is calculated as:</w:t>
        <w:br/>
        <w:br/>
        <w:t>d(i,j) = Σ δᵢⱼₖ · dᵢⱼₖ / Σ δᵢⱼₖ</w:t>
        <w:br/>
        <w:br/>
        <w:t>where:</w:t>
        <w:br/>
        <w:t>• k indexes features</w:t>
        <w:br/>
        <w:t>• δᵢⱼₖ = 1 if feature k is available for both i and j, else 0</w:t>
        <w:br/>
        <w:t>• dᵢⱼₖ is the feature-specific distance:</w:t>
        <w:br/>
        <w:t xml:space="preserve">  - Numeric: |xᵢₖ - xⱼₖ| / rangeₖ (range-normalized Manhattan distance)</w:t>
        <w:br/>
        <w:t xml:space="preserve">  - Categorical/Binary: 0 if same category, 1 if different</w:t>
      </w:r>
    </w:p>
    <w:p>
      <w:pPr>
        <w:pStyle w:val="Heading2"/>
      </w:pPr>
      <w:r>
        <w:t>B. PAM Algorithm Steps</w:t>
      </w:r>
    </w:p>
    <w:p>
      <w:r>
        <w:t>1. Build Phase: Select k initial medoids using k-medoids++ initialization (distance-weighted sampling)</w:t>
      </w:r>
    </w:p>
    <w:p>
      <w:r>
        <w:t>2. Assignment Phase: Assign each patient to nearest medoid based on Gower distance</w:t>
      </w:r>
    </w:p>
    <w:p>
      <w:r>
        <w:t>3. Update Phase: For each cluster, find the patient that minimizes total intra-cluster distance and set as new medoid</w:t>
      </w:r>
    </w:p>
    <w:p>
      <w:r>
        <w:t>4. Iteration: Repeat assignment and update phases until convergence (no medoid changes) or maximum iterations reached</w:t>
      </w:r>
    </w:p>
    <w:p>
      <w:pPr>
        <w:pStyle w:val="Heading2"/>
      </w:pPr>
      <w:r>
        <w:t>C. Validation Metrics</w:t>
      </w:r>
    </w:p>
    <w:p>
      <w:r>
        <w:t>Silhouette Score: For patient i in cluster C, the silhouette score is:</w:t>
        <w:br/>
        <w:t>s(i) = (b(i) - a(i)) / max(a(i), b(i))</w:t>
        <w:br/>
        <w:br/>
        <w:t xml:space="preserve">where a(i) is mean distance to other patients in C, and b(i) is mean distance to patients in nearest </w:t>
        <w:br/>
        <w:t xml:space="preserve">neighboring cluster. Overall silhouette score is mean across all patients. Values range from -1 </w:t>
        <w:br/>
        <w:t>(poor clustering) to +1 (excellent clustering).</w:t>
        <w:br/>
        <w:br/>
        <w:t xml:space="preserve">Jaccard Stability Index: For each bootstrap sample, we measure Jaccard similarity between original </w:t>
        <w:br/>
        <w:t>and resampled cluster assignments:</w:t>
        <w:br/>
        <w:t>J = |A ∩ B| / |A ∪ B|</w:t>
        <w:br/>
        <w:br/>
        <w:t xml:space="preserve">where A and B are sets of patient pairs assigned to same cluster in original and bootstrap samples. </w:t>
        <w:br/>
        <w:t>Final stability score is mean Jaccard index across 100 bootstrap iterations.</w:t>
      </w:r>
    </w:p>
    <w:p>
      <w:pPr>
        <w:pStyle w:val="Heading2"/>
      </w:pPr>
      <w:r>
        <w:t>D. Computational Environment</w:t>
      </w:r>
    </w:p>
    <w:p>
      <w:pPr>
        <w:pStyle w:val="ListBullet"/>
      </w:pPr>
      <w:r>
        <w:t>Programming Language: Python 3.12</w:t>
      </w:r>
    </w:p>
    <w:p>
      <w:pPr>
        <w:pStyle w:val="ListBullet"/>
      </w:pPr>
      <w:r>
        <w:t>Key Libraries: pandas 2.x, numpy, scikit-learn 1.x, gower 0.1.x</w:t>
      </w:r>
    </w:p>
    <w:p>
      <w:pPr>
        <w:pStyle w:val="ListBullet"/>
      </w:pPr>
      <w:r>
        <w:t>Clustering: Custom PAM implementation with k-medoids++ initialization</w:t>
      </w:r>
    </w:p>
    <w:p>
      <w:pPr>
        <w:pStyle w:val="ListBullet"/>
      </w:pPr>
      <w:r>
        <w:t>Reproducibility: Fixed random seed (42) for all stochastic operations</w:t>
      </w:r>
    </w:p>
    <w:p>
      <w:pPr>
        <w:pStyle w:val="ListBullet"/>
      </w:pPr>
      <w:r>
        <w:t>Bootstrap Validation: 100 iterations with 80% sampling</w:t>
      </w:r>
    </w:p>
    <w:p>
      <w:pPr>
        <w:pStyle w:val="ListBullet"/>
      </w:pPr>
      <w:r>
        <w:t>Distance Matrices: I10 (458×458), Z01 (425×425)</w:t>
      </w:r>
    </w:p>
    <w:p>
      <w:pPr>
        <w:pStyle w:val="ListBullet"/>
      </w:pPr>
      <w:r>
        <w:t>Processing Time: ~5-10 minutes per cohort on standard hardware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78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