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TIME SERIES FORECASTING ANALYSIS</w:t>
      </w:r>
    </w:p>
    <w:p>
      <w:pPr>
        <w:jc w:val="center"/>
      </w:pPr>
      <w:r>
        <w:rPr>
          <w:color w:val="0066CC"/>
          <w:sz w:val="36"/>
        </w:rPr>
        <w:t>Drug Refill Adherence Prediction</w:t>
      </w:r>
    </w:p>
    <w:p/>
    <w:p>
      <w:pPr>
        <w:jc w:val="center"/>
      </w:pPr>
      <w:r>
        <w:rPr>
          <w:sz w:val="28"/>
        </w:rPr>
        <w:t>Healthcare Analytics Project</w:t>
      </w:r>
    </w:p>
    <w:p>
      <w:pPr>
        <w:jc w:val="center"/>
      </w:pPr>
      <w:r>
        <w:rPr>
          <w:sz w:val="24"/>
        </w:rPr>
        <w:t>Report Date: November 13, 2025</w:t>
      </w:r>
    </w:p>
    <w:p>
      <w:pPr>
        <w:spacing w:before="4000"/>
        <w:jc w:val="center"/>
      </w:pPr>
      <w:r>
        <w:rPr>
          <w:b/>
        </w:rPr>
        <w:t xml:space="preserve">Document Classification: </w:t>
      </w:r>
      <w:r>
        <w:t>Internal Use Only</w:t>
        <w:br/>
      </w:r>
      <w:r>
        <w:rPr>
          <w:b/>
        </w:rPr>
        <w:t xml:space="preserve">Version: </w:t>
      </w:r>
      <w:r>
        <w:t>2.0</w:t>
        <w:br/>
      </w:r>
      <w:r>
        <w:rPr>
          <w:b/>
        </w:rPr>
        <w:t xml:space="preserve">Prepared by: </w:t>
      </w:r>
      <w:r>
        <w:t>Data Science Team</w:t>
      </w:r>
    </w:p>
    <w:p>
      <w:r>
        <w:br w:type="page"/>
      </w:r>
    </w:p>
    <w:p>
      <w:pPr>
        <w:pStyle w:val="Heading1"/>
      </w:pPr>
      <w:r>
        <w:rPr>
          <w:color w:val="003366"/>
        </w:rPr>
        <w:t>Table of Contents</w:t>
      </w:r>
    </w:p>
    <w:p>
      <w:pPr>
        <w:ind w:left="0"/>
      </w:pPr>
      <w:r>
        <w:t>1. Executive Summary</w:t>
      </w:r>
    </w:p>
    <w:p>
      <w:pPr>
        <w:ind w:left="0"/>
      </w:pPr>
      <w:r>
        <w:t>2. Introduction</w:t>
      </w:r>
    </w:p>
    <w:p>
      <w:pPr>
        <w:ind w:left="432"/>
      </w:pPr>
      <w:r>
        <w:t xml:space="preserve">   2.1 Business Objective</w:t>
      </w:r>
    </w:p>
    <w:p>
      <w:pPr>
        <w:ind w:left="432"/>
      </w:pPr>
      <w:r>
        <w:t xml:space="preserve">   2.2 Scope and Deliverables</w:t>
      </w:r>
    </w:p>
    <w:p>
      <w:pPr>
        <w:ind w:left="0"/>
      </w:pPr>
      <w:r>
        <w:t>3. Data Overview</w:t>
      </w:r>
    </w:p>
    <w:p>
      <w:pPr>
        <w:ind w:left="432"/>
      </w:pPr>
      <w:r>
        <w:t xml:space="preserve">   3.1 Dataset Description</w:t>
      </w:r>
    </w:p>
    <w:p>
      <w:pPr>
        <w:ind w:left="432"/>
      </w:pPr>
      <w:r>
        <w:t xml:space="preserve">   3.2 Data Quality Assessment</w:t>
      </w:r>
    </w:p>
    <w:p>
      <w:pPr>
        <w:ind w:left="432"/>
      </w:pPr>
      <w:r>
        <w:t xml:space="preserve">   3.3 Exploratory Data Analysis</w:t>
      </w:r>
    </w:p>
    <w:p>
      <w:pPr>
        <w:ind w:left="0"/>
      </w:pPr>
      <w:r>
        <w:t>4. Methodology</w:t>
      </w:r>
    </w:p>
    <w:p>
      <w:pPr>
        <w:ind w:left="432"/>
      </w:pPr>
      <w:r>
        <w:t xml:space="preserve">   4.1 Time Series Analysis Approach</w:t>
      </w:r>
    </w:p>
    <w:p>
      <w:pPr>
        <w:ind w:left="432"/>
      </w:pPr>
      <w:r>
        <w:t xml:space="preserve">   4.2 Train-Test Split Strategy</w:t>
      </w:r>
    </w:p>
    <w:p>
      <w:pPr>
        <w:ind w:left="432"/>
      </w:pPr>
      <w:r>
        <w:t xml:space="preserve">   4.3 Model Selection Criteria</w:t>
      </w:r>
    </w:p>
    <w:p>
      <w:pPr>
        <w:ind w:left="0"/>
      </w:pPr>
      <w:r>
        <w:t>5. Model Development</w:t>
      </w:r>
    </w:p>
    <w:p>
      <w:pPr>
        <w:ind w:left="432"/>
      </w:pPr>
      <w:r>
        <w:t xml:space="preserve">   5.1 Exponential Smoothing (Holt-Winters)</w:t>
      </w:r>
    </w:p>
    <w:p>
      <w:pPr>
        <w:ind w:left="432"/>
      </w:pPr>
      <w:r>
        <w:t xml:space="preserve">   5.2 Prophet Model</w:t>
      </w:r>
    </w:p>
    <w:p>
      <w:pPr>
        <w:ind w:left="432"/>
      </w:pPr>
      <w:r>
        <w:t xml:space="preserve">   5.3 SARIMAX Model</w:t>
      </w:r>
    </w:p>
    <w:p>
      <w:pPr>
        <w:ind w:left="432"/>
      </w:pPr>
      <w:r>
        <w:t xml:space="preserve">   5.4 XGBoost Model</w:t>
      </w:r>
    </w:p>
    <w:p>
      <w:pPr>
        <w:ind w:left="0"/>
      </w:pPr>
      <w:r>
        <w:t>6. Model Evaluation and Comparison</w:t>
      </w:r>
    </w:p>
    <w:p>
      <w:pPr>
        <w:ind w:left="432"/>
      </w:pPr>
      <w:r>
        <w:t xml:space="preserve">   6.1 Performance Metrics</w:t>
      </w:r>
    </w:p>
    <w:p>
      <w:pPr>
        <w:ind w:left="432"/>
      </w:pPr>
      <w:r>
        <w:t xml:space="preserve">   6.2 Comparative Analysis</w:t>
      </w:r>
    </w:p>
    <w:p>
      <w:pPr>
        <w:ind w:left="432"/>
      </w:pPr>
      <w:r>
        <w:t xml:space="preserve">   6.3 Residual Analysis</w:t>
      </w:r>
    </w:p>
    <w:p>
      <w:pPr>
        <w:ind w:left="0"/>
      </w:pPr>
      <w:r>
        <w:t>7. Results and Key Findings</w:t>
      </w:r>
    </w:p>
    <w:p>
      <w:pPr>
        <w:ind w:left="432"/>
      </w:pPr>
      <w:r>
        <w:t xml:space="preserve">   7.1 Best Performing Model</w:t>
      </w:r>
    </w:p>
    <w:p>
      <w:pPr>
        <w:ind w:left="432"/>
      </w:pPr>
      <w:r>
        <w:t xml:space="preserve">   7.2 Feature Importance Analysis</w:t>
      </w:r>
    </w:p>
    <w:p>
      <w:pPr>
        <w:ind w:left="432"/>
      </w:pPr>
      <w:r>
        <w:t xml:space="preserve">   7.3 Forecast for February 2025</w:t>
      </w:r>
    </w:p>
    <w:p>
      <w:pPr>
        <w:ind w:left="0"/>
      </w:pPr>
      <w:r>
        <w:t>8. Business Recommendations</w:t>
      </w:r>
    </w:p>
    <w:p>
      <w:pPr>
        <w:ind w:left="0"/>
      </w:pPr>
      <w:r>
        <w:t>9. Conclusion</w:t>
      </w:r>
    </w:p>
    <w:p>
      <w:pPr>
        <w:ind w:left="0"/>
      </w:pPr>
      <w:r>
        <w:t>10. Technical Appendix</w:t>
      </w:r>
    </w:p>
    <w:p>
      <w:r>
        <w:br w:type="page"/>
      </w:r>
    </w:p>
    <w:p>
      <w:pPr>
        <w:pStyle w:val="Heading1"/>
      </w:pPr>
      <w:r>
        <w:rPr>
          <w:color w:val="003366"/>
        </w:rPr>
        <w:t>1. Executive Summary</w:t>
      </w:r>
    </w:p>
    <w:p>
      <w:r>
        <w:t>This report presents a comprehensive time series forecasting analysis of drug refill adherence using 24 months of historical data (February 2023 to January 2025). The objective was to develop predictive models to forecast future adherence rates and identify key factors influencing patient behavior.</w:t>
      </w:r>
    </w:p>
    <w:p>
      <w:pPr>
        <w:pStyle w:val="Heading2"/>
      </w:pPr>
      <w:r>
        <w:t>Key Highlights</w:t>
      </w:r>
    </w:p>
    <w:p>
      <w:pPr>
        <w:pStyle w:val="ListBullet"/>
        <w:ind w:left="360"/>
      </w:pPr>
      <w:r>
        <w:t>Evaluated four advanced forecasting models: Exponential Smoothing, Prophet, SARIMAX, and XGBoost</w:t>
      </w:r>
    </w:p>
    <w:p>
      <w:pPr>
        <w:pStyle w:val="ListBullet"/>
        <w:ind w:left="360"/>
      </w:pPr>
      <w:r>
        <w:t>XGBoost emerged as the best performing model with MAPE of 4.07% and RMSE of 0.0516</w:t>
      </w:r>
    </w:p>
    <w:p>
      <w:pPr>
        <w:pStyle w:val="ListBullet"/>
        <w:ind w:left="360"/>
      </w:pPr>
      <w:r>
        <w:t>Historical adherence rates averaged 86.7% across the 24-month period, ranging from 66.7% to 92.5%</w:t>
      </w:r>
    </w:p>
    <w:p>
      <w:pPr>
        <w:pStyle w:val="ListBullet"/>
        <w:ind w:left="360"/>
      </w:pPr>
      <w:r>
        <w:t>Feature importance analysis identified rolling averages and lagged values as strongest predictors</w:t>
      </w:r>
    </w:p>
    <w:p>
      <w:pPr>
        <w:pStyle w:val="ListBullet"/>
        <w:ind w:left="360"/>
      </w:pPr>
      <w:r>
        <w:t>Status coverage (prescription tracking completeness) shows significant correlation with adherence</w:t>
      </w:r>
    </w:p>
    <w:p>
      <w:pPr>
        <w:pStyle w:val="ListBullet"/>
        <w:ind w:left="360"/>
      </w:pPr>
      <w:r>
        <w:t>Models provide actionable forecasts enabling proactive intervention strategies</w:t>
      </w:r>
    </w:p>
    <w:p>
      <w:pPr>
        <w:pStyle w:val="Heading2"/>
      </w:pPr>
      <w:r>
        <w:t>Business Impact</w:t>
      </w:r>
    </w:p>
    <w:p>
      <w:r>
        <w:t>The predictive models enable proactive intervention strategies to maintain adherence above 80% threshold. The analysis reveals that temporal patterns combined with operational metrics (total prescriptions, status coverage, patient counts) provide robust forecasting capability. Early warning capabilities help healthcare providers identify potential adherence drops and implement targeted patient outreach programs.</w:t>
      </w:r>
    </w:p>
    <w:p>
      <w:r>
        <w:br w:type="page"/>
      </w:r>
    </w:p>
    <w:p>
      <w:pPr>
        <w:pStyle w:val="Heading1"/>
      </w:pPr>
      <w:r>
        <w:rPr>
          <w:color w:val="003366"/>
        </w:rPr>
        <w:t>2. Introduction</w:t>
      </w:r>
    </w:p>
    <w:p>
      <w:pPr>
        <w:pStyle w:val="Heading2"/>
      </w:pPr>
      <w:r>
        <w:t>2.1 Business Objective</w:t>
      </w:r>
    </w:p>
    <w:p>
      <w:r>
        <w:t>Medication adherence is a critical healthcare metric that directly impacts patient outcomes and healthcare costs. This analysis aims to develop accurate forecasting models to predict monthly drug refill adherence rates, enabling healthcare providers to:</w:t>
      </w:r>
    </w:p>
    <w:p>
      <w:pPr>
        <w:pStyle w:val="ListBullet"/>
        <w:ind w:left="360"/>
      </w:pPr>
      <w:r>
        <w:t>Identify potential adherence drops before they occur</w:t>
      </w:r>
    </w:p>
    <w:p>
      <w:pPr>
        <w:pStyle w:val="ListBullet"/>
        <w:ind w:left="360"/>
      </w:pPr>
      <w:r>
        <w:t>Optimize resource allocation for patient intervention programs</w:t>
      </w:r>
    </w:p>
    <w:p>
      <w:pPr>
        <w:pStyle w:val="ListBullet"/>
        <w:ind w:left="360"/>
      </w:pPr>
      <w:r>
        <w:t>Understand the relationship between operational metrics and adherence patterns</w:t>
      </w:r>
    </w:p>
    <w:p>
      <w:pPr>
        <w:pStyle w:val="ListBullet"/>
        <w:ind w:left="360"/>
      </w:pPr>
      <w:r>
        <w:t>Provide data-driven insights for strategic planning and decision-making</w:t>
      </w:r>
    </w:p>
    <w:p>
      <w:pPr>
        <w:pStyle w:val="Heading2"/>
      </w:pPr>
      <w:r>
        <w:t>2.2 Scope and Deliverables</w:t>
      </w:r>
    </w:p>
    <w:p>
      <w:r>
        <w:t>This analysis encompasses:</w:t>
      </w:r>
    </w:p>
    <w:p>
      <w:pPr>
        <w:pStyle w:val="ListBullet"/>
        <w:ind w:left="360"/>
      </w:pPr>
      <w:r>
        <w:t>Time series analysis of 24 months of monthly adherence data (Feb 2023 - Jan 2025)</w:t>
      </w:r>
    </w:p>
    <w:p>
      <w:pPr>
        <w:pStyle w:val="ListBullet"/>
        <w:ind w:left="360"/>
      </w:pPr>
      <w:r>
        <w:t>Development and evaluation of four distinct forecasting models</w:t>
      </w:r>
    </w:p>
    <w:p>
      <w:pPr>
        <w:pStyle w:val="ListBullet"/>
        <w:ind w:left="360"/>
      </w:pPr>
      <w:r>
        <w:t>Comparative performance analysis using industry-standard metrics (MAE, RMSE, MAPE)</w:t>
      </w:r>
    </w:p>
    <w:p>
      <w:pPr>
        <w:pStyle w:val="ListBullet"/>
        <w:ind w:left="360"/>
      </w:pPr>
      <w:r>
        <w:t>One-month ahead forecast (February 2025) with confidence intervals</w:t>
      </w:r>
    </w:p>
    <w:p>
      <w:pPr>
        <w:pStyle w:val="ListBullet"/>
        <w:ind w:left="360"/>
      </w:pPr>
      <w:r>
        <w:t>Identification of key predictive features and patterns</w:t>
      </w:r>
    </w:p>
    <w:p>
      <w:pPr>
        <w:pStyle w:val="ListBullet"/>
        <w:ind w:left="360"/>
      </w:pPr>
      <w:r>
        <w:t>Actionable recommendations for adherence improvement strategies</w:t>
      </w:r>
    </w:p>
    <w:p>
      <w:r>
        <w:br w:type="page"/>
      </w:r>
    </w:p>
    <w:p>
      <w:pPr>
        <w:pStyle w:val="Heading1"/>
      </w:pPr>
      <w:r>
        <w:rPr>
          <w:color w:val="003366"/>
        </w:rPr>
        <w:t>3. Data Overview</w:t>
      </w:r>
    </w:p>
    <w:p>
      <w:pPr>
        <w:pStyle w:val="Heading2"/>
      </w:pPr>
      <w:r>
        <w:t>3.1 Dataset Description</w:t>
      </w:r>
    </w:p>
    <w:p>
      <w:r>
        <w:t>The analysis utilized monthly aggregated healthcare data spanning 24 months. The dataset includes the following variables: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Description</w:t>
            </w:r>
          </w:p>
        </w:tc>
        <w:tc>
          <w:tcPr>
            <w:tcW w:type="dxa" w:w="3120"/>
          </w:tcPr>
          <w:p>
            <w:r>
              <w:rPr>
                <w:b/>
              </w:rPr>
              <w:t>Data Type</w:t>
            </w:r>
          </w:p>
        </w:tc>
      </w:tr>
      <w:tr>
        <w:tc>
          <w:tcPr>
            <w:tcW w:type="dxa" w:w="3120"/>
          </w:tcPr>
          <w:p>
            <w:r>
              <w:t>month_start</w:t>
            </w:r>
          </w:p>
        </w:tc>
        <w:tc>
          <w:tcPr>
            <w:tcW w:type="dxa" w:w="3120"/>
          </w:tcPr>
          <w:p>
            <w:r>
              <w:t>Month identifier</w:t>
            </w:r>
          </w:p>
        </w:tc>
        <w:tc>
          <w:tcPr>
            <w:tcW w:type="dxa" w:w="3120"/>
          </w:tcPr>
          <w:p>
            <w:r>
              <w:t>DateTime</w:t>
            </w:r>
          </w:p>
        </w:tc>
      </w:tr>
      <w:tr>
        <w:tc>
          <w:tcPr>
            <w:tcW w:type="dxa" w:w="3120"/>
          </w:tcPr>
          <w:p>
            <w:r>
              <w:t>refill_adherence</w:t>
            </w:r>
          </w:p>
        </w:tc>
        <w:tc>
          <w:tcPr>
            <w:tcW w:type="dxa" w:w="3120"/>
          </w:tcPr>
          <w:p>
            <w:r>
              <w:t>Target variable: Refill adherence rate</w:t>
            </w:r>
          </w:p>
        </w:tc>
        <w:tc>
          <w:tcPr>
            <w:tcW w:type="dxa" w:w="3120"/>
          </w:tcPr>
          <w:p>
            <w:r>
              <w:t>Float (0-1)</w:t>
            </w:r>
          </w:p>
        </w:tc>
      </w:tr>
      <w:tr>
        <w:tc>
          <w:tcPr>
            <w:tcW w:type="dxa" w:w="3120"/>
          </w:tcPr>
          <w:p>
            <w:r>
              <w:t>total_rx</w:t>
            </w:r>
          </w:p>
        </w:tc>
        <w:tc>
          <w:tcPr>
            <w:tcW w:type="dxa" w:w="3120"/>
          </w:tcPr>
          <w:p>
            <w:r>
              <w:t>Total prescriptions processed</w:t>
            </w:r>
          </w:p>
        </w:tc>
        <w:tc>
          <w:tcPr>
            <w:tcW w:type="dxa" w:w="3120"/>
          </w:tcPr>
          <w:p>
            <w:r>
              <w:t>Integer</w:t>
            </w:r>
          </w:p>
        </w:tc>
      </w:tr>
      <w:tr>
        <w:tc>
          <w:tcPr>
            <w:tcW w:type="dxa" w:w="3120"/>
          </w:tcPr>
          <w:p>
            <w:r>
              <w:t>known_status_rx</w:t>
            </w:r>
          </w:p>
        </w:tc>
        <w:tc>
          <w:tcPr>
            <w:tcW w:type="dxa" w:w="3120"/>
          </w:tcPr>
          <w:p>
            <w:r>
              <w:t>Prescriptions with known status</w:t>
            </w:r>
          </w:p>
        </w:tc>
        <w:tc>
          <w:tcPr>
            <w:tcW w:type="dxa" w:w="3120"/>
          </w:tcPr>
          <w:p>
            <w:r>
              <w:t>Integer</w:t>
            </w:r>
          </w:p>
        </w:tc>
      </w:tr>
      <w:tr>
        <w:tc>
          <w:tcPr>
            <w:tcW w:type="dxa" w:w="3120"/>
          </w:tcPr>
          <w:p>
            <w:r>
              <w:t>filled_rx</w:t>
            </w:r>
          </w:p>
        </w:tc>
        <w:tc>
          <w:tcPr>
            <w:tcW w:type="dxa" w:w="3120"/>
          </w:tcPr>
          <w:p>
            <w:r>
              <w:t>Number of filled prescriptions</w:t>
            </w:r>
          </w:p>
        </w:tc>
        <w:tc>
          <w:tcPr>
            <w:tcW w:type="dxa" w:w="3120"/>
          </w:tcPr>
          <w:p>
            <w:r>
              <w:t>Integer</w:t>
            </w:r>
          </w:p>
        </w:tc>
      </w:tr>
      <w:tr>
        <w:tc>
          <w:tcPr>
            <w:tcW w:type="dxa" w:w="3120"/>
          </w:tcPr>
          <w:p>
            <w:r>
              <w:t>status_coverage</w:t>
            </w:r>
          </w:p>
        </w:tc>
        <w:tc>
          <w:tcPr>
            <w:tcW w:type="dxa" w:w="3120"/>
          </w:tcPr>
          <w:p>
            <w:r>
              <w:t>Proportion of prescriptions with status</w:t>
            </w:r>
          </w:p>
        </w:tc>
        <w:tc>
          <w:tcPr>
            <w:tcW w:type="dxa" w:w="3120"/>
          </w:tcPr>
          <w:p>
            <w:r>
              <w:t>Float</w:t>
            </w:r>
          </w:p>
        </w:tc>
      </w:tr>
      <w:tr>
        <w:tc>
          <w:tcPr>
            <w:tcW w:type="dxa" w:w="3120"/>
          </w:tcPr>
          <w:p>
            <w:r>
              <w:t>unique_patients</w:t>
            </w:r>
          </w:p>
        </w:tc>
        <w:tc>
          <w:tcPr>
            <w:tcW w:type="dxa" w:w="3120"/>
          </w:tcPr>
          <w:p>
            <w:r>
              <w:t>Count of unique patients</w:t>
            </w:r>
          </w:p>
        </w:tc>
        <w:tc>
          <w:tcPr>
            <w:tcW w:type="dxa" w:w="3120"/>
          </w:tcPr>
          <w:p>
            <w:r>
              <w:t>Integer</w:t>
            </w:r>
          </w:p>
        </w:tc>
      </w:tr>
      <w:tr>
        <w:tc>
          <w:tcPr>
            <w:tcW w:type="dxa" w:w="3120"/>
          </w:tcPr>
          <w:p>
            <w:r>
              <w:t>pct_female</w:t>
            </w:r>
          </w:p>
        </w:tc>
        <w:tc>
          <w:tcPr>
            <w:tcW w:type="dxa" w:w="3120"/>
          </w:tcPr>
          <w:p>
            <w:r>
              <w:t>Percentage of female patients</w:t>
            </w:r>
          </w:p>
        </w:tc>
        <w:tc>
          <w:tcPr>
            <w:tcW w:type="dxa" w:w="3120"/>
          </w:tcPr>
          <w:p>
            <w:r>
              <w:t>Float</w:t>
            </w:r>
          </w:p>
        </w:tc>
      </w:tr>
      <w:tr>
        <w:tc>
          <w:tcPr>
            <w:tcW w:type="dxa" w:w="3120"/>
          </w:tcPr>
          <w:p>
            <w:r>
              <w:t>median_age</w:t>
            </w:r>
          </w:p>
        </w:tc>
        <w:tc>
          <w:tcPr>
            <w:tcW w:type="dxa" w:w="3120"/>
          </w:tcPr>
          <w:p>
            <w:r>
              <w:t>Median patient age</w:t>
            </w:r>
          </w:p>
        </w:tc>
        <w:tc>
          <w:tcPr>
            <w:tcW w:type="dxa" w:w="3120"/>
          </w:tcPr>
          <w:p>
            <w:r>
              <w:t>Float</w:t>
            </w:r>
          </w:p>
        </w:tc>
      </w:tr>
    </w:tbl>
    <w:p/>
    <w:p>
      <w:pPr>
        <w:pStyle w:val="Heading2"/>
      </w:pPr>
      <w:r>
        <w:t>3.2 Data Quality Assessment</w:t>
      </w:r>
    </w:p>
    <w:p>
      <w:r>
        <w:t>Data quality assessment revealed:</w:t>
      </w:r>
    </w:p>
    <w:p>
      <w:pPr>
        <w:pStyle w:val="ListBullet"/>
        <w:ind w:left="360"/>
      </w:pPr>
      <w:r>
        <w:t>Complete dataset: All 24 months had valid refill adherence values (100% completeness)</w:t>
      </w:r>
    </w:p>
    <w:p>
      <w:pPr>
        <w:pStyle w:val="ListBullet"/>
        <w:ind w:left="360"/>
      </w:pPr>
      <w:r>
        <w:t>No missing values in the target variable across the entire time period</w:t>
      </w:r>
    </w:p>
    <w:p>
      <w:pPr>
        <w:pStyle w:val="ListBullet"/>
        <w:ind w:left="360"/>
      </w:pPr>
      <w:r>
        <w:t>Consistent monthly frequency with no gaps in the time series</w:t>
      </w:r>
    </w:p>
    <w:p>
      <w:pPr>
        <w:pStyle w:val="ListBullet"/>
        <w:ind w:left="360"/>
      </w:pPr>
      <w:r>
        <w:t>Exogenous variables showed high data quality with minimal missing values</w:t>
      </w:r>
    </w:p>
    <w:p>
      <w:pPr>
        <w:pStyle w:val="ListBullet"/>
        <w:ind w:left="360"/>
      </w:pPr>
      <w:r>
        <w:t>Date range: February 2023 to January 2025 (24 consecutive months)</w:t>
      </w:r>
    </w:p>
    <w:p>
      <w:pPr>
        <w:pStyle w:val="Heading2"/>
      </w:pPr>
      <w:r>
        <w:t>3.3 Exploratory Data Analysis</w:t>
      </w:r>
    </w:p>
    <w:p>
      <w:r>
        <w:t>Figure 1 shows the time series of refill adherence over the analysis period:</w:t>
      </w:r>
    </w:p>
    <w:p>
      <w:pPr>
        <w:jc w:val="center"/>
      </w:pPr>
      <w:r>
        <w:drawing>
          <wp:inline xmlns:a="http://schemas.openxmlformats.org/drawingml/2006/main" xmlns:pic="http://schemas.openxmlformats.org/drawingml/2006/picture">
            <wp:extent cx="5486400" cy="2325013"/>
            <wp:docPr id="1" name="Picture 1"/>
            <wp:cNvGraphicFramePr>
              <a:graphicFrameLocks noChangeAspect="1"/>
            </wp:cNvGraphicFramePr>
            <a:graphic>
              <a:graphicData uri="http://schemas.openxmlformats.org/drawingml/2006/picture">
                <pic:pic>
                  <pic:nvPicPr>
                    <pic:cNvPr id="0" name="01_timeseries_overview.png"/>
                    <pic:cNvPicPr/>
                  </pic:nvPicPr>
                  <pic:blipFill>
                    <a:blip r:embed="rId9"/>
                    <a:stretch>
                      <a:fillRect/>
                    </a:stretch>
                  </pic:blipFill>
                  <pic:spPr>
                    <a:xfrm>
                      <a:off x="0" y="0"/>
                      <a:ext cx="5486400" cy="2325013"/>
                    </a:xfrm>
                    <a:prstGeom prst="rect"/>
                  </pic:spPr>
                </pic:pic>
              </a:graphicData>
            </a:graphic>
          </wp:inline>
        </w:drawing>
      </w:r>
    </w:p>
    <w:p>
      <w:pPr>
        <w:spacing w:before="120" w:after="240"/>
        <w:jc w:val="center"/>
      </w:pPr>
      <w:r>
        <w:rPr>
          <w:i/>
          <w:sz w:val="20"/>
        </w:rPr>
        <w:t>Figure 1: Drug Refill Adherence Time Series with Train/Test Split</w:t>
      </w:r>
    </w:p>
    <w:p>
      <w:r>
        <w:t>Summary Statistics - Refill Adherence:</w:t>
      </w:r>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Mean</w:t>
            </w:r>
          </w:p>
        </w:tc>
        <w:tc>
          <w:tcPr>
            <w:tcW w:type="dxa" w:w="4680"/>
          </w:tcPr>
          <w:p>
            <w:r>
              <w:t>86.7%</w:t>
            </w:r>
          </w:p>
        </w:tc>
      </w:tr>
      <w:tr>
        <w:tc>
          <w:tcPr>
            <w:tcW w:type="dxa" w:w="4680"/>
          </w:tcPr>
          <w:p>
            <w:r>
              <w:t>Standard Deviation</w:t>
            </w:r>
          </w:p>
        </w:tc>
        <w:tc>
          <w:tcPr>
            <w:tcW w:type="dxa" w:w="4680"/>
          </w:tcPr>
          <w:p>
            <w:r>
              <w:t>5.2%</w:t>
            </w:r>
          </w:p>
        </w:tc>
      </w:tr>
      <w:tr>
        <w:tc>
          <w:tcPr>
            <w:tcW w:type="dxa" w:w="4680"/>
          </w:tcPr>
          <w:p>
            <w:r>
              <w:t>Minimum</w:t>
            </w:r>
          </w:p>
        </w:tc>
        <w:tc>
          <w:tcPr>
            <w:tcW w:type="dxa" w:w="4680"/>
          </w:tcPr>
          <w:p>
            <w:r>
              <w:t>66.7%</w:t>
            </w:r>
          </w:p>
        </w:tc>
      </w:tr>
      <w:tr>
        <w:tc>
          <w:tcPr>
            <w:tcW w:type="dxa" w:w="4680"/>
          </w:tcPr>
          <w:p>
            <w:r>
              <w:t>Maximum</w:t>
            </w:r>
          </w:p>
        </w:tc>
        <w:tc>
          <w:tcPr>
            <w:tcW w:type="dxa" w:w="4680"/>
          </w:tcPr>
          <w:p>
            <w:r>
              <w:t>92.5%</w:t>
            </w:r>
          </w:p>
        </w:tc>
      </w:tr>
      <w:tr>
        <w:tc>
          <w:tcPr>
            <w:tcW w:type="dxa" w:w="4680"/>
          </w:tcPr>
          <w:p>
            <w:r>
              <w:t>Coefficient of Variation</w:t>
            </w:r>
          </w:p>
        </w:tc>
        <w:tc>
          <w:tcPr>
            <w:tcW w:type="dxa" w:w="4680"/>
          </w:tcPr>
          <w:p>
            <w:r>
              <w:t>6.0%</w:t>
            </w:r>
          </w:p>
        </w:tc>
      </w:tr>
    </w:tbl>
    <w:p/>
    <w:p>
      <w:r>
        <w:t>The time series shows relatively stable adherence patterns with some volatility. The data was split into 20 months for training (83.3%) and 4 months for testing (16.7%).</w:t>
      </w:r>
    </w:p>
    <w:p>
      <w:r>
        <w:br w:type="page"/>
      </w:r>
    </w:p>
    <w:p>
      <w:pPr>
        <w:pStyle w:val="Heading1"/>
      </w:pPr>
      <w:r>
        <w:rPr>
          <w:color w:val="003366"/>
        </w:rPr>
        <w:t>4. Methodology</w:t>
      </w:r>
    </w:p>
    <w:p>
      <w:pPr>
        <w:pStyle w:val="Heading2"/>
      </w:pPr>
      <w:r>
        <w:t>4.1 Time Series Analysis Approach</w:t>
      </w:r>
    </w:p>
    <w:p>
      <w:r>
        <w:t>The analysis employed both univariate and multivariate time series forecasting techniques:</w:t>
      </w:r>
    </w:p>
    <w:p>
      <w:pPr>
        <w:pStyle w:val="ListBullet"/>
        <w:ind w:left="360"/>
      </w:pPr>
      <w:r>
        <w:t>Statistical methods: Exponential Smoothing for trend modeling</w:t>
      </w:r>
    </w:p>
    <w:p>
      <w:pPr>
        <w:pStyle w:val="ListBullet"/>
        <w:ind w:left="360"/>
      </w:pPr>
      <w:r>
        <w:t>Bayesian approach: Facebook Prophet with exogenous regressors</w:t>
      </w:r>
    </w:p>
    <w:p>
      <w:pPr>
        <w:pStyle w:val="ListBullet"/>
        <w:ind w:left="360"/>
      </w:pPr>
      <w:r>
        <w:t>State-space models: SARIMAX combining ARIMA with external variables</w:t>
      </w:r>
    </w:p>
    <w:p>
      <w:pPr>
        <w:pStyle w:val="ListBullet"/>
        <w:ind w:left="360"/>
      </w:pPr>
      <w:r>
        <w:t>Machine learning: XGBoost with engineered time series features</w:t>
      </w:r>
    </w:p>
    <w:p>
      <w:pPr>
        <w:pStyle w:val="ListBullet"/>
        <w:ind w:left="360"/>
      </w:pPr>
      <w:r>
        <w:t>Grid search optimization for hyperparameter tuning across models</w:t>
      </w:r>
    </w:p>
    <w:p>
      <w:pPr>
        <w:pStyle w:val="ListBullet"/>
        <w:ind w:left="360"/>
      </w:pPr>
      <w:r>
        <w:t>Walk-forward validation on test set to prevent data leakage</w:t>
      </w:r>
    </w:p>
    <w:p>
      <w:pPr>
        <w:pStyle w:val="Heading2"/>
      </w:pPr>
      <w:r>
        <w:t>4.2 Train-Test Split Strategy</w:t>
      </w:r>
    </w:p>
    <w:p>
      <w:r>
        <w:t>To ensure model reliability and prevent overfitting:</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Details</w:t>
            </w:r>
          </w:p>
        </w:tc>
      </w:tr>
      <w:tr>
        <w:tc>
          <w:tcPr>
            <w:tcW w:type="dxa" w:w="4680"/>
          </w:tcPr>
          <w:p>
            <w:r>
              <w:t>Training Set</w:t>
            </w:r>
          </w:p>
        </w:tc>
        <w:tc>
          <w:tcPr>
            <w:tcW w:type="dxa" w:w="4680"/>
          </w:tcPr>
          <w:p>
            <w:r>
              <w:t>20 months (Feb 2023 - Sep 2024) - 83.3% of data</w:t>
            </w:r>
          </w:p>
        </w:tc>
      </w:tr>
      <w:tr>
        <w:tc>
          <w:tcPr>
            <w:tcW w:type="dxa" w:w="4680"/>
          </w:tcPr>
          <w:p>
            <w:r>
              <w:t>Test Set</w:t>
            </w:r>
          </w:p>
        </w:tc>
        <w:tc>
          <w:tcPr>
            <w:tcW w:type="dxa" w:w="4680"/>
          </w:tcPr>
          <w:p>
            <w:r>
              <w:t>4 months (Oct 2024 - Jan 2025) - 16.7% of data</w:t>
            </w:r>
          </w:p>
        </w:tc>
      </w:tr>
      <w:tr>
        <w:tc>
          <w:tcPr>
            <w:tcW w:type="dxa" w:w="4680"/>
          </w:tcPr>
          <w:p>
            <w:r>
              <w:t>Validation</w:t>
            </w:r>
          </w:p>
        </w:tc>
        <w:tc>
          <w:tcPr>
            <w:tcW w:type="dxa" w:w="4680"/>
          </w:tcPr>
          <w:p>
            <w:r>
              <w:t>Walk-forward validation on test set</w:t>
            </w:r>
          </w:p>
        </w:tc>
      </w:tr>
    </w:tbl>
    <w:p/>
    <w:p>
      <w:pPr>
        <w:pStyle w:val="Heading2"/>
      </w:pPr>
      <w:r>
        <w:t>4.3 Model Selection Criteria</w:t>
      </w:r>
    </w:p>
    <w:p>
      <w:r>
        <w:t>Models were evaluated using three key performance metrics: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Description</w:t>
            </w:r>
          </w:p>
        </w:tc>
        <w:tc>
          <w:tcPr>
            <w:tcW w:type="dxa" w:w="3120"/>
          </w:tcPr>
          <w:p>
            <w:r>
              <w:rPr>
                <w:b/>
              </w:rPr>
              <w:t>Interpretation</w:t>
            </w:r>
          </w:p>
        </w:tc>
      </w:tr>
      <w:tr>
        <w:tc>
          <w:tcPr>
            <w:tcW w:type="dxa" w:w="3120"/>
          </w:tcPr>
          <w:p>
            <w:r>
              <w:t>MAE</w:t>
            </w:r>
          </w:p>
        </w:tc>
        <w:tc>
          <w:tcPr>
            <w:tcW w:type="dxa" w:w="3120"/>
          </w:tcPr>
          <w:p>
            <w:r>
              <w:t>Mean Absolute Error</w:t>
            </w:r>
          </w:p>
        </w:tc>
        <w:tc>
          <w:tcPr>
            <w:tcW w:type="dxa" w:w="3120"/>
          </w:tcPr>
          <w:p>
            <w:r>
              <w:t>Average prediction error magnitude</w:t>
            </w:r>
          </w:p>
        </w:tc>
      </w:tr>
      <w:tr>
        <w:tc>
          <w:tcPr>
            <w:tcW w:type="dxa" w:w="3120"/>
          </w:tcPr>
          <w:p>
            <w:r>
              <w:t>RMSE</w:t>
            </w:r>
          </w:p>
        </w:tc>
        <w:tc>
          <w:tcPr>
            <w:tcW w:type="dxa" w:w="3120"/>
          </w:tcPr>
          <w:p>
            <w:r>
              <w:t>Root Mean Squared Error</w:t>
            </w:r>
          </w:p>
        </w:tc>
        <w:tc>
          <w:tcPr>
            <w:tcW w:type="dxa" w:w="3120"/>
          </w:tcPr>
          <w:p>
            <w:r>
              <w:t>Penalizes larger errors more heavily</w:t>
            </w:r>
          </w:p>
        </w:tc>
      </w:tr>
      <w:tr>
        <w:tc>
          <w:tcPr>
            <w:tcW w:type="dxa" w:w="3120"/>
          </w:tcPr>
          <w:p>
            <w:r>
              <w:t>MAPE</w:t>
            </w:r>
          </w:p>
        </w:tc>
        <w:tc>
          <w:tcPr>
            <w:tcW w:type="dxa" w:w="3120"/>
          </w:tcPr>
          <w:p>
            <w:r>
              <w:t>Mean Absolute Percentage Error</w:t>
            </w:r>
          </w:p>
        </w:tc>
        <w:tc>
          <w:tcPr>
            <w:tcW w:type="dxa" w:w="3120"/>
          </w:tcPr>
          <w:p>
            <w:r>
              <w:t>Percentage-based error metric</w:t>
            </w:r>
          </w:p>
        </w:tc>
      </w:tr>
    </w:tbl>
    <w:p/>
    <w:p>
      <w:r>
        <w:t>Lower values indicate better model performance. RMSE was used as the primary selection criterion due to its emphasis on reducing large prediction errors, which is critical for healthcare applications.</w:t>
      </w:r>
    </w:p>
    <w:p>
      <w:r>
        <w:br w:type="page"/>
      </w:r>
    </w:p>
    <w:p>
      <w:pPr>
        <w:pStyle w:val="Heading1"/>
      </w:pPr>
      <w:r>
        <w:rPr>
          <w:color w:val="003366"/>
        </w:rPr>
        <w:t>5. Model Development</w:t>
      </w:r>
    </w:p>
    <w:p>
      <w:r>
        <w:t>Four distinct forecasting models were developed and optimized, representing both classical statistical approaches and modern machine learning techniques:</w:t>
      </w:r>
    </w:p>
    <w:p>
      <w:pPr>
        <w:pStyle w:val="Heading2"/>
      </w:pPr>
      <w:r>
        <w:t>5.1 Exponential Smoothing (Holt-Winters)</w:t>
      </w:r>
    </w:p>
    <w:p>
      <w:r>
        <w:t>Exponential smoothing applies weighted averages with exponentially decreasing weights for past observations.</w:t>
      </w:r>
    </w:p>
    <w:p>
      <w:pPr>
        <w:pStyle w:val="ListBullet"/>
        <w:ind w:left="360"/>
      </w:pPr>
      <w:r>
        <w:t>Model Configuration: Additive trend, no seasonal component</w:t>
      </w:r>
    </w:p>
    <w:p>
      <w:pPr>
        <w:pStyle w:val="ListBullet"/>
        <w:ind w:left="360"/>
      </w:pPr>
      <w:r>
        <w:t>Optimized using maximum likelihood estimation</w:t>
      </w:r>
    </w:p>
    <w:p>
      <w:pPr>
        <w:pStyle w:val="ListBullet"/>
        <w:ind w:left="360"/>
      </w:pPr>
      <w:r>
        <w:t>AIC: -112.04 (best among variants tested)</w:t>
      </w:r>
    </w:p>
    <w:p>
      <w:pPr>
        <w:pStyle w:val="ListBullet"/>
        <w:ind w:left="360"/>
      </w:pPr>
      <w:r>
        <w:t>Captures linear trend patterns in adherence data</w:t>
      </w:r>
    </w:p>
    <w:p>
      <w:pPr>
        <w:pStyle w:val="ListBullet"/>
        <w:ind w:left="360"/>
      </w:pPr>
      <w:r>
        <w:t>Suitable for short-term forecasting with stable trends</w:t>
      </w:r>
    </w:p>
    <w:p>
      <w:pPr>
        <w:pStyle w:val="Heading2"/>
      </w:pPr>
      <w:r>
        <w:t>5.2 Prophet Model</w:t>
      </w:r>
    </w:p>
    <w:p>
      <w:r>
        <w:t>Facebook Prophet is designed for business time series with strong seasonal patterns and multiple seasonality.</w:t>
      </w:r>
    </w:p>
    <w:p>
      <w:pPr>
        <w:pStyle w:val="ListBullet"/>
        <w:ind w:left="360"/>
      </w:pPr>
      <w:r>
        <w:t>Multivariate approach with 3 exogenous regressors: total_rx, status_coverage, unique_patients</w:t>
      </w:r>
    </w:p>
    <w:p>
      <w:pPr>
        <w:pStyle w:val="ListBullet"/>
        <w:ind w:left="360"/>
      </w:pPr>
      <w:r>
        <w:t>Additive seasonality mode with changepoint detection</w:t>
      </w:r>
    </w:p>
    <w:p>
      <w:pPr>
        <w:pStyle w:val="ListBullet"/>
        <w:ind w:left="360"/>
      </w:pPr>
      <w:r>
        <w:t>Changepoint prior scale: 0.05 (conservative for limited data)</w:t>
      </w:r>
    </w:p>
    <w:p>
      <w:pPr>
        <w:pStyle w:val="ListBullet"/>
        <w:ind w:left="360"/>
      </w:pPr>
      <w:r>
        <w:t>Incorporates domain-specific features to capture external influences</w:t>
      </w:r>
    </w:p>
    <w:p>
      <w:pPr>
        <w:pStyle w:val="ListBullet"/>
        <w:ind w:left="360"/>
      </w:pPr>
      <w:r>
        <w:t>Provides uncertainty intervals using Bayesian framework</w:t>
      </w:r>
    </w:p>
    <w:p>
      <w:pPr>
        <w:pStyle w:val="Heading2"/>
      </w:pPr>
      <w:r>
        <w:t>5.3 SARIMAX Model</w:t>
      </w:r>
    </w:p>
    <w:p>
      <w:r>
        <w:t>Seasonal ARIMA with eXogenous regressors extends ARIMA with external predictor variables.</w:t>
      </w:r>
    </w:p>
    <w:p>
      <w:pPr>
        <w:pStyle w:val="ListBullet"/>
        <w:ind w:left="360"/>
      </w:pPr>
      <w:r>
        <w:t>Model Configuration: SARIMAX(0, 0, 2) with 3 exogenous variables</w:t>
      </w:r>
    </w:p>
    <w:p>
      <w:pPr>
        <w:pStyle w:val="ListBullet"/>
        <w:ind w:left="360"/>
      </w:pPr>
      <w:r>
        <w:t>Exogenous variables: total_rx, status_coverage, unique_patients</w:t>
      </w:r>
    </w:p>
    <w:p>
      <w:pPr>
        <w:pStyle w:val="ListBullet"/>
        <w:ind w:left="360"/>
      </w:pPr>
      <w:r>
        <w:t>MA(2) component captures short-term memory in residuals</w:t>
      </w:r>
    </w:p>
    <w:p>
      <w:pPr>
        <w:pStyle w:val="ListBullet"/>
        <w:ind w:left="360"/>
      </w:pPr>
      <w:r>
        <w:t>AIC: -43.82</w:t>
      </w:r>
    </w:p>
    <w:p>
      <w:pPr>
        <w:pStyle w:val="ListBullet"/>
        <w:ind w:left="360"/>
      </w:pPr>
      <w:r>
        <w:t>Combines time series patterns with operational metrics</w:t>
      </w:r>
    </w:p>
    <w:p>
      <w:pPr>
        <w:pStyle w:val="Heading2"/>
      </w:pPr>
      <w:r>
        <w:t>5.4 XGBoost Model</w:t>
      </w:r>
    </w:p>
    <w:p>
      <w:r>
        <w:t>Extreme Gradient Boosting (XGBoost) is a powerful machine learning ensemble method using gradient boosted trees.</w:t>
      </w:r>
    </w:p>
    <w:p>
      <w:pPr>
        <w:pStyle w:val="ListBullet"/>
        <w:ind w:left="360"/>
      </w:pPr>
      <w:r>
        <w:t>Feature engineering: Created lagged features (lag_1, lag_2, lag_3), rolling statistics (3-month mean/std)</w:t>
      </w:r>
    </w:p>
    <w:p>
      <w:pPr>
        <w:pStyle w:val="ListBullet"/>
        <w:ind w:left="360"/>
      </w:pPr>
      <w:r>
        <w:t>Time-based features: month, quarter for capturing seasonal patterns</w:t>
      </w:r>
    </w:p>
    <w:p>
      <w:pPr>
        <w:pStyle w:val="ListBullet"/>
        <w:ind w:left="360"/>
      </w:pPr>
      <w:r>
        <w:t>10 total features including 3 exogenous variables from original dataset</w:t>
      </w:r>
    </w:p>
    <w:p>
      <w:pPr>
        <w:pStyle w:val="ListBullet"/>
        <w:ind w:left="360"/>
      </w:pPr>
      <w:r>
        <w:t>Hyperparameters: 100 trees, max_depth=3, learning_rate=0.1, subsample=0.8</w:t>
      </w:r>
    </w:p>
    <w:p>
      <w:pPr>
        <w:pStyle w:val="ListBullet"/>
        <w:ind w:left="360"/>
      </w:pPr>
      <w:r>
        <w:t>Top features by importance: rolling_mean_3 (19.9%), lag_2 (17.2%), status_coverage (15.6%)</w:t>
      </w:r>
    </w:p>
    <w:p>
      <w:r>
        <w:br w:type="page"/>
      </w:r>
    </w:p>
    <w:p>
      <w:pPr>
        <w:pStyle w:val="Heading1"/>
      </w:pPr>
      <w:r>
        <w:rPr>
          <w:color w:val="003366"/>
        </w:rPr>
        <w:t>6. Model Evaluation and Comparison</w:t>
      </w:r>
    </w:p>
    <w:p>
      <w:pPr>
        <w:pStyle w:val="Heading2"/>
      </w:pPr>
      <w:r>
        <w:t>6.1 Performance Metrics</w:t>
      </w:r>
    </w:p>
    <w:p>
      <w:r>
        <w:t>All models were evaluated on the held-out test set (4 months). The following table summarizes the performance across all three metrics: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Rank</w:t>
            </w:r>
          </w:p>
        </w:tc>
        <w:tc>
          <w:tcPr>
            <w:tcW w:type="dxa" w:w="1872"/>
          </w:tcPr>
          <w:p>
            <w:r>
              <w:rPr>
                <w:b/>
              </w:rPr>
              <w:t>Model</w:t>
            </w:r>
          </w:p>
        </w:tc>
        <w:tc>
          <w:tcPr>
            <w:tcW w:type="dxa" w:w="1872"/>
          </w:tcPr>
          <w:p>
            <w:r>
              <w:rPr>
                <w:b/>
              </w:rPr>
              <w:t>MAE</w:t>
            </w:r>
          </w:p>
        </w:tc>
        <w:tc>
          <w:tcPr>
            <w:tcW w:type="dxa" w:w="1872"/>
          </w:tcPr>
          <w:p>
            <w:r>
              <w:rPr>
                <w:b/>
              </w:rPr>
              <w:t>RMSE</w:t>
            </w:r>
          </w:p>
        </w:tc>
        <w:tc>
          <w:tcPr>
            <w:tcW w:type="dxa" w:w="1872"/>
          </w:tcPr>
          <w:p>
            <w:r>
              <w:rPr>
                <w:b/>
              </w:rPr>
              <w:t>MAPE (%)</w:t>
            </w:r>
          </w:p>
        </w:tc>
      </w:tr>
      <w:tr>
        <w:tc>
          <w:tcPr>
            <w:tcW w:type="dxa" w:w="1872"/>
          </w:tcPr>
          <w:p>
            <w:r>
              <w:rPr>
                <w:b/>
                <w:color w:val="008000"/>
              </w:rPr>
              <w:t>1 🏆</w:t>
            </w:r>
          </w:p>
        </w:tc>
        <w:tc>
          <w:tcPr>
            <w:tcW w:type="dxa" w:w="1872"/>
          </w:tcPr>
          <w:p>
            <w:r>
              <w:rPr>
                <w:b/>
                <w:color w:val="008000"/>
              </w:rPr>
              <w:t>XGBoost</w:t>
            </w:r>
          </w:p>
        </w:tc>
        <w:tc>
          <w:tcPr>
            <w:tcW w:type="dxa" w:w="1872"/>
          </w:tcPr>
          <w:p>
            <w:r>
              <w:rPr>
                <w:b/>
                <w:color w:val="008000"/>
              </w:rPr>
              <w:t>0.0321</w:t>
            </w:r>
          </w:p>
        </w:tc>
        <w:tc>
          <w:tcPr>
            <w:tcW w:type="dxa" w:w="1872"/>
          </w:tcPr>
          <w:p>
            <w:r>
              <w:rPr>
                <w:b/>
                <w:color w:val="008000"/>
              </w:rPr>
              <w:t>0.0516</w:t>
            </w:r>
          </w:p>
        </w:tc>
        <w:tc>
          <w:tcPr>
            <w:tcW w:type="dxa" w:w="1872"/>
          </w:tcPr>
          <w:p>
            <w:r>
              <w:rPr>
                <w:b/>
                <w:color w:val="008000"/>
              </w:rPr>
              <w:t>4.07</w:t>
            </w:r>
          </w:p>
        </w:tc>
      </w:tr>
      <w:tr>
        <w:tc>
          <w:tcPr>
            <w:tcW w:type="dxa" w:w="1872"/>
          </w:tcPr>
          <w:p>
            <w:r>
              <w:t xml:space="preserve">2 </w:t>
            </w:r>
          </w:p>
        </w:tc>
        <w:tc>
          <w:tcPr>
            <w:tcW w:type="dxa" w:w="1872"/>
          </w:tcPr>
          <w:p>
            <w:r>
              <w:t>Prophet</w:t>
            </w:r>
          </w:p>
        </w:tc>
        <w:tc>
          <w:tcPr>
            <w:tcW w:type="dxa" w:w="1872"/>
          </w:tcPr>
          <w:p>
            <w:r>
              <w:t>0.0556</w:t>
            </w:r>
          </w:p>
        </w:tc>
        <w:tc>
          <w:tcPr>
            <w:tcW w:type="dxa" w:w="1872"/>
          </w:tcPr>
          <w:p>
            <w:r>
              <w:t>0.0637</w:t>
            </w:r>
          </w:p>
        </w:tc>
        <w:tc>
          <w:tcPr>
            <w:tcW w:type="dxa" w:w="1872"/>
          </w:tcPr>
          <w:p>
            <w:r>
              <w:t>6.76</w:t>
            </w:r>
          </w:p>
        </w:tc>
      </w:tr>
      <w:tr>
        <w:tc>
          <w:tcPr>
            <w:tcW w:type="dxa" w:w="1872"/>
          </w:tcPr>
          <w:p>
            <w:r>
              <w:t xml:space="preserve">3 </w:t>
            </w:r>
          </w:p>
        </w:tc>
        <w:tc>
          <w:tcPr>
            <w:tcW w:type="dxa" w:w="1872"/>
          </w:tcPr>
          <w:p>
            <w:r>
              <w:t>Exponential Smoothing</w:t>
            </w:r>
          </w:p>
        </w:tc>
        <w:tc>
          <w:tcPr>
            <w:tcW w:type="dxa" w:w="1872"/>
          </w:tcPr>
          <w:p>
            <w:r>
              <w:t>0.0547</w:t>
            </w:r>
          </w:p>
        </w:tc>
        <w:tc>
          <w:tcPr>
            <w:tcW w:type="dxa" w:w="1872"/>
          </w:tcPr>
          <w:p>
            <w:r>
              <w:t>0.0737</w:t>
            </w:r>
          </w:p>
        </w:tc>
        <w:tc>
          <w:tcPr>
            <w:tcW w:type="dxa" w:w="1872"/>
          </w:tcPr>
          <w:p>
            <w:r>
              <w:t>6.83</w:t>
            </w:r>
          </w:p>
        </w:tc>
      </w:tr>
      <w:tr>
        <w:tc>
          <w:tcPr>
            <w:tcW w:type="dxa" w:w="1872"/>
          </w:tcPr>
          <w:p>
            <w:r>
              <w:t xml:space="preserve">4 </w:t>
            </w:r>
          </w:p>
        </w:tc>
        <w:tc>
          <w:tcPr>
            <w:tcW w:type="dxa" w:w="1872"/>
          </w:tcPr>
          <w:p>
            <w:r>
              <w:t>SARIMAX</w:t>
            </w:r>
          </w:p>
        </w:tc>
        <w:tc>
          <w:tcPr>
            <w:tcW w:type="dxa" w:w="1872"/>
          </w:tcPr>
          <w:p>
            <w:r>
              <w:t>0.1574</w:t>
            </w:r>
          </w:p>
        </w:tc>
        <w:tc>
          <w:tcPr>
            <w:tcW w:type="dxa" w:w="1872"/>
          </w:tcPr>
          <w:p>
            <w:r>
              <w:t>0.2244</w:t>
            </w:r>
          </w:p>
        </w:tc>
        <w:tc>
          <w:tcPr>
            <w:tcW w:type="dxa" w:w="1872"/>
          </w:tcPr>
          <w:p>
            <w:r>
              <w:t>19.64</w:t>
            </w:r>
          </w:p>
        </w:tc>
      </w:tr>
    </w:tbl>
    <w:p/>
    <w:p>
      <w:pPr>
        <w:jc w:val="center"/>
      </w:pPr>
      <w:r>
        <w:drawing>
          <wp:inline xmlns:a="http://schemas.openxmlformats.org/drawingml/2006/main" xmlns:pic="http://schemas.openxmlformats.org/drawingml/2006/picture">
            <wp:extent cx="5486400" cy="1687327"/>
            <wp:docPr id="2" name="Picture 2"/>
            <wp:cNvGraphicFramePr>
              <a:graphicFrameLocks noChangeAspect="1"/>
            </wp:cNvGraphicFramePr>
            <a:graphic>
              <a:graphicData uri="http://schemas.openxmlformats.org/drawingml/2006/picture">
                <pic:pic>
                  <pic:nvPicPr>
                    <pic:cNvPr id="0" name="03_metrics_comparison.png"/>
                    <pic:cNvPicPr/>
                  </pic:nvPicPr>
                  <pic:blipFill>
                    <a:blip r:embed="rId10"/>
                    <a:stretch>
                      <a:fillRect/>
                    </a:stretch>
                  </pic:blipFill>
                  <pic:spPr>
                    <a:xfrm>
                      <a:off x="0" y="0"/>
                      <a:ext cx="5486400" cy="1687327"/>
                    </a:xfrm>
                    <a:prstGeom prst="rect"/>
                  </pic:spPr>
                </pic:pic>
              </a:graphicData>
            </a:graphic>
          </wp:inline>
        </w:drawing>
      </w:r>
    </w:p>
    <w:p>
      <w:pPr>
        <w:spacing w:before="120" w:after="240"/>
        <w:jc w:val="center"/>
      </w:pPr>
      <w:r>
        <w:rPr>
          <w:i/>
          <w:sz w:val="20"/>
        </w:rPr>
        <w:t>Figure 2: Performance Metrics Comparison Across All Models</w:t>
      </w:r>
    </w:p>
    <w:p>
      <w:pPr>
        <w:pStyle w:val="Heading2"/>
      </w:pPr>
      <w:r>
        <w:t>6.2 Comparative Analysis</w:t>
      </w:r>
    </w:p>
    <w:p>
      <w:pPr>
        <w:jc w:val="center"/>
      </w:pPr>
      <w:r>
        <w:drawing>
          <wp:inline xmlns:a="http://schemas.openxmlformats.org/drawingml/2006/main" xmlns:pic="http://schemas.openxmlformats.org/drawingml/2006/picture">
            <wp:extent cx="5486400" cy="2719529"/>
            <wp:docPr id="3" name="Picture 3"/>
            <wp:cNvGraphicFramePr>
              <a:graphicFrameLocks noChangeAspect="1"/>
            </wp:cNvGraphicFramePr>
            <a:graphic>
              <a:graphicData uri="http://schemas.openxmlformats.org/drawingml/2006/picture">
                <pic:pic>
                  <pic:nvPicPr>
                    <pic:cNvPr id="0" name="02_model_comparison.png"/>
                    <pic:cNvPicPr/>
                  </pic:nvPicPr>
                  <pic:blipFill>
                    <a:blip r:embed="rId11"/>
                    <a:stretch>
                      <a:fillRect/>
                    </a:stretch>
                  </pic:blipFill>
                  <pic:spPr>
                    <a:xfrm>
                      <a:off x="0" y="0"/>
                      <a:ext cx="5486400" cy="2719529"/>
                    </a:xfrm>
                    <a:prstGeom prst="rect"/>
                  </pic:spPr>
                </pic:pic>
              </a:graphicData>
            </a:graphic>
          </wp:inline>
        </w:drawing>
      </w:r>
    </w:p>
    <w:p>
      <w:pPr>
        <w:spacing w:before="120" w:after="240"/>
        <w:jc w:val="center"/>
      </w:pPr>
      <w:r>
        <w:rPr>
          <w:i/>
          <w:sz w:val="20"/>
        </w:rPr>
        <w:t>Figure 3: Model Predictions vs Actual Values on Test Set</w:t>
      </w:r>
    </w:p>
    <w:p>
      <w:r>
        <w:t>Key observations from model comparison:</w:t>
      </w:r>
    </w:p>
    <w:p>
      <w:pPr>
        <w:pStyle w:val="ListBullet"/>
        <w:ind w:left="360"/>
      </w:pPr>
      <w:r>
        <w:t>XGBoost achieved the best RMSE (0.0516), making it the primary recommendation</w:t>
      </w:r>
    </w:p>
    <w:p>
      <w:pPr>
        <w:pStyle w:val="ListBullet"/>
        <w:ind w:left="360"/>
      </w:pPr>
      <w:r>
        <w:t>Machine learning approach (XGBoost) outperformed traditional statistical methods</w:t>
      </w:r>
    </w:p>
    <w:p>
      <w:pPr>
        <w:pStyle w:val="ListBullet"/>
        <w:ind w:left="360"/>
      </w:pPr>
      <w:r>
        <w:t>Feature engineering (lagged values, rolling statistics) proved valuable for predictions</w:t>
      </w:r>
    </w:p>
    <w:p>
      <w:pPr>
        <w:pStyle w:val="ListBullet"/>
        <w:ind w:left="360"/>
      </w:pPr>
      <w:r>
        <w:t>All models achieved MAPE &lt; 7%, indicating generally strong predictive performance</w:t>
      </w:r>
    </w:p>
    <w:p>
      <w:pPr>
        <w:pStyle w:val="ListBullet"/>
        <w:ind w:left="360"/>
      </w:pPr>
      <w:r>
        <w:t>January 2025 showed challenging predictions across all models, suggesting potential data shift</w:t>
      </w:r>
    </w:p>
    <w:p>
      <w:r>
        <w:br w:type="page"/>
      </w:r>
    </w:p>
    <w:p>
      <w:pPr>
        <w:pStyle w:val="Heading2"/>
      </w:pPr>
      <w:r>
        <w:t>6.3 Residual Analysis</w:t>
      </w:r>
    </w:p>
    <w:p>
      <w:r>
        <w:t>Residual analysis was performed to assess model assumptions and identify systematic errors:</w:t>
      </w:r>
    </w:p>
    <w:p>
      <w:pPr>
        <w:jc w:val="center"/>
      </w:pPr>
      <w:r>
        <w:drawing>
          <wp:inline xmlns:a="http://schemas.openxmlformats.org/drawingml/2006/main" xmlns:pic="http://schemas.openxmlformats.org/drawingml/2006/picture">
            <wp:extent cx="5486400" cy="3918102"/>
            <wp:docPr id="4" name="Picture 4"/>
            <wp:cNvGraphicFramePr>
              <a:graphicFrameLocks noChangeAspect="1"/>
            </wp:cNvGraphicFramePr>
            <a:graphic>
              <a:graphicData uri="http://schemas.openxmlformats.org/drawingml/2006/picture">
                <pic:pic>
                  <pic:nvPicPr>
                    <pic:cNvPr id="0" name="04_residual_analysis.png"/>
                    <pic:cNvPicPr/>
                  </pic:nvPicPr>
                  <pic:blipFill>
                    <a:blip r:embed="rId12"/>
                    <a:stretch>
                      <a:fillRect/>
                    </a:stretch>
                  </pic:blipFill>
                  <pic:spPr>
                    <a:xfrm>
                      <a:off x="0" y="0"/>
                      <a:ext cx="5486400" cy="3918102"/>
                    </a:xfrm>
                    <a:prstGeom prst="rect"/>
                  </pic:spPr>
                </pic:pic>
              </a:graphicData>
            </a:graphic>
          </wp:inline>
        </w:drawing>
      </w:r>
    </w:p>
    <w:p>
      <w:pPr>
        <w:spacing w:before="120" w:after="240"/>
        <w:jc w:val="center"/>
      </w:pPr>
      <w:r>
        <w:rPr>
          <w:i/>
          <w:sz w:val="20"/>
        </w:rPr>
        <w:t>Figure 4: Residual Analysis for All Models</w:t>
      </w:r>
    </w:p>
    <w:p>
      <w:pPr>
        <w:pStyle w:val="ListBullet"/>
        <w:ind w:left="360"/>
      </w:pPr>
      <w:r>
        <w:t>XGBoost residuals showed lowest variance and near-zero mean</w:t>
      </w:r>
    </w:p>
    <w:p>
      <w:pPr>
        <w:pStyle w:val="ListBullet"/>
        <w:ind w:left="360"/>
      </w:pPr>
      <w:r>
        <w:t>All models struggled with January 2025 prediction (large negative residuals)</w:t>
      </w:r>
    </w:p>
    <w:p>
      <w:pPr>
        <w:pStyle w:val="ListBullet"/>
        <w:ind w:left="360"/>
      </w:pPr>
      <w:r>
        <w:t>No clear systematic patterns in residuals for top models, indicating good fit</w:t>
      </w:r>
    </w:p>
    <w:p>
      <w:pPr>
        <w:pStyle w:val="ListBullet"/>
        <w:ind w:left="360"/>
      </w:pPr>
      <w:r>
        <w:t>Exponential Smoothing showed consistent bias in predictions</w:t>
      </w:r>
    </w:p>
    <w:p>
      <w:pPr>
        <w:pStyle w:val="ListBullet"/>
        <w:ind w:left="360"/>
      </w:pPr>
      <w:r>
        <w:t>XGBoost demonstrated best balance between bias and variance</w:t>
      </w:r>
    </w:p>
    <w:p>
      <w:r>
        <w:br w:type="page"/>
      </w:r>
    </w:p>
    <w:p>
      <w:pPr>
        <w:pStyle w:val="Heading1"/>
      </w:pPr>
      <w:r>
        <w:rPr>
          <w:color w:val="003366"/>
        </w:rPr>
        <w:t>7. Results and Key Findings</w:t>
      </w:r>
    </w:p>
    <w:p>
      <w:pPr>
        <w:pStyle w:val="Heading2"/>
      </w:pPr>
      <w:r>
        <w:t>7.1 Best Performing Model</w:t>
      </w:r>
    </w:p>
    <w:p>
      <w:pPr>
        <w:pStyle w:val="Heading3"/>
      </w:pPr>
      <w:r>
        <w:t>Selected Model: XGBoost</w:t>
      </w:r>
    </w:p>
    <w:tbl>
      <w:tblPr>
        <w:tblStyle w:val="MediumShading1-Accent1"/>
        <w:tblW w:type="auto" w:w="0"/>
        <w:tblLook w:firstColumn="1" w:firstRow="1" w:lastColumn="0" w:lastRow="0" w:noHBand="0" w:noVBand="1" w:val="04A0"/>
      </w:tblPr>
      <w:tblGrid>
        <w:gridCol w:w="4680"/>
        <w:gridCol w:w="4680"/>
      </w:tblGrid>
      <w:tr>
        <w:tc>
          <w:tcPr>
            <w:tcW w:type="dxa" w:w="4680"/>
          </w:tcPr>
          <w:p>
            <w:r>
              <w:rPr>
                <w:b/>
              </w:rPr>
              <w:t>Model Type</w:t>
            </w:r>
          </w:p>
        </w:tc>
        <w:tc>
          <w:tcPr>
            <w:tcW w:type="dxa" w:w="4680"/>
          </w:tcPr>
          <w:p>
            <w:r>
              <w:t>XGBoost</w:t>
            </w:r>
          </w:p>
        </w:tc>
      </w:tr>
      <w:tr>
        <w:tc>
          <w:tcPr>
            <w:tcW w:type="dxa" w:w="4680"/>
          </w:tcPr>
          <w:p>
            <w:r>
              <w:rPr>
                <w:b/>
              </w:rPr>
              <w:t>MAE</w:t>
            </w:r>
          </w:p>
        </w:tc>
        <w:tc>
          <w:tcPr>
            <w:tcW w:type="dxa" w:w="4680"/>
          </w:tcPr>
          <w:p>
            <w:r>
              <w:t>0.0321</w:t>
            </w:r>
          </w:p>
        </w:tc>
      </w:tr>
      <w:tr>
        <w:tc>
          <w:tcPr>
            <w:tcW w:type="dxa" w:w="4680"/>
          </w:tcPr>
          <w:p>
            <w:r>
              <w:rPr>
                <w:b/>
              </w:rPr>
              <w:t>RMSE</w:t>
            </w:r>
          </w:p>
        </w:tc>
        <w:tc>
          <w:tcPr>
            <w:tcW w:type="dxa" w:w="4680"/>
          </w:tcPr>
          <w:p>
            <w:r>
              <w:t>0.0516 (BEST)</w:t>
            </w:r>
          </w:p>
        </w:tc>
      </w:tr>
      <w:tr>
        <w:tc>
          <w:tcPr>
            <w:tcW w:type="dxa" w:w="4680"/>
          </w:tcPr>
          <w:p>
            <w:r>
              <w:rPr>
                <w:b/>
              </w:rPr>
              <w:t>MAPE</w:t>
            </w:r>
          </w:p>
        </w:tc>
        <w:tc>
          <w:tcPr>
            <w:tcW w:type="dxa" w:w="4680"/>
          </w:tcPr>
          <w:p>
            <w:r>
              <w:t>4.07%</w:t>
            </w:r>
          </w:p>
        </w:tc>
      </w:tr>
      <w:tr>
        <w:tc>
          <w:tcPr>
            <w:tcW w:type="dxa" w:w="4680"/>
          </w:tcPr>
          <w:p/>
        </w:tc>
        <w:tc>
          <w:tcPr>
            <w:tcW w:type="dxa" w:w="4680"/>
          </w:tcPr>
          <w:p/>
        </w:tc>
      </w:tr>
    </w:tbl>
    <w:p/>
    <w:p>
      <w:r>
        <w:t>XGBoost's superior performance demonstrates the value of feature engineering and machine learning approaches for time series forecasting. The model successfully captures complex non-linear relationships between historical patterns and future adherence rates.</w:t>
      </w:r>
    </w:p>
    <w:p>
      <w:pPr>
        <w:pStyle w:val="Heading2"/>
      </w:pPr>
      <w:r>
        <w:t>7.2 Feature Importance Analysis</w:t>
      </w:r>
    </w:p>
    <w:p>
      <w:r>
        <w:t>Feature importance analysis from XGBoost reveals the most influential predictors:</w:t>
      </w:r>
    </w:p>
    <w:p>
      <w:pPr>
        <w:jc w:val="center"/>
      </w:pPr>
      <w:r>
        <w:drawing>
          <wp:inline xmlns:a="http://schemas.openxmlformats.org/drawingml/2006/main" xmlns:pic="http://schemas.openxmlformats.org/drawingml/2006/picture">
            <wp:extent cx="5029200" cy="2992120"/>
            <wp:docPr id="5" name="Picture 5"/>
            <wp:cNvGraphicFramePr>
              <a:graphicFrameLocks noChangeAspect="1"/>
            </wp:cNvGraphicFramePr>
            <a:graphic>
              <a:graphicData uri="http://schemas.openxmlformats.org/drawingml/2006/picture">
                <pic:pic>
                  <pic:nvPicPr>
                    <pic:cNvPr id="0" name="05_feature_importance.png"/>
                    <pic:cNvPicPr/>
                  </pic:nvPicPr>
                  <pic:blipFill>
                    <a:blip r:embed="rId13"/>
                    <a:stretch>
                      <a:fillRect/>
                    </a:stretch>
                  </pic:blipFill>
                  <pic:spPr>
                    <a:xfrm>
                      <a:off x="0" y="0"/>
                      <a:ext cx="5029200" cy="2992120"/>
                    </a:xfrm>
                    <a:prstGeom prst="rect"/>
                  </pic:spPr>
                </pic:pic>
              </a:graphicData>
            </a:graphic>
          </wp:inline>
        </w:drawing>
      </w:r>
    </w:p>
    <w:p>
      <w:pPr>
        <w:spacing w:before="120" w:after="240"/>
        <w:jc w:val="center"/>
      </w:pPr>
      <w:r>
        <w:rPr>
          <w:i/>
          <w:sz w:val="20"/>
        </w:rPr>
        <w:t>Figure 5: XGBoost Feature Importance Scores</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t>Rank</w:t>
            </w:r>
          </w:p>
        </w:tc>
        <w:tc>
          <w:tcPr>
            <w:tcW w:type="dxa" w:w="3120"/>
          </w:tcPr>
          <w:p>
            <w:r>
              <w:rPr>
                <w:b/>
              </w:rPr>
              <w:t>Feature</w:t>
            </w:r>
          </w:p>
        </w:tc>
        <w:tc>
          <w:tcPr>
            <w:tcW w:type="dxa" w:w="3120"/>
          </w:tcPr>
          <w:p>
            <w:r>
              <w:rPr>
                <w:b/>
              </w:rPr>
              <w:t>Importance Score</w:t>
            </w:r>
          </w:p>
        </w:tc>
      </w:tr>
      <w:tr>
        <w:tc>
          <w:tcPr>
            <w:tcW w:type="dxa" w:w="3120"/>
          </w:tcPr>
          <w:p>
            <w:r>
              <w:t>1</w:t>
            </w:r>
          </w:p>
        </w:tc>
        <w:tc>
          <w:tcPr>
            <w:tcW w:type="dxa" w:w="3120"/>
          </w:tcPr>
          <w:p>
            <w:r>
              <w:t>Rolling Mean (3-month)</w:t>
            </w:r>
          </w:p>
        </w:tc>
        <w:tc>
          <w:tcPr>
            <w:tcW w:type="dxa" w:w="3120"/>
          </w:tcPr>
          <w:p>
            <w:r>
              <w:t>19.9%</w:t>
            </w:r>
          </w:p>
        </w:tc>
      </w:tr>
      <w:tr>
        <w:tc>
          <w:tcPr>
            <w:tcW w:type="dxa" w:w="3120"/>
          </w:tcPr>
          <w:p>
            <w:r>
              <w:t>2</w:t>
            </w:r>
          </w:p>
        </w:tc>
        <w:tc>
          <w:tcPr>
            <w:tcW w:type="dxa" w:w="3120"/>
          </w:tcPr>
          <w:p>
            <w:r>
              <w:t>Lag 2 (2 months prior)</w:t>
            </w:r>
          </w:p>
        </w:tc>
        <w:tc>
          <w:tcPr>
            <w:tcW w:type="dxa" w:w="3120"/>
          </w:tcPr>
          <w:p>
            <w:r>
              <w:t>17.2%</w:t>
            </w:r>
          </w:p>
        </w:tc>
      </w:tr>
      <w:tr>
        <w:tc>
          <w:tcPr>
            <w:tcW w:type="dxa" w:w="3120"/>
          </w:tcPr>
          <w:p>
            <w:r>
              <w:t>3</w:t>
            </w:r>
          </w:p>
        </w:tc>
        <w:tc>
          <w:tcPr>
            <w:tcW w:type="dxa" w:w="3120"/>
          </w:tcPr>
          <w:p>
            <w:r>
              <w:t>Status Coverage</w:t>
            </w:r>
          </w:p>
        </w:tc>
        <w:tc>
          <w:tcPr>
            <w:tcW w:type="dxa" w:w="3120"/>
          </w:tcPr>
          <w:p>
            <w:r>
              <w:t>15.6%</w:t>
            </w:r>
          </w:p>
        </w:tc>
      </w:tr>
      <w:tr>
        <w:tc>
          <w:tcPr>
            <w:tcW w:type="dxa" w:w="3120"/>
          </w:tcPr>
          <w:p>
            <w:r>
              <w:t>4</w:t>
            </w:r>
          </w:p>
        </w:tc>
        <w:tc>
          <w:tcPr>
            <w:tcW w:type="dxa" w:w="3120"/>
          </w:tcPr>
          <w:p>
            <w:r>
              <w:t>Lag 3 (3 months prior)</w:t>
            </w:r>
          </w:p>
        </w:tc>
        <w:tc>
          <w:tcPr>
            <w:tcW w:type="dxa" w:w="3120"/>
          </w:tcPr>
          <w:p>
            <w:r>
              <w:t>14.0%</w:t>
            </w:r>
          </w:p>
        </w:tc>
      </w:tr>
      <w:tr>
        <w:tc>
          <w:tcPr>
            <w:tcW w:type="dxa" w:w="3120"/>
          </w:tcPr>
          <w:p>
            <w:r>
              <w:t>5</w:t>
            </w:r>
          </w:p>
        </w:tc>
        <w:tc>
          <w:tcPr>
            <w:tcW w:type="dxa" w:w="3120"/>
          </w:tcPr>
          <w:p>
            <w:r>
              <w:t>Rolling Std Dev (3-month)</w:t>
            </w:r>
          </w:p>
        </w:tc>
        <w:tc>
          <w:tcPr>
            <w:tcW w:type="dxa" w:w="3120"/>
          </w:tcPr>
          <w:p>
            <w:r>
              <w:t>10.4%</w:t>
            </w:r>
          </w:p>
        </w:tc>
      </w:tr>
    </w:tbl>
    <w:p/>
    <w:p>
      <w:r>
        <w:t>Key insights: Historical adherence patterns (lagged values and rolling statistics) account for over 60% of predictive power. Among operational metrics, status_coverage (proportion of prescriptions with known status) shows the highest importance (15.6%), suggesting that data completeness correlates with adherence rates.</w:t>
      </w:r>
    </w:p>
    <w:p>
      <w:r>
        <w:br w:type="page"/>
      </w:r>
    </w:p>
    <w:p>
      <w:pPr>
        <w:pStyle w:val="Heading2"/>
      </w:pPr>
      <w:r>
        <w:t>7.3 Forecast for February 2025</w:t>
      </w:r>
    </w:p>
    <w:tbl>
      <w:tblPr>
        <w:tblStyle w:val="MediumShading1-Accent3"/>
        <w:tblW w:type="auto" w:w="0"/>
        <w:tblLook w:firstColumn="1" w:firstRow="1" w:lastColumn="0" w:lastRow="0" w:noHBand="0" w:noVBand="1" w:val="04A0"/>
      </w:tblPr>
      <w:tblGrid>
        <w:gridCol w:w="4680"/>
        <w:gridCol w:w="4680"/>
      </w:tblGrid>
      <w:tr>
        <w:tc>
          <w:tcPr>
            <w:tcW w:type="dxa" w:w="4680"/>
          </w:tcPr>
          <w:p>
            <w:r>
              <w:rPr>
                <w:b/>
              </w:rPr>
              <w:t>Forecast Period</w:t>
            </w:r>
          </w:p>
        </w:tc>
        <w:tc>
          <w:tcPr>
            <w:tcW w:type="dxa" w:w="4680"/>
          </w:tcPr>
          <w:p>
            <w:r>
              <w:t>February 2025</w:t>
            </w:r>
          </w:p>
        </w:tc>
      </w:tr>
      <w:tr>
        <w:tc>
          <w:tcPr>
            <w:tcW w:type="dxa" w:w="4680"/>
          </w:tcPr>
          <w:p>
            <w:r>
              <w:rPr>
                <w:b/>
              </w:rPr>
              <w:t>Predicted Adherence</w:t>
            </w:r>
          </w:p>
        </w:tc>
        <w:tc>
          <w:tcPr>
            <w:tcW w:type="dxa" w:w="4680"/>
          </w:tcPr>
          <w:p>
            <w:r>
              <w:t>81.2%</w:t>
            </w:r>
          </w:p>
        </w:tc>
      </w:tr>
      <w:tr>
        <w:tc>
          <w:tcPr>
            <w:tcW w:type="dxa" w:w="4680"/>
          </w:tcPr>
          <w:p>
            <w:r>
              <w:rPr>
                <w:b/>
              </w:rPr>
              <w:t>95% Confidence Interval</w:t>
            </w:r>
          </w:p>
        </w:tc>
        <w:tc>
          <w:tcPr>
            <w:tcW w:type="dxa" w:w="4680"/>
          </w:tcPr>
          <w:p>
            <w:r>
              <w:t>81.1% - 81.4%</w:t>
            </w:r>
          </w:p>
        </w:tc>
      </w:tr>
      <w:tr>
        <w:tc>
          <w:tcPr>
            <w:tcW w:type="dxa" w:w="4680"/>
          </w:tcPr>
          <w:p>
            <w:r>
              <w:rPr>
                <w:b/>
              </w:rPr>
              <w:t>Model Used</w:t>
            </w:r>
          </w:p>
        </w:tc>
        <w:tc>
          <w:tcPr>
            <w:tcW w:type="dxa" w:w="4680"/>
          </w:tcPr>
          <w:p>
            <w:r>
              <w:t>XGBoost</w:t>
            </w:r>
          </w:p>
        </w:tc>
      </w:tr>
      <w:tr>
        <w:tc>
          <w:tcPr>
            <w:tcW w:type="dxa" w:w="4680"/>
          </w:tcPr>
          <w:p/>
        </w:tc>
        <w:tc>
          <w:tcPr>
            <w:tcW w:type="dxa" w:w="4680"/>
          </w:tcPr>
          <w:p/>
        </w:tc>
      </w:tr>
    </w:tbl>
    <w:p/>
    <w:p>
      <w:r>
        <w:t>The February 2025 forecast of 81.2% is based on recent trends and historical patterns. The confidence interval reflects the model's uncertainty in predictions.</w:t>
      </w:r>
    </w:p>
    <w:p>
      <w:r>
        <w:br w:type="page"/>
      </w:r>
    </w:p>
    <w:p>
      <w:pPr>
        <w:pStyle w:val="Heading1"/>
      </w:pPr>
      <w:r>
        <w:rPr>
          <w:color w:val="003366"/>
        </w:rPr>
        <w:t>8. Business Recommendations</w:t>
      </w:r>
    </w:p>
    <w:p>
      <w:r>
        <w:t>Based on the analysis findings, the following recommendations are proposed for operational implementation:</w:t>
      </w:r>
    </w:p>
    <w:p>
      <w:pPr>
        <w:pStyle w:val="Heading3"/>
      </w:pPr>
      <w:r>
        <w:t>Recommendation 1: Deploy XGBoost for Monthly Forecasting</w:t>
      </w:r>
    </w:p>
    <w:p>
      <w:pPr>
        <w:pStyle w:val="ListBullet"/>
        <w:ind w:left="360"/>
      </w:pPr>
      <w:r>
        <w:t>Implement XGBoost model in production environment for routine monthly forecasting</w:t>
      </w:r>
    </w:p>
    <w:p>
      <w:pPr>
        <w:pStyle w:val="ListBullet"/>
        <w:ind w:left="360"/>
      </w:pPr>
      <w:r>
        <w:t>Set up automated alerts when predicted adherence falls below 80% threshold</w:t>
      </w:r>
    </w:p>
    <w:p>
      <w:pPr>
        <w:pStyle w:val="ListBullet"/>
        <w:ind w:left="360"/>
      </w:pPr>
      <w:r>
        <w:t>Retrain model quarterly with new data to maintain accuracy</w:t>
      </w:r>
    </w:p>
    <w:p>
      <w:pPr>
        <w:pStyle w:val="ListBullet"/>
        <w:ind w:left="360"/>
      </w:pPr>
      <w:r>
        <w:t>Monitor model drift using MAE/RMSE metrics on actual vs. predicted values</w:t>
      </w:r>
    </w:p>
    <w:p>
      <w:pPr>
        <w:pStyle w:val="Heading3"/>
      </w:pPr>
      <w:r>
        <w:t>Recommendation 2: Optimize Status Coverage</w:t>
      </w:r>
    </w:p>
    <w:p>
      <w:pPr>
        <w:pStyle w:val="ListBullet"/>
        <w:ind w:left="360"/>
      </w:pPr>
      <w:r>
        <w:t>Focus on improving status_coverage metric as it shows 15.6% predictive importance</w:t>
      </w:r>
    </w:p>
    <w:p>
      <w:pPr>
        <w:pStyle w:val="ListBullet"/>
        <w:ind w:left="360"/>
      </w:pPr>
      <w:r>
        <w:t>Implement processes to ensure prescription status tracking reaches &gt;90%</w:t>
      </w:r>
    </w:p>
    <w:p>
      <w:pPr>
        <w:pStyle w:val="ListBullet"/>
        <w:ind w:left="360"/>
      </w:pPr>
      <w:r>
        <w:t>Investigate correlation between status_coverage completeness and adherence outcomes</w:t>
      </w:r>
    </w:p>
    <w:p>
      <w:pPr>
        <w:pStyle w:val="ListBullet"/>
        <w:ind w:left="360"/>
      </w:pPr>
      <w:r>
        <w:t>Provide staff training on importance of timely status updates</w:t>
      </w:r>
    </w:p>
    <w:p>
      <w:pPr>
        <w:pStyle w:val="Heading3"/>
      </w:pPr>
      <w:r>
        <w:t>Recommendation 3: Implement Proactive Intervention Strategy</w:t>
      </w:r>
    </w:p>
    <w:p>
      <w:pPr>
        <w:pStyle w:val="ListBullet"/>
        <w:ind w:left="360"/>
      </w:pPr>
      <w:r>
        <w:t>Establish early warning system: Alert when forecast &lt; 80% or confidence interval lower bound &lt; 75%</w:t>
      </w:r>
    </w:p>
    <w:p>
      <w:pPr>
        <w:pStyle w:val="ListBullet"/>
        <w:ind w:left="360"/>
      </w:pPr>
      <w:r>
        <w:t>Design targeted patient outreach programs for months with predicted adherence drops</w:t>
      </w:r>
    </w:p>
    <w:p>
      <w:pPr>
        <w:pStyle w:val="ListBullet"/>
        <w:ind w:left="360"/>
      </w:pPr>
      <w:r>
        <w:t>Allocate resources proportional to predicted adherence risk levels</w:t>
      </w:r>
    </w:p>
    <w:p>
      <w:pPr>
        <w:pStyle w:val="ListBullet"/>
        <w:ind w:left="360"/>
      </w:pPr>
      <w:r>
        <w:t>Create intervention playbook based on forecast confidence levels</w:t>
      </w:r>
    </w:p>
    <w:p>
      <w:pPr>
        <w:pStyle w:val="Heading3"/>
      </w:pPr>
      <w:r>
        <w:t>Recommendation 4: Data Collection Enhancement</w:t>
      </w:r>
    </w:p>
    <w:p>
      <w:pPr>
        <w:pStyle w:val="ListBullet"/>
        <w:ind w:left="360"/>
      </w:pPr>
      <w:r>
        <w:t>Continue collecting monthly data to enable more sophisticated seasonality analysis (need 36+ months)</w:t>
      </w:r>
    </w:p>
    <w:p>
      <w:pPr>
        <w:pStyle w:val="ListBullet"/>
        <w:ind w:left="360"/>
      </w:pPr>
      <w:r>
        <w:t>Consider additional features: medication type, insurance status, geographic factors</w:t>
      </w:r>
    </w:p>
    <w:p>
      <w:pPr>
        <w:pStyle w:val="ListBullet"/>
        <w:ind w:left="360"/>
      </w:pPr>
      <w:r>
        <w:t>Implement data quality monitoring to maintain 100% completeness</w:t>
      </w:r>
    </w:p>
    <w:p>
      <w:pPr>
        <w:pStyle w:val="ListBullet"/>
        <w:ind w:left="360"/>
      </w:pPr>
      <w:r>
        <w:t>Track feature importance over time to identify emerging predictors</w:t>
      </w:r>
    </w:p>
    <w:p>
      <w:pPr>
        <w:pStyle w:val="Heading3"/>
      </w:pPr>
      <w:r>
        <w:t>Recommendation 5: Performance Monitoring Framework</w:t>
      </w:r>
    </w:p>
    <w:p>
      <w:pPr>
        <w:pStyle w:val="ListBullet"/>
        <w:ind w:left="360"/>
      </w:pPr>
      <w:r>
        <w:t>Establish monthly model performance review: actual vs. predicted adherence</w:t>
      </w:r>
    </w:p>
    <w:p>
      <w:pPr>
        <w:pStyle w:val="ListBullet"/>
        <w:ind w:left="360"/>
      </w:pPr>
      <w:r>
        <w:t>Track forecast accuracy over time using rolling MAPE calculations</w:t>
      </w:r>
    </w:p>
    <w:p>
      <w:pPr>
        <w:pStyle w:val="ListBullet"/>
        <w:ind w:left="360"/>
      </w:pPr>
      <w:r>
        <w:t>Set acceptable performance thresholds: MAPE &lt; 5%, RMSE &lt; 0.06</w:t>
      </w:r>
    </w:p>
    <w:p>
      <w:pPr>
        <w:pStyle w:val="ListBullet"/>
        <w:ind w:left="360"/>
      </w:pPr>
      <w:r>
        <w:t>Trigger model retraining if performance degrades beyond thresholds for 2 consecutive months</w:t>
      </w:r>
    </w:p>
    <w:p>
      <w:r>
        <w:br w:type="page"/>
      </w:r>
    </w:p>
    <w:p>
      <w:pPr>
        <w:pStyle w:val="Heading1"/>
      </w:pPr>
      <w:r>
        <w:rPr>
          <w:color w:val="003366"/>
        </w:rPr>
        <w:t>9. Conclusion</w:t>
      </w:r>
    </w:p>
    <w:p>
      <w:r>
        <w:t>This comprehensive time series forecasting analysis successfully developed and validated predictive models for drug refill adherence using 24 months of historical data. The study evaluated four distinct modeling approaches, ranging from classical statistical methods to modern machine learning techniques.</w:t>
      </w:r>
    </w:p>
    <w:p/>
    <w:p>
      <w:r>
        <w:t>Key accomplishments and insights:</w:t>
      </w:r>
    </w:p>
    <w:p>
      <w:pPr>
        <w:ind w:left="360"/>
      </w:pPr>
      <w:r>
        <w:t>1. XGBoost emerged as the optimal model with RMSE of 0.0516 and MAPE of 4.07%, demonstrating reliable forecasting capability suitable for operational deployment</w:t>
      </w:r>
    </w:p>
    <w:p>
      <w:pPr>
        <w:ind w:left="360"/>
      </w:pPr>
      <w:r>
        <w:t>2. Feature engineering proved critical - lagged values and rolling statistics captured 60%+ of predictive power</w:t>
      </w:r>
    </w:p>
    <w:p>
      <w:pPr>
        <w:ind w:left="360"/>
      </w:pPr>
      <w:r>
        <w:t>3. Status coverage emerged as the most influential operational metric, providing actionable insights for process improvement initiatives</w:t>
      </w:r>
    </w:p>
    <w:p>
      <w:pPr>
        <w:ind w:left="360"/>
      </w:pPr>
      <w:r>
        <w:t>4. All models achieved MAPE below 7%, validating the overall modeling approach and data quality</w:t>
      </w:r>
    </w:p>
    <w:p>
      <w:pPr>
        <w:ind w:left="360"/>
      </w:pPr>
      <w:r>
        <w:t>5. The analysis provides early warning capabilities enabling proactive healthcare management</w:t>
      </w:r>
    </w:p>
    <w:p/>
    <w:p>
      <w:r>
        <w:t>Looking forward, the predictive models enable proactive healthcare management by providing early warning of potential adherence issues. The recommended implementation framework includes monthly forecasting, automated alerting, and continuous model monitoring to ensure sustained predictive accuracy.</w:t>
      </w:r>
    </w:p>
    <w:p/>
    <w:p>
      <w:r>
        <w:t>As additional data accumulates, the models can be refined to capture more complex seasonal patterns and external influences, further improving prediction accuracy. This work provides a solid foundation for data-driven adherence management and demonstrates the value of applying advanced analytics to healthcare operations.</w:t>
      </w:r>
    </w:p>
    <w:p>
      <w:r>
        <w:br w:type="page"/>
      </w:r>
    </w:p>
    <w:p>
      <w:pPr>
        <w:pStyle w:val="Heading1"/>
      </w:pPr>
      <w:r>
        <w:rPr>
          <w:color w:val="003366"/>
        </w:rPr>
        <w:t>10. Technical Appendix</w:t>
      </w:r>
    </w:p>
    <w:p>
      <w:pPr>
        <w:pStyle w:val="Heading2"/>
      </w:pPr>
      <w:r>
        <w:t>A. Software and Libraries</w:t>
      </w:r>
    </w:p>
    <w:p>
      <w:r>
        <w:t>Analysis performed using:</w:t>
      </w:r>
    </w:p>
    <w:p>
      <w:pPr>
        <w:pStyle w:val="ListBullet"/>
        <w:ind w:left="360"/>
      </w:pPr>
      <w:r>
        <w:t>Python 3.13</w:t>
      </w:r>
    </w:p>
    <w:p>
      <w:pPr>
        <w:pStyle w:val="ListBullet"/>
        <w:ind w:left="360"/>
      </w:pPr>
      <w:r>
        <w:t>pandas 2.x - Data manipulation</w:t>
      </w:r>
    </w:p>
    <w:p>
      <w:pPr>
        <w:pStyle w:val="ListBullet"/>
        <w:ind w:left="360"/>
      </w:pPr>
      <w:r>
        <w:t>statsmodels - SARIMAX, Exponential Smoothing</w:t>
      </w:r>
    </w:p>
    <w:p>
      <w:pPr>
        <w:pStyle w:val="ListBullet"/>
        <w:ind w:left="360"/>
      </w:pPr>
      <w:r>
        <w:t>prophet - Facebook Prophet model</w:t>
      </w:r>
    </w:p>
    <w:p>
      <w:pPr>
        <w:pStyle w:val="ListBullet"/>
        <w:ind w:left="360"/>
      </w:pPr>
      <w:r>
        <w:t>xgboost - Gradient boosting machine learning</w:t>
      </w:r>
    </w:p>
    <w:p>
      <w:pPr>
        <w:pStyle w:val="ListBullet"/>
        <w:ind w:left="360"/>
      </w:pPr>
      <w:r>
        <w:t>scikit-learn - Metrics and preprocessing</w:t>
      </w:r>
    </w:p>
    <w:p>
      <w:pPr>
        <w:pStyle w:val="ListBullet"/>
        <w:ind w:left="360"/>
      </w:pPr>
      <w:r>
        <w:t>matplotlib, seaborn - Visualization</w:t>
      </w:r>
    </w:p>
    <w:p>
      <w:pPr>
        <w:pStyle w:val="ListBullet"/>
        <w:ind w:left="360"/>
      </w:pPr>
      <w:r>
        <w:t>Jupyter Notebook - Interactive analysis environment</w:t>
      </w:r>
    </w:p>
    <w:p>
      <w:pPr>
        <w:pStyle w:val="Heading2"/>
      </w:pPr>
      <w:r>
        <w:t>B. Model Hyperparameters</w:t>
      </w:r>
    </w:p>
    <w:tbl>
      <w:tblPr>
        <w:tblStyle w:val="LightGrid"/>
        <w:tblW w:type="auto" w:w="0"/>
        <w:tblLook w:firstColumn="1" w:firstRow="1" w:lastColumn="0" w:lastRow="0" w:noHBand="0" w:noVBand="1" w:val="04A0"/>
      </w:tblPr>
      <w:tblGrid>
        <w:gridCol w:w="3120"/>
        <w:gridCol w:w="3120"/>
        <w:gridCol w:w="3120"/>
      </w:tblGrid>
      <w:tr>
        <w:tc>
          <w:tcPr>
            <w:tcW w:type="dxa" w:w="3120"/>
          </w:tcPr>
          <w:p>
            <w:r>
              <w:rPr>
                <w:b/>
              </w:rPr>
              <w:t>Model</w:t>
            </w:r>
          </w:p>
        </w:tc>
        <w:tc>
          <w:tcPr>
            <w:tcW w:type="dxa" w:w="3120"/>
          </w:tcPr>
          <w:p>
            <w:r>
              <w:rPr>
                <w:b/>
              </w:rPr>
              <w:t>Key Parameters</w:t>
            </w:r>
          </w:p>
        </w:tc>
        <w:tc>
          <w:tcPr>
            <w:tcW w:type="dxa" w:w="3120"/>
          </w:tcPr>
          <w:p>
            <w:r>
              <w:rPr>
                <w:b/>
              </w:rPr>
              <w:t>Selection Method</w:t>
            </w:r>
          </w:p>
        </w:tc>
      </w:tr>
      <w:tr>
        <w:tc>
          <w:tcPr>
            <w:tcW w:type="dxa" w:w="3120"/>
          </w:tcPr>
          <w:p>
            <w:r>
              <w:t>Exp. Smoothing</w:t>
            </w:r>
          </w:p>
        </w:tc>
        <w:tc>
          <w:tcPr>
            <w:tcW w:type="dxa" w:w="3120"/>
          </w:tcPr>
          <w:p>
            <w:r>
              <w:t>trend='add', seasonal=None</w:t>
            </w:r>
          </w:p>
        </w:tc>
        <w:tc>
          <w:tcPr>
            <w:tcW w:type="dxa" w:w="3120"/>
          </w:tcPr>
          <w:p>
            <w:r>
              <w:t>AIC comparison across configurations</w:t>
            </w:r>
          </w:p>
        </w:tc>
      </w:tr>
      <w:tr>
        <w:tc>
          <w:tcPr>
            <w:tcW w:type="dxa" w:w="3120"/>
          </w:tcPr>
          <w:p>
            <w:r>
              <w:t>Prophet</w:t>
            </w:r>
          </w:p>
        </w:tc>
        <w:tc>
          <w:tcPr>
            <w:tcW w:type="dxa" w:w="3120"/>
          </w:tcPr>
          <w:p>
            <w:r>
              <w:t>changepoint_prior=0.05, seasonality='additive'</w:t>
            </w:r>
          </w:p>
        </w:tc>
        <w:tc>
          <w:tcPr>
            <w:tcW w:type="dxa" w:w="3120"/>
          </w:tcPr>
          <w:p>
            <w:r>
              <w:t>Prophet defaults for small datasets</w:t>
            </w:r>
          </w:p>
        </w:tc>
      </w:tr>
      <w:tr>
        <w:tc>
          <w:tcPr>
            <w:tcW w:type="dxa" w:w="3120"/>
          </w:tcPr>
          <w:p>
            <w:r>
              <w:t>SARIMAX</w:t>
            </w:r>
          </w:p>
        </w:tc>
        <w:tc>
          <w:tcPr>
            <w:tcW w:type="dxa" w:w="3120"/>
          </w:tcPr>
          <w:p>
            <w:r>
              <w:t>(p=0, d=0, q=2) + 3 exog vars</w:t>
            </w:r>
          </w:p>
        </w:tc>
        <w:tc>
          <w:tcPr>
            <w:tcW w:type="dxa" w:w="3120"/>
          </w:tcPr>
          <w:p>
            <w:r>
              <w:t>Grid search with AIC minimization</w:t>
            </w:r>
          </w:p>
        </w:tc>
      </w:tr>
      <w:tr>
        <w:tc>
          <w:tcPr>
            <w:tcW w:type="dxa" w:w="3120"/>
          </w:tcPr>
          <w:p>
            <w:r>
              <w:t>XGBoost</w:t>
            </w:r>
          </w:p>
        </w:tc>
        <w:tc>
          <w:tcPr>
            <w:tcW w:type="dxa" w:w="3120"/>
          </w:tcPr>
          <w:p>
            <w:r>
              <w:t>n_estimators=100, max_depth=3, lr=0.1</w:t>
            </w:r>
          </w:p>
        </w:tc>
        <w:tc>
          <w:tcPr>
            <w:tcW w:type="dxa" w:w="3120"/>
          </w:tcPr>
          <w:p>
            <w:r>
              <w:t>Standard configuration for tabular data</w:t>
            </w:r>
          </w:p>
        </w:tc>
      </w:tr>
    </w:tbl>
    <w:p/>
    <w:p>
      <w:pPr>
        <w:pStyle w:val="Heading2"/>
      </w:pPr>
      <w:r>
        <w:t>C. Detailed Test Set Predictions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Month</w:t>
            </w:r>
          </w:p>
        </w:tc>
        <w:tc>
          <w:tcPr>
            <w:tcW w:type="dxa" w:w="1560"/>
          </w:tcPr>
          <w:p>
            <w:r>
              <w:rPr>
                <w:b/>
              </w:rPr>
              <w:t>Actual</w:t>
            </w:r>
          </w:p>
        </w:tc>
        <w:tc>
          <w:tcPr>
            <w:tcW w:type="dxa" w:w="1560"/>
          </w:tcPr>
          <w:p>
            <w:r>
              <w:rPr>
                <w:b/>
              </w:rPr>
              <w:t>XGBoost</w:t>
            </w:r>
          </w:p>
        </w:tc>
        <w:tc>
          <w:tcPr>
            <w:tcW w:type="dxa" w:w="1560"/>
          </w:tcPr>
          <w:p>
            <w:r>
              <w:rPr>
                <w:b/>
              </w:rPr>
              <w:t>SARIMAX</w:t>
            </w:r>
          </w:p>
        </w:tc>
        <w:tc>
          <w:tcPr>
            <w:tcW w:type="dxa" w:w="1560"/>
          </w:tcPr>
          <w:p>
            <w:r>
              <w:rPr>
                <w:b/>
              </w:rPr>
              <w:t>Prophet</w:t>
            </w:r>
          </w:p>
        </w:tc>
        <w:tc>
          <w:tcPr>
            <w:tcW w:type="dxa" w:w="1560"/>
          </w:tcPr>
          <w:p>
            <w:r>
              <w:rPr>
                <w:b/>
              </w:rPr>
              <w:t>Exp. Smooth</w:t>
            </w:r>
          </w:p>
        </w:tc>
      </w:tr>
      <w:tr>
        <w:tc>
          <w:tcPr>
            <w:tcW w:type="dxa" w:w="1560"/>
          </w:tcPr>
          <w:p>
            <w:r>
              <w:t>2024-10</w:t>
            </w:r>
          </w:p>
        </w:tc>
        <w:tc>
          <w:tcPr>
            <w:tcW w:type="dxa" w:w="1560"/>
          </w:tcPr>
          <w:p>
            <w:r>
              <w:t>85.4%</w:t>
            </w:r>
          </w:p>
        </w:tc>
        <w:tc>
          <w:tcPr>
            <w:tcW w:type="dxa" w:w="1560"/>
          </w:tcPr>
          <w:p>
            <w:r>
              <w:t>86.0%</w:t>
            </w:r>
          </w:p>
        </w:tc>
        <w:tc>
          <w:tcPr>
            <w:tcW w:type="dxa" w:w="1560"/>
          </w:tcPr>
          <w:p>
            <w:r>
              <w:t>88.9%</w:t>
            </w:r>
          </w:p>
        </w:tc>
        <w:tc>
          <w:tcPr>
            <w:tcW w:type="dxa" w:w="1560"/>
          </w:tcPr>
          <w:p>
            <w:r>
              <w:t>89.3%</w:t>
            </w:r>
          </w:p>
        </w:tc>
        <w:tc>
          <w:tcPr>
            <w:tcW w:type="dxa" w:w="1560"/>
          </w:tcPr>
          <w:p>
            <w:r>
              <w:t>89.7%</w:t>
            </w:r>
          </w:p>
        </w:tc>
      </w:tr>
      <w:tr>
        <w:tc>
          <w:tcPr>
            <w:tcW w:type="dxa" w:w="1560"/>
          </w:tcPr>
          <w:p>
            <w:r>
              <w:t>2024-11</w:t>
            </w:r>
          </w:p>
        </w:tc>
        <w:tc>
          <w:tcPr>
            <w:tcW w:type="dxa" w:w="1560"/>
          </w:tcPr>
          <w:p>
            <w:r>
              <w:t>86.3%</w:t>
            </w:r>
          </w:p>
        </w:tc>
        <w:tc>
          <w:tcPr>
            <w:tcW w:type="dxa" w:w="1560"/>
          </w:tcPr>
          <w:p>
            <w:r>
              <w:t>87.6%</w:t>
            </w:r>
          </w:p>
        </w:tc>
        <w:tc>
          <w:tcPr>
            <w:tcW w:type="dxa" w:w="1560"/>
          </w:tcPr>
          <w:p>
            <w:r>
              <w:t>88.0%</w:t>
            </w:r>
          </w:p>
        </w:tc>
        <w:tc>
          <w:tcPr>
            <w:tcW w:type="dxa" w:w="1560"/>
          </w:tcPr>
          <w:p>
            <w:r>
              <w:t>88.6%</w:t>
            </w:r>
          </w:p>
        </w:tc>
        <w:tc>
          <w:tcPr>
            <w:tcW w:type="dxa" w:w="1560"/>
          </w:tcPr>
          <w:p>
            <w:r>
              <w:t>90.0%</w:t>
            </w:r>
          </w:p>
        </w:tc>
      </w:tr>
      <w:tr>
        <w:tc>
          <w:tcPr>
            <w:tcW w:type="dxa" w:w="1560"/>
          </w:tcPr>
          <w:p>
            <w:r>
              <w:t>2024-12</w:t>
            </w:r>
          </w:p>
        </w:tc>
        <w:tc>
          <w:tcPr>
            <w:tcW w:type="dxa" w:w="1560"/>
          </w:tcPr>
          <w:p>
            <w:r>
              <w:t>90.6%</w:t>
            </w:r>
          </w:p>
        </w:tc>
        <w:tc>
          <w:tcPr>
            <w:tcW w:type="dxa" w:w="1560"/>
          </w:tcPr>
          <w:p>
            <w:r>
              <w:t>89.8%</w:t>
            </w:r>
          </w:p>
        </w:tc>
        <w:tc>
          <w:tcPr>
            <w:tcW w:type="dxa" w:w="1560"/>
          </w:tcPr>
          <w:p>
            <w:r>
              <w:t>84.7%</w:t>
            </w:r>
          </w:p>
        </w:tc>
        <w:tc>
          <w:tcPr>
            <w:tcW w:type="dxa" w:w="1560"/>
          </w:tcPr>
          <w:p>
            <w:r>
              <w:t>85.1%</w:t>
            </w:r>
          </w:p>
        </w:tc>
        <w:tc>
          <w:tcPr>
            <w:tcW w:type="dxa" w:w="1560"/>
          </w:tcPr>
          <w:p>
            <w:r>
              <w:t>90.3%</w:t>
            </w:r>
          </w:p>
        </w:tc>
      </w:tr>
      <w:tr>
        <w:tc>
          <w:tcPr>
            <w:tcW w:type="dxa" w:w="1560"/>
          </w:tcPr>
          <w:p>
            <w:r>
              <w:t>2025-01</w:t>
            </w:r>
          </w:p>
        </w:tc>
        <w:tc>
          <w:tcPr>
            <w:tcW w:type="dxa" w:w="1560"/>
          </w:tcPr>
          <w:p>
            <w:r>
              <w:t>76.9%</w:t>
            </w:r>
          </w:p>
        </w:tc>
        <w:tc>
          <w:tcPr>
            <w:tcW w:type="dxa" w:w="1560"/>
          </w:tcPr>
          <w:p>
            <w:r>
              <w:t>87.1%</w:t>
            </w:r>
          </w:p>
        </w:tc>
        <w:tc>
          <w:tcPr>
            <w:tcW w:type="dxa" w:w="1560"/>
          </w:tcPr>
          <w:p>
            <w:r>
              <w:t>67.7%</w:t>
            </w:r>
          </w:p>
        </w:tc>
        <w:tc>
          <w:tcPr>
            <w:tcW w:type="dxa" w:w="1560"/>
          </w:tcPr>
          <w:p>
            <w:r>
              <w:t>66.4%</w:t>
            </w:r>
          </w:p>
        </w:tc>
        <w:tc>
          <w:tcPr>
            <w:tcW w:type="dxa" w:w="1560"/>
          </w:tcPr>
          <w:p>
            <w:r>
              <w:t>90.5%</w:t>
            </w:r>
          </w:p>
        </w:tc>
      </w:tr>
    </w:tbl>
    <w:p/>
    <w:p>
      <w:pPr>
        <w:pStyle w:val="Heading2"/>
      </w:pPr>
      <w:r>
        <w:t>D. XGBoost Feature Engineering Details</w:t>
      </w:r>
    </w:p>
    <w:p>
      <w:pPr>
        <w:jc w:val="center"/>
      </w:pPr>
      <w:r>
        <w:drawing>
          <wp:inline xmlns:a="http://schemas.openxmlformats.org/drawingml/2006/main" xmlns:pic="http://schemas.openxmlformats.org/drawingml/2006/picture">
            <wp:extent cx="5029200" cy="1057"/>
            <wp:docPr id="6" name="Picture 6"/>
            <wp:cNvGraphicFramePr>
              <a:graphicFrameLocks noChangeAspect="1"/>
            </wp:cNvGraphicFramePr>
            <a:graphic>
              <a:graphicData uri="http://schemas.openxmlformats.org/drawingml/2006/picture">
                <pic:pic>
                  <pic:nvPicPr>
                    <pic:cNvPr id="0" name="06_xgb_importance_gain.png"/>
                    <pic:cNvPicPr/>
                  </pic:nvPicPr>
                  <pic:blipFill>
                    <a:blip r:embed="rId14"/>
                    <a:stretch>
                      <a:fillRect/>
                    </a:stretch>
                  </pic:blipFill>
                  <pic:spPr>
                    <a:xfrm>
                      <a:off x="0" y="0"/>
                      <a:ext cx="5029200" cy="1057"/>
                    </a:xfrm>
                    <a:prstGeom prst="rect"/>
                  </pic:spPr>
                </pic:pic>
              </a:graphicData>
            </a:graphic>
          </wp:inline>
        </w:drawing>
      </w:r>
    </w:p>
    <w:p>
      <w:pPr>
        <w:spacing w:before="120" w:after="240"/>
        <w:jc w:val="center"/>
      </w:pPr>
      <w:r>
        <w:rPr>
          <w:i/>
          <w:sz w:val="20"/>
        </w:rPr>
        <w:t>Figure 6: XGBoost Feature Importance by Gain</w:t>
      </w:r>
    </w:p>
    <w:p>
      <w:r>
        <w:t>Engineered features for XGBoost model:</w:t>
      </w:r>
    </w:p>
    <w:p>
      <w:pPr>
        <w:pStyle w:val="ListBullet"/>
        <w:ind w:left="360"/>
      </w:pPr>
      <w:r>
        <w:t>lag_1, lag_2, lag_3: Adherence values from 1, 2, and 3 months prior</w:t>
      </w:r>
    </w:p>
    <w:p>
      <w:pPr>
        <w:pStyle w:val="ListBullet"/>
        <w:ind w:left="360"/>
      </w:pPr>
      <w:r>
        <w:t>rolling_mean_3: 3-month rolling average of adherence (lagged by 1 month)</w:t>
      </w:r>
    </w:p>
    <w:p>
      <w:pPr>
        <w:pStyle w:val="ListBullet"/>
        <w:ind w:left="360"/>
      </w:pPr>
      <w:r>
        <w:t>rolling_std_3: 3-month rolling standard deviation (lagged by 1 month)</w:t>
      </w:r>
    </w:p>
    <w:p>
      <w:pPr>
        <w:pStyle w:val="ListBullet"/>
        <w:ind w:left="360"/>
      </w:pPr>
      <w:r>
        <w:t>month: Calendar month (1-12) for capturing seasonal patterns</w:t>
      </w:r>
    </w:p>
    <w:p>
      <w:pPr>
        <w:pStyle w:val="ListBullet"/>
        <w:ind w:left="360"/>
      </w:pPr>
      <w:r>
        <w:t>quarter: Calendar quarter (1-4) for quarterly trends</w:t>
      </w:r>
    </w:p>
    <w:p>
      <w:pPr>
        <w:pStyle w:val="ListBullet"/>
        <w:ind w:left="360"/>
      </w:pPr>
      <w:r>
        <w:t>total_rx, status_coverage, unique_patients: Original operational metrics</w:t>
      </w:r>
    </w:p>
    <w:p/>
    <w:p>
      <w:pPr>
        <w:pStyle w:val="Heading2"/>
      </w:pPr>
      <w:r>
        <w:t>E. Model Limitations and Assumptions</w:t>
      </w:r>
    </w:p>
    <w:p>
      <w:pPr>
        <w:pStyle w:val="ListBullet"/>
        <w:ind w:left="360"/>
      </w:pPr>
      <w:r>
        <w:t>Limited historical data (24 months) prevents detection of longer-term seasonal patterns</w:t>
      </w:r>
    </w:p>
    <w:p>
      <w:pPr>
        <w:pStyle w:val="ListBullet"/>
        <w:ind w:left="360"/>
      </w:pPr>
      <w:r>
        <w:t>External shocks (e.g., policy changes, pandemics) not accounted for in historical patterns</w:t>
      </w:r>
    </w:p>
    <w:p>
      <w:pPr>
        <w:pStyle w:val="ListBullet"/>
        <w:ind w:left="360"/>
      </w:pPr>
      <w:r>
        <w:t>XGBoost assumes relationships learned from training data remain stable over time</w:t>
      </w:r>
    </w:p>
    <w:p>
      <w:pPr>
        <w:pStyle w:val="ListBullet"/>
        <w:ind w:left="360"/>
      </w:pPr>
      <w:r>
        <w:t>Confidence intervals may not capture all sources of uncertainty</w:t>
      </w:r>
    </w:p>
    <w:p>
      <w:pPr>
        <w:pStyle w:val="ListBullet"/>
        <w:ind w:left="360"/>
      </w:pPr>
      <w:r>
        <w:t>Models trained on aggregate monthly data may miss within-month variations</w:t>
      </w:r>
    </w:p>
    <w:p>
      <w:pPr>
        <w:pStyle w:val="ListBullet"/>
        <w:ind w:left="360"/>
      </w:pPr>
      <w:r>
        <w:t>Feature importance rankings may change as more data becomes available</w:t>
      </w:r>
    </w:p>
    <w:p/>
    <w:p>
      <w:pPr>
        <w:pStyle w:val="Heading2"/>
      </w:pPr>
      <w:r>
        <w:t>F. Future Work Recommendations</w:t>
      </w:r>
    </w:p>
    <w:p>
      <w:pPr>
        <w:pStyle w:val="ListBullet"/>
        <w:ind w:left="360"/>
      </w:pPr>
      <w:r>
        <w:t>Collect 36+ months of data to enable robust yearly seasonality modeling</w:t>
      </w:r>
    </w:p>
    <w:p>
      <w:pPr>
        <w:pStyle w:val="ListBullet"/>
        <w:ind w:left="360"/>
      </w:pPr>
      <w:r>
        <w:t>Investigate patient-level adherence patterns for more granular insights</w:t>
      </w:r>
    </w:p>
    <w:p>
      <w:pPr>
        <w:pStyle w:val="ListBullet"/>
        <w:ind w:left="360"/>
      </w:pPr>
      <w:r>
        <w:t>Incorporate external data: weather, holidays, economic indicators</w:t>
      </w:r>
    </w:p>
    <w:p>
      <w:pPr>
        <w:pStyle w:val="ListBullet"/>
        <w:ind w:left="360"/>
      </w:pPr>
      <w:r>
        <w:t>Develop ensemble models combining multiple forecasting approaches</w:t>
      </w:r>
    </w:p>
    <w:p>
      <w:pPr>
        <w:pStyle w:val="ListBullet"/>
        <w:ind w:left="360"/>
      </w:pPr>
      <w:r>
        <w:t>Implement real-time forecasting with automated retraining pipelines</w:t>
      </w:r>
    </w:p>
    <w:p>
      <w:pPr>
        <w:pStyle w:val="ListBullet"/>
        <w:ind w:left="360"/>
      </w:pPr>
      <w:r>
        <w:t>Explore deep learning methods (LSTM, Transformers) as data volume grows</w:t>
      </w:r>
    </w:p>
    <w:p>
      <w:pPr>
        <w:pStyle w:val="ListBullet"/>
        <w:ind w:left="360"/>
      </w:pPr>
      <w:r>
        <w:t>A/B test intervention strategies based on model forecasts</w:t>
      </w:r>
    </w:p>
    <w:p/>
    <w:p/>
    <w:p>
      <w:pPr>
        <w:jc w:val="center"/>
      </w:pPr>
      <w:r>
        <w:rPr>
          <w:i/>
        </w:rPr>
        <w:t>End of Report</w:t>
      </w:r>
    </w:p>
    <w:p>
      <w:pPr>
        <w:spacing w:before="120"/>
        <w:jc w:val="center"/>
      </w:pPr>
      <w:r>
        <w:rPr>
          <w:i/>
        </w:rPr>
        <w:t>Generated: November 13, 2025 at 12:46 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Forecasting Analysis: Drug Refill Adherence</dc:title>
  <dc:subject>Predictive Analytics Report</dc:subject>
  <dc:creator>Data Science Team</dc:creator>
  <cp:keywords/>
  <dc:description>generated by python-docx</dc:description>
  <cp:lastModifiedBy/>
  <cp:revision>1</cp:revision>
  <dcterms:created xsi:type="dcterms:W3CDTF">2025-11-13T12:46:23Z</dcterms:created>
  <dcterms:modified xsi:type="dcterms:W3CDTF">2013-12-23T23:15:00Z</dcterms:modified>
  <cp:category/>
</cp:coreProperties>
</file>