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лабораторная-работа-7"/>
    <w:p>
      <w:pPr>
        <w:pStyle w:val="Heading1"/>
      </w:pPr>
      <w:r>
        <w:t xml:space="preserve">Лабораторная работа №7</w:t>
      </w:r>
    </w:p>
    <w:bookmarkStart w:id="20" w:name="построение-прогноза-первая-часть"/>
    <w:p>
      <w:pPr>
        <w:pStyle w:val="Heading2"/>
      </w:pPr>
      <w:r>
        <w:t xml:space="preserve">«Построение прогноза» (первая часть)</w:t>
      </w:r>
    </w:p>
    <w:p>
      <w:pPr>
        <w:pStyle w:val="FirstParagraph"/>
      </w:pPr>
      <w:r>
        <w:rPr>
          <w:bCs/>
          <w:b/>
        </w:rPr>
        <w:t xml:space="preserve">Вариант:</w:t>
      </w:r>
      <w:r>
        <w:t xml:space="preserve"> </w:t>
      </w:r>
      <w:r>
        <w:t xml:space="preserve">6</w:t>
      </w:r>
      <w:r>
        <w:br/>
      </w:r>
      <w:r>
        <w:rPr>
          <w:bCs/>
          <w:b/>
        </w:rPr>
        <w:t xml:space="preserve">Экономический показатель:</w:t>
      </w:r>
      <w:r>
        <w:t xml:space="preserve"> </w:t>
      </w:r>
      <w:r>
        <w:t xml:space="preserve">Объём производства продукции, млн руб.</w:t>
      </w:r>
      <w:r>
        <w:br/>
      </w:r>
      <w:r>
        <w:rPr>
          <w:bCs/>
          <w:b/>
        </w:rPr>
        <w:t xml:space="preserve">Период наблюдений:</w:t>
      </w:r>
      <w:r>
        <w:t xml:space="preserve"> </w:t>
      </w:r>
      <w:r>
        <w:t xml:space="preserve">2010–2020 гг.</w: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Научиться моделировать экономические процессы и строить прогнозы уровня экономических показателей. Задача – проанализировать динамический ряд, вычислить его основные характеристики, определить уравнение тренда методом наименьших квадратов и построить прогноз на два года вперёд.</w:t>
      </w:r>
    </w:p>
    <w:bookmarkEnd w:id="21"/>
    <w:bookmarkStart w:id="22" w:name="теоретические-сведения"/>
    <w:p>
      <w:pPr>
        <w:pStyle w:val="Heading2"/>
      </w:pPr>
      <w:r>
        <w:t xml:space="preserve">Теоретические сведения</w:t>
      </w:r>
    </w:p>
    <w:p>
      <w:pPr>
        <w:pStyle w:val="FirstParagraph"/>
      </w:pPr>
      <w:r>
        <w:t xml:space="preserve">Для анализа временного ряда используются следующие показатели: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Средний уровень ряда:</w:t>
      </w:r>
      <w:r>
        <w:t xml:space="preserve"> </w:t>
      </w:r>
      <w:r>
        <w:t xml:space="preserve">определяется как простое среднее арифметическое: (ar{y} = (1/n)</w:t>
      </w:r>
      <w:r>
        <w:t xml:space="preserve"> </w:t>
      </w:r>
      <w:r>
        <w:t xml:space="preserve">y_i).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Абсолютные приросты:</w:t>
      </w:r>
      <w:r>
        <w:t xml:space="preserve"> </w:t>
      </w:r>
      <w:r>
        <w:t xml:space="preserve">базисный (</w:t>
      </w:r>
      <w:r>
        <w:t xml:space="preserve">_i^{ ext{б}} = y_i - y_1) и цепной (</w:t>
      </w:r>
      <w:r>
        <w:rPr>
          <w:iCs/>
          <w:i/>
        </w:rPr>
        <w:t xml:space="preserve">i^{ ext{ц}} = y_i - y</w:t>
      </w:r>
      <w:r>
        <w:t xml:space="preserve">{i-1}).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Темпы роста:</w:t>
      </w:r>
      <w:r>
        <w:t xml:space="preserve"> </w:t>
      </w:r>
      <w:r>
        <w:t xml:space="preserve">базисный (T_i^{ ext{б}} = (y_i / y_1)</w:t>
      </w:r>
      <w:r>
        <w:t xml:space="preserve"> </w:t>
      </w:r>
      <w:r>
        <w:t xml:space="preserve">%) и цепной (T_i^{ ext{ц}} = (y_i / y_{i-1})</w:t>
      </w:r>
      <w:r>
        <w:t xml:space="preserve"> </w:t>
      </w:r>
      <w:r>
        <w:t xml:space="preserve">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Темпы прироста:</w:t>
      </w:r>
      <w:r>
        <w:t xml:space="preserve"> </w:t>
      </w:r>
      <w:r>
        <w:t xml:space="preserve">базисный (t_i^{ ext{б}} = ((y_i - y_1)/y_1)</w:t>
      </w:r>
      <w:r>
        <w:t xml:space="preserve"> </w:t>
      </w:r>
      <w:r>
        <w:t xml:space="preserve">%) и цепной (t_i^{ ext{ц}} = ((y_i - y_{i-1})/y_{i-1})</w:t>
      </w:r>
      <w:r>
        <w:t xml:space="preserve"> </w:t>
      </w:r>
      <w:r>
        <w:t xml:space="preserve">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Средний абсолютный прирост:</w:t>
      </w:r>
      <w:r>
        <w:t xml:space="preserve"> </w:t>
      </w:r>
      <w:r>
        <w:t xml:space="preserve">(</w:t>
      </w:r>
      <w:r>
        <w:t xml:space="preserve"> </w:t>
      </w:r>
      <w:r>
        <w:t xml:space="preserve">= (y_n - y_1)/(n-1)).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Средний темп роста:</w:t>
      </w:r>
      <w:r>
        <w:t xml:space="preserve"> </w:t>
      </w:r>
      <w:r>
        <w:t xml:space="preserve">геометрическое среднее цепных темпов: (</w:t>
      </w:r>
      <w:r>
        <w:t xml:space="preserve"> </w:t>
      </w:r>
      <w:r>
        <w:t xml:space="preserve">= igl(</w:t>
      </w:r>
      <w:r>
        <w:rPr>
          <w:iCs/>
          <w:i/>
        </w:rPr>
        <w:t xml:space="preserve">{i=2}^n (y_i/y</w:t>
      </w:r>
      <w:r>
        <w:t xml:space="preserve">{i-1})igr)^{1/(n-1)}</w:t>
      </w:r>
      <w:r>
        <w:t xml:space="preserve"> </w:t>
      </w:r>
      <w:r>
        <w:t xml:space="preserve">%). Средний темп прироста 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- 100%).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Линейная модель тренда:</w:t>
      </w:r>
      <w:r>
        <w:t xml:space="preserve"> </w:t>
      </w:r>
      <w:r>
        <w:t xml:space="preserve">(</w:t>
      </w:r>
      <w:r>
        <w:t xml:space="preserve">_i = a_1 + a_2 x_i), где (x_i) – порядковый номер года ((x_1 = 1) для 2010 г. и т.д.). Коэффициенты тренда определяются методом наименьших квадратов:</w:t>
      </w:r>
    </w:p>
    <w:p>
      <w:pPr>
        <w:numPr>
          <w:ilvl w:val="1"/>
          <w:numId w:val="1002"/>
        </w:numPr>
        <w:pStyle w:val="Compact"/>
      </w:pPr>
      <w:r>
        <w:t xml:space="preserve">наклон: (a_2 = rac{n</w:t>
      </w:r>
      <w:r>
        <w:t xml:space="preserve">x_i y_i - (</w:t>
      </w:r>
      <w:r>
        <w:t xml:space="preserve">x_i)(</w:t>
      </w:r>
      <w:r>
        <w:t xml:space="preserve">y_i)}{n</w:t>
      </w:r>
      <w:r>
        <w:t xml:space="preserve">x_i^2 - (</w:t>
      </w:r>
      <w:r>
        <w:t xml:space="preserve">x_i)^2});</w:t>
      </w:r>
    </w:p>
    <w:p>
      <w:pPr>
        <w:numPr>
          <w:ilvl w:val="1"/>
          <w:numId w:val="1002"/>
        </w:numPr>
        <w:pStyle w:val="Compact"/>
      </w:pPr>
      <w:r>
        <w:t xml:space="preserve">свободный член: (a_1 = rac{</w:t>
      </w:r>
      <w:r>
        <w:t xml:space="preserve">y_i - a_2</w:t>
      </w:r>
      <w:r>
        <w:t xml:space="preserve"> </w:t>
      </w:r>
      <w:r>
        <w:t xml:space="preserve">x_i}{n}).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Стандартная ошибка отклонений</w:t>
      </w:r>
      <w:r>
        <w:t xml:space="preserve"> </w:t>
      </w:r>
      <w:r>
        <w:t xml:space="preserve">оценивается как (</w:t>
      </w:r>
      <w:r>
        <w:t xml:space="preserve">=</w:t>
      </w:r>
      <w:r>
        <w:t xml:space="preserve"> 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Прогноз по тренду:</w:t>
      </w:r>
      <w:r>
        <w:t xml:space="preserve"> </w:t>
      </w:r>
      <w:r>
        <w:t xml:space="preserve">(</w:t>
      </w:r>
      <w:r>
        <w:rPr>
          <w:iCs/>
          <w:i/>
        </w:rPr>
        <w:t xml:space="preserve">{n+k} = a_1 + a_2 (n + k)), интервал прогнозных значений – (</w:t>
      </w:r>
      <w:r>
        <w:t xml:space="preserve">{n+k}</w:t>
      </w:r>
      <w:r>
        <w:t xml:space="preserve"> 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Колеблемость:</w:t>
      </w:r>
      <w:r>
        <w:t xml:space="preserve"> </w:t>
      </w:r>
      <w:r>
        <w:t xml:space="preserve">размах (R = y_{</w:t>
      </w:r>
      <w:r>
        <w:t xml:space="preserve">} - y_{</w:t>
      </w:r>
      <w:r>
        <w:t xml:space="preserve">}), коэффициент амплитуды (R/ar{y}), коэффициент вариации (CV = s/ar{y} imes 100%), где (s) – стандартное отклонение уровней.</w:t>
      </w:r>
    </w:p>
    <w:bookmarkEnd w:id="22"/>
    <w:bookmarkStart w:id="36" w:name="ход-выполнения"/>
    <w:p>
      <w:pPr>
        <w:pStyle w:val="Heading2"/>
      </w:pPr>
      <w:r>
        <w:t xml:space="preserve">Ход выполнения</w:t>
      </w:r>
    </w:p>
    <w:bookmarkStart w:id="23" w:name="средний-уровень-ряда"/>
    <w:p>
      <w:pPr>
        <w:pStyle w:val="Heading3"/>
      </w:pPr>
      <w:r>
        <w:t xml:space="preserve">1. Средний уровень ряда</w:t>
      </w:r>
    </w:p>
    <w:p>
      <w:pPr>
        <w:pStyle w:val="FirstParagraph"/>
      </w:pPr>
      <w:r>
        <w:t xml:space="preserve">Средний уровень за период 2010–2020 гг. равен (ar{y} = 18,189{,}82) млн руб.</w:t>
      </w:r>
    </w:p>
    <w:bookmarkEnd w:id="23"/>
    <w:bookmarkStart w:id="24" w:name="характеристики-динамического-ряда"/>
    <w:p>
      <w:pPr>
        <w:pStyle w:val="Heading3"/>
      </w:pPr>
      <w:r>
        <w:t xml:space="preserve">2. Характеристики динамического ряда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(y_i), млн 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_i^{ ext{б}}), млн 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_i^{ ext{ц}}), млн 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(T_i^{ ext{б}}), 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(T_i^{ ext{ц}}), 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(t_i^{ ext{б}}), 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(t_i^{ ext{ц}}), 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_i), млн руб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(arepsilon_i)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100,00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18 759,91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–42,91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18 645,89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18 531,87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18 417,85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18 303,84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18 189,82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18 075,80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–85,80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17 961,78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17 847,76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–1 098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17 733,75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–114,75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–1 047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17 619,73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50,27</w:t>
            </w:r>
          </w:p>
        </w:tc>
      </w:tr>
    </w:tbl>
    <w:bookmarkEnd w:id="24"/>
    <w:bookmarkStart w:id="25" w:name="средние-показатели"/>
    <w:p>
      <w:pPr>
        <w:pStyle w:val="Heading3"/>
      </w:pPr>
      <w:r>
        <w:t xml:space="preserve">3. Средние показатели</w:t>
      </w:r>
    </w:p>
    <w:p>
      <w:pPr>
        <w:numPr>
          <w:ilvl w:val="0"/>
          <w:numId w:val="1003"/>
        </w:numPr>
        <w:pStyle w:val="Compact"/>
      </w:pPr>
      <w:r>
        <w:t xml:space="preserve">Средний абсолютный прирост: (</w:t>
      </w:r>
      <w:r>
        <w:t xml:space="preserve"> </w:t>
      </w:r>
      <w:r>
        <w:t xml:space="preserve">= (y_{11} - y_1)/(n-1) = (17,670 - 18,717)/10 = -104{,}70) млн руб.</w:t>
      </w:r>
    </w:p>
    <w:p>
      <w:pPr>
        <w:numPr>
          <w:ilvl w:val="0"/>
          <w:numId w:val="1003"/>
        </w:numPr>
        <w:pStyle w:val="Compact"/>
      </w:pPr>
      <w:r>
        <w:t xml:space="preserve">Средний темп роста: (</w:t>
      </w:r>
      <w:r>
        <w:t xml:space="preserve"> </w:t>
      </w:r>
      <w:r>
        <w:t xml:space="preserve">= 99{,}43%).</w:t>
      </w:r>
    </w:p>
    <w:p>
      <w:pPr>
        <w:numPr>
          <w:ilvl w:val="0"/>
          <w:numId w:val="1003"/>
        </w:numPr>
        <w:pStyle w:val="Compact"/>
      </w:pPr>
      <w:r>
        <w:t xml:space="preserve">Средний темп прироста: (</w:t>
      </w:r>
      <w:r>
        <w:t xml:space="preserve"> </w:t>
      </w:r>
      <w:r>
        <w:t xml:space="preserve">= -0{,}57%).</w:t>
      </w:r>
    </w:p>
    <w:bookmarkEnd w:id="25"/>
    <w:bookmarkStart w:id="26" w:name="аналитическое-выравнивание"/>
    <w:p>
      <w:pPr>
        <w:pStyle w:val="Heading3"/>
      </w:pPr>
      <w:r>
        <w:t xml:space="preserve">4. Аналитическое выравнивание</w:t>
      </w:r>
    </w:p>
    <w:p>
      <w:pPr>
        <w:pStyle w:val="FirstParagraph"/>
      </w:pPr>
      <w:r>
        <w:t xml:space="preserve">Для определения параметров тренда подсчитаны вспомогательные суммы: (</w:t>
      </w:r>
      <w:r>
        <w:t xml:space="preserve">x_i = 66), (</w:t>
      </w:r>
      <w:r>
        <w:t xml:space="preserve">y_i = 200,088), (</w:t>
      </w:r>
      <w:r>
        <w:t xml:space="preserve">x_i^2 = 506), (</w:t>
      </w:r>
      <w:r>
        <w:t xml:space="preserve">x_i y_i = 1,187,986), (n = 11).</w:t>
      </w:r>
    </w:p>
    <w:p>
      <w:pPr>
        <w:pStyle w:val="BodyText"/>
      </w:pPr>
      <w:r>
        <w:t xml:space="preserve">Коэффициенты линейного тренда:</w:t>
      </w:r>
    </w:p>
    <w:p>
      <w:pPr>
        <w:numPr>
          <w:ilvl w:val="0"/>
          <w:numId w:val="1004"/>
        </w:numPr>
        <w:pStyle w:val="Compact"/>
      </w:pPr>
      <w:r>
        <w:t xml:space="preserve">Наклон: (a_2 = [11 imes 1,187,986 - 66 imes 200,088] / [11 imes 506 - 66^2] = -114{,}02).</w:t>
      </w:r>
    </w:p>
    <w:p>
      <w:pPr>
        <w:numPr>
          <w:ilvl w:val="0"/>
          <w:numId w:val="1004"/>
        </w:numPr>
        <w:pStyle w:val="Compact"/>
      </w:pPr>
      <w:r>
        <w:t xml:space="preserve">Свободный член: (a_1 = [200,088 - a_2</w:t>
      </w:r>
      <w:r>
        <w:t xml:space="preserve"> </w:t>
      </w:r>
      <w:r>
        <w:t xml:space="preserve">] / 11 = 18,873{,}93).</w:t>
      </w:r>
    </w:p>
    <w:p>
      <w:pPr>
        <w:pStyle w:val="FirstParagraph"/>
      </w:pPr>
      <w:r>
        <w:t xml:space="preserve">Уравнение тренда: (</w:t>
      </w:r>
      <w:r>
        <w:t xml:space="preserve"> </w:t>
      </w:r>
      <w:r>
        <w:t xml:space="preserve">= 18,873{,}93 - 114{,}02,x).</w:t>
      </w:r>
    </w:p>
    <w:bookmarkEnd w:id="26"/>
    <w:bookmarkStart w:id="27" w:name="оценка-точности-модели-и-прогноз"/>
    <w:p>
      <w:pPr>
        <w:pStyle w:val="Heading3"/>
      </w:pPr>
      <w:r>
        <w:t xml:space="preserve">5. Оценка точности модели и прогноз</w:t>
      </w:r>
    </w:p>
    <w:p>
      <w:pPr>
        <w:numPr>
          <w:ilvl w:val="0"/>
          <w:numId w:val="1005"/>
        </w:numPr>
        <w:pStyle w:val="Compact"/>
      </w:pPr>
      <w:r>
        <w:t xml:space="preserve">Стандартная ошибка отклонений: (</w:t>
      </w:r>
      <w:r>
        <w:t xml:space="preserve">= 66{,}12) млн руб.</w:t>
      </w:r>
    </w:p>
    <w:p>
      <w:pPr>
        <w:numPr>
          <w:ilvl w:val="0"/>
          <w:numId w:val="1005"/>
        </w:numPr>
        <w:pStyle w:val="Compact"/>
      </w:pPr>
      <w:r>
        <w:t xml:space="preserve">Прогноз на 2021 г. ((x = 12)): (</w:t>
      </w:r>
      <w:r>
        <w:t xml:space="preserve">_{2021} = 17,505{,}71) млн руб., интервал: 17,439{,}59 – 17,571{,}83 млн руб.</w:t>
      </w:r>
    </w:p>
    <w:p>
      <w:pPr>
        <w:numPr>
          <w:ilvl w:val="0"/>
          <w:numId w:val="1005"/>
        </w:numPr>
        <w:pStyle w:val="Compact"/>
      </w:pPr>
      <w:r>
        <w:t xml:space="preserve">Прогноз на 2022 г. ((x = 13)): (</w:t>
      </w:r>
      <w:r>
        <w:t xml:space="preserve">_{2022} = 17,391{,}69) млн руб., интервал: 17,325{,}57 – 17,457{,}81 млн руб.</w:t>
      </w:r>
    </w:p>
    <w:bookmarkEnd w:id="27"/>
    <w:bookmarkStart w:id="28" w:name="колеблемость-и-устойчивость"/>
    <w:p>
      <w:pPr>
        <w:pStyle w:val="Heading3"/>
      </w:pPr>
      <w:r>
        <w:t xml:space="preserve">6. Колеблемость и устойчивость</w:t>
      </w:r>
    </w:p>
    <w:p>
      <w:pPr>
        <w:numPr>
          <w:ilvl w:val="0"/>
          <w:numId w:val="1006"/>
        </w:numPr>
        <w:pStyle w:val="Compact"/>
      </w:pPr>
      <w:r>
        <w:t xml:space="preserve">Размах уровней: (R = y_{</w:t>
      </w:r>
      <w:r>
        <w:t xml:space="preserve">} - y_{</w:t>
      </w:r>
      <w:r>
        <w:t xml:space="preserve">} = 18,717 - 17,619 = 1,098) млн руб.</w:t>
      </w:r>
    </w:p>
    <w:p>
      <w:pPr>
        <w:numPr>
          <w:ilvl w:val="0"/>
          <w:numId w:val="1006"/>
        </w:numPr>
        <w:pStyle w:val="Compact"/>
      </w:pPr>
      <w:r>
        <w:t xml:space="preserve">Коэффициент амплитуды: (R/ar{y} = 1,098 / 18,189{,}82 = 6{,}04%).</w:t>
      </w:r>
    </w:p>
    <w:p>
      <w:pPr>
        <w:numPr>
          <w:ilvl w:val="0"/>
          <w:numId w:val="1006"/>
        </w:numPr>
        <w:pStyle w:val="Compact"/>
      </w:pPr>
      <w:r>
        <w:t xml:space="preserve">Коэффициент вариации: (CV = 2{,}02%).</w:t>
      </w:r>
    </w:p>
    <w:p>
      <w:pPr>
        <w:numPr>
          <w:ilvl w:val="0"/>
          <w:numId w:val="1006"/>
        </w:numPr>
        <w:pStyle w:val="Compact"/>
      </w:pPr>
      <w:r>
        <w:t xml:space="preserve">Средний темп роста меньше 100 % ((</w:t>
      </w:r>
      <w:r>
        <w:t xml:space="preserve"> </w:t>
      </w:r>
      <w:r>
        <w:t xml:space="preserve">= 99{,}43%)), то есть показатель в среднем снижается на 0,57 % в год. Отрицательный наклон тренда (a_2) подтверждает нисходящую тенденцию.</w:t>
      </w:r>
    </w:p>
    <w:bookmarkEnd w:id="28"/>
    <w:bookmarkStart w:id="35" w:name="построение-графиков"/>
    <w:p>
      <w:pPr>
        <w:pStyle w:val="Heading3"/>
      </w:pPr>
      <w:r>
        <w:t xml:space="preserve">7. Построение графиков</w:t>
      </w:r>
    </w:p>
    <w:p>
      <w:pPr>
        <w:pStyle w:val="FirstParagraph"/>
      </w:pPr>
      <w:r>
        <w:t xml:space="preserve">В MS Excel по исходным данным построены графики и диаграммы с линиями тренда: линейной, полиномиальной (степень 2) и экспоненциальной. Полиномиальная линия имеет наибольшее значение (R^2), что указывает на лучшую аппроксимацию. Аналитически найденная линейная модель практически совпадает с линейной линией тренда Excel.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Исходный и выровненный ряды" title="" id="30" name="Picture"/>
            <a:graphic>
              <a:graphicData uri="http://schemas.openxmlformats.org/drawingml/2006/picture">
                <pic:pic>
                  <pic:nvPicPr>
                    <pic:cNvPr descr="original_vs_tren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и выровненный ряды</w:t>
      </w:r>
    </w:p>
    <w:p>
      <w:pPr>
        <w:pStyle w:val="BodyText"/>
      </w:pPr>
      <w:r>
        <w:rPr>
          <w:iCs/>
          <w:i/>
        </w:rPr>
        <w:t xml:space="preserve">Рисунок 1 – Исходный и выровненный динамические ряды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очечная диаграмма с линиями тренда" title="" id="33" name="Picture"/>
            <a:graphic>
              <a:graphicData uri="http://schemas.openxmlformats.org/drawingml/2006/picture">
                <pic:pic>
                  <pic:nvPicPr>
                    <pic:cNvPr descr="scatter_trendlin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Точечная диаграмма с линиями тренда</w:t>
      </w:r>
    </w:p>
    <w:p>
      <w:pPr>
        <w:pStyle w:val="BodyText"/>
      </w:pPr>
      <w:r>
        <w:rPr>
          <w:iCs/>
          <w:i/>
        </w:rPr>
        <w:t xml:space="preserve">Рисунок 2 – Точечная диаграмма с линиями тренда</w:t>
      </w:r>
    </w:p>
    <w:bookmarkEnd w:id="35"/>
    <w:bookmarkEnd w:id="36"/>
    <w:bookmarkStart w:id="37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Проведён всесторонний анализ динамического ряда объёма производства продукции за 2010–2020 гг. Рассчитаны базисные и цепные показатели динамики, средний уровень, средний абсолютный прирост (–104,70 млн руб.), средний темп роста (99,43 %) и средний темп прироста (–0,57 %). Метод наименьших квадратов дал линейную модель тренда (</w:t>
      </w:r>
      <w:r>
        <w:t xml:space="preserve"> </w:t>
      </w:r>
      <w:r>
        <w:t xml:space="preserve">= 18,873{,}93 - 114{,}02,x). Отрицательный наклон показывает снижение показателя.</w:t>
      </w:r>
    </w:p>
    <w:p>
      <w:pPr>
        <w:pStyle w:val="BodyText"/>
      </w:pPr>
      <w:r>
        <w:t xml:space="preserve">По модели построены прогнозы: в 2021 г. ожидается (</w:t>
      </w:r>
      <w:r>
        <w:rPr>
          <w:iCs/>
          <w:i/>
        </w:rPr>
        <w:t xml:space="preserve">{2021} = 17,505{,}71) млн руб. (интервал 17,439{,}59…17,571{,}83), в 2022 г. – (</w:t>
      </w:r>
      <w:r>
        <w:t xml:space="preserve">{2022} = 17,391{,}69) млн руб. (интервал 17,325{,}57…17,457{,}81). Размах (1 098 млн руб.) и коэффициент вариации (2,02 %) свидетельствуют о небольшой колеблемости и высокой устойчивости ряда. Полиномиальная линия тренда имеет немного более высокий коэффициент детерминации (R^2) по сравнению с линейной и экспоненциальной, однако различия невелики.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2025-12-12T12:03:47Z</dcterms:created>
  <dcterms:modified xsi:type="dcterms:W3CDTF">2025-12-12T12:03:47Z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