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30176" w14:textId="77777777" w:rsidR="00503063" w:rsidRPr="00E33C04" w:rsidRDefault="00503063" w:rsidP="00503063">
      <w:pPr>
        <w:spacing w:line="240" w:lineRule="auto"/>
        <w:ind w:firstLine="0"/>
        <w:jc w:val="center"/>
        <w:rPr>
          <w:rFonts w:eastAsia="Times New Roman" w:cs="Times New Roman"/>
          <w:color w:val="000000"/>
          <w:szCs w:val="28"/>
        </w:rPr>
      </w:pPr>
      <w:bookmarkStart w:id="0" w:name="OLE_LINK2"/>
      <w:r w:rsidRPr="00E33C04">
        <w:rPr>
          <w:rFonts w:eastAsia="Times New Roman" w:cs="Times New Roman"/>
          <w:color w:val="000000"/>
          <w:szCs w:val="28"/>
        </w:rPr>
        <w:t>МИНИСТЕРСТВО НАУКИ И ВЫСШЕГО ОБРАЗОВАНИЯ РФ</w:t>
      </w:r>
    </w:p>
    <w:p w14:paraId="5F5BD05A" w14:textId="77777777" w:rsidR="00503063" w:rsidRPr="00E33C04" w:rsidRDefault="00503063" w:rsidP="00503063">
      <w:pPr>
        <w:spacing w:line="240" w:lineRule="auto"/>
        <w:ind w:firstLine="0"/>
        <w:jc w:val="center"/>
        <w:rPr>
          <w:rFonts w:eastAsia="Times New Roman" w:cs="Times New Roman"/>
          <w:color w:val="000000"/>
          <w:szCs w:val="28"/>
        </w:rPr>
      </w:pPr>
      <w:r w:rsidRPr="00E33C04">
        <w:rPr>
          <w:rFonts w:eastAsia="Times New Roman" w:cs="Times New Roman"/>
          <w:color w:val="000000"/>
          <w:szCs w:val="28"/>
        </w:rPr>
        <w:t>федеральное государственное автономное образовательное учреждение высшего образования</w:t>
      </w:r>
    </w:p>
    <w:p w14:paraId="6054E748" w14:textId="77777777" w:rsidR="00503063" w:rsidRPr="00E33C04" w:rsidRDefault="00503063" w:rsidP="00503063">
      <w:pPr>
        <w:spacing w:line="240" w:lineRule="auto"/>
        <w:ind w:firstLine="0"/>
        <w:jc w:val="center"/>
        <w:rPr>
          <w:rFonts w:eastAsia="Times New Roman" w:cs="Times New Roman"/>
          <w:color w:val="000000"/>
          <w:szCs w:val="28"/>
        </w:rPr>
      </w:pPr>
      <w:r w:rsidRPr="00E33C04">
        <w:rPr>
          <w:rFonts w:eastAsia="Times New Roman" w:cs="Times New Roman"/>
          <w:color w:val="000000"/>
          <w:szCs w:val="28"/>
        </w:rPr>
        <w:t>«Санкт–Петербургский государственный университет</w:t>
      </w:r>
      <w:r w:rsidRPr="00E33C04">
        <w:rPr>
          <w:rFonts w:eastAsia="Times New Roman" w:cs="Times New Roman"/>
          <w:color w:val="000000"/>
          <w:szCs w:val="28"/>
        </w:rPr>
        <w:br/>
        <w:t>аэрокосмического приборостроения»</w:t>
      </w:r>
    </w:p>
    <w:p w14:paraId="3439A626" w14:textId="77777777" w:rsidR="00503063" w:rsidRPr="00E33C04" w:rsidRDefault="00503063" w:rsidP="00503063">
      <w:pPr>
        <w:spacing w:line="240" w:lineRule="auto"/>
        <w:ind w:firstLine="0"/>
        <w:jc w:val="center"/>
        <w:rPr>
          <w:rFonts w:eastAsia="Times New Roman" w:cs="Times New Roman"/>
          <w:color w:val="000000"/>
          <w:szCs w:val="28"/>
        </w:rPr>
      </w:pPr>
      <w:r w:rsidRPr="00E33C04">
        <w:rPr>
          <w:rFonts w:eastAsia="Times New Roman" w:cs="Times New Roman"/>
          <w:color w:val="000000"/>
          <w:szCs w:val="28"/>
        </w:rPr>
        <w:t>ФАКУЛЬТЕТ СРЕДНЕГО ПРОФЕССИОНАЛЬНОГО ОБРАЗОВАНИЯ</w:t>
      </w:r>
    </w:p>
    <w:p w14:paraId="22A7D659" w14:textId="77777777" w:rsidR="00503063" w:rsidRPr="00E33C04" w:rsidRDefault="00503063" w:rsidP="00503063">
      <w:pPr>
        <w:spacing w:line="240" w:lineRule="auto"/>
        <w:ind w:firstLine="0"/>
        <w:jc w:val="center"/>
        <w:rPr>
          <w:rFonts w:eastAsia="Times New Roman" w:cs="Times New Roman"/>
          <w:color w:val="000000"/>
          <w:szCs w:val="28"/>
        </w:rPr>
      </w:pPr>
    </w:p>
    <w:p w14:paraId="1BD6E64E" w14:textId="77777777" w:rsidR="00503063" w:rsidRPr="00E33C04" w:rsidRDefault="00503063" w:rsidP="00503063">
      <w:pPr>
        <w:spacing w:line="240" w:lineRule="auto"/>
        <w:ind w:firstLine="0"/>
        <w:jc w:val="center"/>
        <w:rPr>
          <w:rFonts w:eastAsia="Times New Roman" w:cs="Times New Roman"/>
          <w:color w:val="000000"/>
          <w:szCs w:val="28"/>
        </w:rPr>
      </w:pPr>
    </w:p>
    <w:p w14:paraId="1E4E0D3D" w14:textId="77777777" w:rsidR="00503063" w:rsidRPr="00E33C04" w:rsidRDefault="00503063" w:rsidP="00503063">
      <w:pPr>
        <w:spacing w:line="240" w:lineRule="auto"/>
        <w:ind w:firstLine="0"/>
        <w:jc w:val="center"/>
        <w:rPr>
          <w:rFonts w:eastAsia="Times New Roman" w:cs="Times New Roman"/>
          <w:color w:val="000000"/>
          <w:szCs w:val="28"/>
        </w:rPr>
      </w:pPr>
    </w:p>
    <w:tbl>
      <w:tblPr>
        <w:tblW w:w="964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1"/>
        <w:gridCol w:w="283"/>
        <w:gridCol w:w="2833"/>
        <w:gridCol w:w="236"/>
        <w:gridCol w:w="3031"/>
      </w:tblGrid>
      <w:tr w:rsidR="00503063" w:rsidRPr="00E33C04" w14:paraId="15EF3D51" w14:textId="77777777" w:rsidTr="00095913">
        <w:tc>
          <w:tcPr>
            <w:tcW w:w="3261" w:type="dxa"/>
            <w:tcBorders>
              <w:top w:val="nil"/>
              <w:left w:val="nil"/>
              <w:bottom w:val="single" w:sz="4" w:space="0" w:color="auto"/>
              <w:right w:val="nil"/>
            </w:tcBorders>
            <w:vAlign w:val="center"/>
          </w:tcPr>
          <w:p w14:paraId="335E9AE7"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p w14:paraId="4F695D2B"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roofErr w:type="spellStart"/>
            <w:r w:rsidRPr="00E33C04">
              <w:rPr>
                <w:rFonts w:eastAsia="Times New Roman" w:cs="Times New Roman"/>
                <w:color w:val="000000"/>
                <w:kern w:val="2"/>
                <w:szCs w:val="28"/>
                <w:lang w:val="en-US" w:eastAsia="en-US"/>
                <w14:ligatures w14:val="standardContextual"/>
              </w:rPr>
              <w:t>преподаватель</w:t>
            </w:r>
            <w:proofErr w:type="spellEnd"/>
          </w:p>
        </w:tc>
        <w:tc>
          <w:tcPr>
            <w:tcW w:w="283" w:type="dxa"/>
            <w:tcBorders>
              <w:top w:val="nil"/>
              <w:left w:val="nil"/>
              <w:bottom w:val="nil"/>
              <w:right w:val="nil"/>
            </w:tcBorders>
            <w:vAlign w:val="center"/>
          </w:tcPr>
          <w:p w14:paraId="18281EE1"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2833" w:type="dxa"/>
            <w:tcBorders>
              <w:top w:val="nil"/>
              <w:left w:val="nil"/>
              <w:bottom w:val="single" w:sz="4" w:space="0" w:color="auto"/>
              <w:right w:val="nil"/>
            </w:tcBorders>
            <w:vAlign w:val="center"/>
          </w:tcPr>
          <w:p w14:paraId="56355290"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p w14:paraId="56AD3A53"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236" w:type="dxa"/>
            <w:tcBorders>
              <w:top w:val="nil"/>
              <w:left w:val="nil"/>
              <w:bottom w:val="nil"/>
              <w:right w:val="nil"/>
            </w:tcBorders>
            <w:vAlign w:val="center"/>
          </w:tcPr>
          <w:p w14:paraId="4EA35E17"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3026" w:type="dxa"/>
            <w:tcBorders>
              <w:top w:val="nil"/>
              <w:left w:val="nil"/>
              <w:bottom w:val="single" w:sz="4" w:space="0" w:color="auto"/>
              <w:right w:val="nil"/>
            </w:tcBorders>
            <w:vAlign w:val="center"/>
          </w:tcPr>
          <w:p w14:paraId="6C5D6D52"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p w14:paraId="5737E23E" w14:textId="7C8D08B0" w:rsidR="00503063" w:rsidRPr="00811A5F" w:rsidRDefault="00811A5F" w:rsidP="00095913">
            <w:pPr>
              <w:spacing w:line="276" w:lineRule="auto"/>
              <w:ind w:firstLine="0"/>
              <w:jc w:val="center"/>
              <w:rPr>
                <w:rFonts w:eastAsia="Times New Roman" w:cs="Times New Roman"/>
                <w:color w:val="000000"/>
                <w:kern w:val="2"/>
                <w:szCs w:val="28"/>
                <w:lang w:val="ru-RU" w:eastAsia="en-US"/>
                <w14:ligatures w14:val="standardContextual"/>
              </w:rPr>
            </w:pPr>
            <w:r>
              <w:rPr>
                <w:rFonts w:eastAsia="Times New Roman" w:cs="Times New Roman"/>
                <w:color w:val="000000"/>
                <w:kern w:val="2"/>
                <w:szCs w:val="28"/>
                <w:lang w:val="ru-RU" w:eastAsia="en-US"/>
                <w14:ligatures w14:val="standardContextual"/>
              </w:rPr>
              <w:t>Я</w:t>
            </w:r>
            <w:r w:rsidR="00503063" w:rsidRPr="00E33C04">
              <w:rPr>
                <w:rFonts w:eastAsia="Times New Roman" w:cs="Times New Roman"/>
                <w:color w:val="000000"/>
                <w:kern w:val="2"/>
                <w:szCs w:val="28"/>
                <w:lang w:val="en-US" w:eastAsia="en-US"/>
                <w14:ligatures w14:val="standardContextual"/>
              </w:rPr>
              <w:t xml:space="preserve">. </w:t>
            </w:r>
            <w:r>
              <w:rPr>
                <w:rFonts w:eastAsia="Times New Roman" w:cs="Times New Roman"/>
                <w:color w:val="000000"/>
                <w:kern w:val="2"/>
                <w:szCs w:val="28"/>
                <w:lang w:val="ru-RU" w:eastAsia="en-US"/>
                <w14:ligatures w14:val="standardContextual"/>
              </w:rPr>
              <w:t>И</w:t>
            </w:r>
            <w:r w:rsidR="00503063" w:rsidRPr="00E33C04">
              <w:rPr>
                <w:rFonts w:eastAsia="Times New Roman" w:cs="Times New Roman"/>
                <w:color w:val="000000"/>
                <w:kern w:val="2"/>
                <w:szCs w:val="28"/>
                <w:lang w:val="en-US" w:eastAsia="en-US"/>
                <w14:ligatures w14:val="standardContextual"/>
              </w:rPr>
              <w:t xml:space="preserve">. </w:t>
            </w:r>
            <w:proofErr w:type="spellStart"/>
            <w:r>
              <w:rPr>
                <w:rFonts w:eastAsia="Times New Roman" w:cs="Times New Roman"/>
                <w:color w:val="000000"/>
                <w:kern w:val="2"/>
                <w:szCs w:val="28"/>
                <w:lang w:val="ru-RU" w:eastAsia="en-US"/>
                <w14:ligatures w14:val="standardContextual"/>
              </w:rPr>
              <w:t>Веснинов</w:t>
            </w:r>
            <w:proofErr w:type="spellEnd"/>
          </w:p>
        </w:tc>
      </w:tr>
      <w:tr w:rsidR="00503063" w:rsidRPr="00E33C04" w14:paraId="7C321455" w14:textId="77777777" w:rsidTr="00095913">
        <w:tc>
          <w:tcPr>
            <w:tcW w:w="3261" w:type="dxa"/>
            <w:tcBorders>
              <w:top w:val="nil"/>
              <w:left w:val="nil"/>
              <w:bottom w:val="nil"/>
              <w:right w:val="nil"/>
            </w:tcBorders>
            <w:vAlign w:val="center"/>
            <w:hideMark/>
          </w:tcPr>
          <w:p w14:paraId="16100945"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roofErr w:type="spellStart"/>
            <w:r w:rsidRPr="00E33C04">
              <w:rPr>
                <w:rFonts w:eastAsia="Times New Roman" w:cs="Times New Roman"/>
                <w:color w:val="000000"/>
                <w:kern w:val="2"/>
                <w:szCs w:val="28"/>
                <w:lang w:val="en-US" w:eastAsia="en-US"/>
                <w14:ligatures w14:val="standardContextual"/>
              </w:rPr>
              <w:t>должность</w:t>
            </w:r>
            <w:proofErr w:type="spellEnd"/>
            <w:r w:rsidRPr="00E33C04">
              <w:rPr>
                <w:rFonts w:eastAsia="Times New Roman" w:cs="Times New Roman"/>
                <w:color w:val="000000"/>
                <w:kern w:val="2"/>
                <w:szCs w:val="28"/>
                <w:lang w:val="en-US" w:eastAsia="en-US"/>
                <w14:ligatures w14:val="standardContextual"/>
              </w:rPr>
              <w:t xml:space="preserve">, </w:t>
            </w:r>
            <w:proofErr w:type="spellStart"/>
            <w:r w:rsidRPr="00E33C04">
              <w:rPr>
                <w:rFonts w:eastAsia="Times New Roman" w:cs="Times New Roman"/>
                <w:color w:val="000000"/>
                <w:kern w:val="2"/>
                <w:szCs w:val="28"/>
                <w:lang w:val="en-US" w:eastAsia="en-US"/>
                <w14:ligatures w14:val="standardContextual"/>
              </w:rPr>
              <w:t>уч</w:t>
            </w:r>
            <w:proofErr w:type="spellEnd"/>
            <w:r w:rsidRPr="00E33C04">
              <w:rPr>
                <w:rFonts w:eastAsia="Times New Roman" w:cs="Times New Roman"/>
                <w:color w:val="000000"/>
                <w:kern w:val="2"/>
                <w:szCs w:val="28"/>
                <w:lang w:val="en-US" w:eastAsia="en-US"/>
                <w14:ligatures w14:val="standardContextual"/>
              </w:rPr>
              <w:t xml:space="preserve">. </w:t>
            </w:r>
            <w:proofErr w:type="spellStart"/>
            <w:r w:rsidRPr="00E33C04">
              <w:rPr>
                <w:rFonts w:eastAsia="Times New Roman" w:cs="Times New Roman"/>
                <w:color w:val="000000"/>
                <w:kern w:val="2"/>
                <w:szCs w:val="28"/>
                <w:lang w:val="en-US" w:eastAsia="en-US"/>
                <w14:ligatures w14:val="standardContextual"/>
              </w:rPr>
              <w:t>степень</w:t>
            </w:r>
            <w:proofErr w:type="spellEnd"/>
            <w:r w:rsidRPr="00E33C04">
              <w:rPr>
                <w:rFonts w:eastAsia="Times New Roman" w:cs="Times New Roman"/>
                <w:color w:val="000000"/>
                <w:kern w:val="2"/>
                <w:szCs w:val="28"/>
                <w:lang w:val="en-US" w:eastAsia="en-US"/>
                <w14:ligatures w14:val="standardContextual"/>
              </w:rPr>
              <w:t xml:space="preserve">, </w:t>
            </w:r>
            <w:proofErr w:type="spellStart"/>
            <w:r w:rsidRPr="00E33C04">
              <w:rPr>
                <w:rFonts w:eastAsia="Times New Roman" w:cs="Times New Roman"/>
                <w:color w:val="000000"/>
                <w:kern w:val="2"/>
                <w:szCs w:val="28"/>
                <w:lang w:val="en-US" w:eastAsia="en-US"/>
                <w14:ligatures w14:val="standardContextual"/>
              </w:rPr>
              <w:t>звание</w:t>
            </w:r>
            <w:proofErr w:type="spellEnd"/>
          </w:p>
        </w:tc>
        <w:tc>
          <w:tcPr>
            <w:tcW w:w="283" w:type="dxa"/>
            <w:tcBorders>
              <w:top w:val="nil"/>
              <w:left w:val="nil"/>
              <w:bottom w:val="nil"/>
              <w:right w:val="nil"/>
            </w:tcBorders>
            <w:vAlign w:val="center"/>
          </w:tcPr>
          <w:p w14:paraId="0040626E"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2833" w:type="dxa"/>
            <w:tcBorders>
              <w:top w:val="nil"/>
              <w:left w:val="nil"/>
              <w:bottom w:val="nil"/>
              <w:right w:val="nil"/>
            </w:tcBorders>
            <w:vAlign w:val="center"/>
            <w:hideMark/>
          </w:tcPr>
          <w:p w14:paraId="410CB894"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roofErr w:type="spellStart"/>
            <w:r w:rsidRPr="00E33C04">
              <w:rPr>
                <w:rFonts w:eastAsia="Times New Roman" w:cs="Times New Roman"/>
                <w:color w:val="000000"/>
                <w:kern w:val="2"/>
                <w:szCs w:val="28"/>
                <w:lang w:val="en-US" w:eastAsia="en-US"/>
                <w14:ligatures w14:val="standardContextual"/>
              </w:rPr>
              <w:t>подпись</w:t>
            </w:r>
            <w:proofErr w:type="spellEnd"/>
            <w:r w:rsidRPr="00E33C04">
              <w:rPr>
                <w:rFonts w:eastAsia="Times New Roman" w:cs="Times New Roman"/>
                <w:color w:val="000000"/>
                <w:kern w:val="2"/>
                <w:szCs w:val="28"/>
                <w:lang w:val="en-US" w:eastAsia="en-US"/>
                <w14:ligatures w14:val="standardContextual"/>
              </w:rPr>
              <w:t xml:space="preserve">, </w:t>
            </w:r>
            <w:proofErr w:type="spellStart"/>
            <w:r w:rsidRPr="00E33C04">
              <w:rPr>
                <w:rFonts w:eastAsia="Times New Roman" w:cs="Times New Roman"/>
                <w:color w:val="000000"/>
                <w:kern w:val="2"/>
                <w:szCs w:val="28"/>
                <w:lang w:val="en-US" w:eastAsia="en-US"/>
                <w14:ligatures w14:val="standardContextual"/>
              </w:rPr>
              <w:t>дата</w:t>
            </w:r>
            <w:proofErr w:type="spellEnd"/>
          </w:p>
        </w:tc>
        <w:tc>
          <w:tcPr>
            <w:tcW w:w="236" w:type="dxa"/>
            <w:tcBorders>
              <w:top w:val="nil"/>
              <w:left w:val="nil"/>
              <w:bottom w:val="nil"/>
              <w:right w:val="nil"/>
            </w:tcBorders>
            <w:vAlign w:val="center"/>
          </w:tcPr>
          <w:p w14:paraId="2011DC76"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3031" w:type="dxa"/>
            <w:tcBorders>
              <w:top w:val="nil"/>
              <w:left w:val="nil"/>
              <w:bottom w:val="nil"/>
              <w:right w:val="nil"/>
            </w:tcBorders>
            <w:vAlign w:val="center"/>
            <w:hideMark/>
          </w:tcPr>
          <w:p w14:paraId="684362CC"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roofErr w:type="spellStart"/>
            <w:r w:rsidRPr="00E33C04">
              <w:rPr>
                <w:rFonts w:eastAsia="Times New Roman" w:cs="Times New Roman"/>
                <w:color w:val="000000"/>
                <w:kern w:val="2"/>
                <w:szCs w:val="28"/>
                <w:lang w:val="en-US" w:eastAsia="en-US"/>
                <w14:ligatures w14:val="standardContextual"/>
              </w:rPr>
              <w:t>инициалы</w:t>
            </w:r>
            <w:proofErr w:type="spellEnd"/>
            <w:r w:rsidRPr="00E33C04">
              <w:rPr>
                <w:rFonts w:eastAsia="Times New Roman" w:cs="Times New Roman"/>
                <w:color w:val="000000"/>
                <w:kern w:val="2"/>
                <w:szCs w:val="28"/>
                <w:lang w:val="en-US" w:eastAsia="en-US"/>
                <w14:ligatures w14:val="standardContextual"/>
              </w:rPr>
              <w:t xml:space="preserve">, </w:t>
            </w:r>
            <w:proofErr w:type="spellStart"/>
            <w:r w:rsidRPr="00E33C04">
              <w:rPr>
                <w:rFonts w:eastAsia="Times New Roman" w:cs="Times New Roman"/>
                <w:color w:val="000000"/>
                <w:kern w:val="2"/>
                <w:szCs w:val="28"/>
                <w:lang w:val="en-US" w:eastAsia="en-US"/>
                <w14:ligatures w14:val="standardContextual"/>
              </w:rPr>
              <w:t>фамилия</w:t>
            </w:r>
            <w:proofErr w:type="spellEnd"/>
          </w:p>
        </w:tc>
      </w:tr>
    </w:tbl>
    <w:p w14:paraId="2842F41F" w14:textId="77777777" w:rsidR="00503063" w:rsidRPr="00E33C04" w:rsidRDefault="00503063" w:rsidP="00503063">
      <w:pPr>
        <w:spacing w:line="240" w:lineRule="auto"/>
        <w:ind w:firstLine="0"/>
        <w:jc w:val="center"/>
        <w:rPr>
          <w:rFonts w:eastAsia="Times New Roman" w:cs="Times New Roman"/>
          <w:color w:val="000000"/>
          <w:szCs w:val="28"/>
        </w:rPr>
      </w:pPr>
    </w:p>
    <w:tbl>
      <w:tblPr>
        <w:tblW w:w="9639" w:type="dxa"/>
        <w:tblInd w:w="108" w:type="dxa"/>
        <w:tblLook w:val="04A0" w:firstRow="1" w:lastRow="0" w:firstColumn="1" w:lastColumn="0" w:noHBand="0" w:noVBand="1"/>
      </w:tblPr>
      <w:tblGrid>
        <w:gridCol w:w="9639"/>
      </w:tblGrid>
      <w:tr w:rsidR="00503063" w:rsidRPr="00E33C04" w14:paraId="1D51F148" w14:textId="77777777" w:rsidTr="00095913">
        <w:tc>
          <w:tcPr>
            <w:tcW w:w="9465" w:type="dxa"/>
          </w:tcPr>
          <w:p w14:paraId="2B9C0AD3"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p w14:paraId="1C581805"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p w14:paraId="7A9E49B6"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p w14:paraId="257EB96A"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p w14:paraId="099BD960" w14:textId="13CB4003" w:rsidR="00503063" w:rsidRPr="00E346C1" w:rsidRDefault="00503063" w:rsidP="00095913">
            <w:pPr>
              <w:spacing w:line="276" w:lineRule="auto"/>
              <w:ind w:firstLine="0"/>
              <w:jc w:val="center"/>
              <w:rPr>
                <w:rFonts w:eastAsia="Times New Roman" w:cs="Times New Roman"/>
                <w:color w:val="000000"/>
                <w:kern w:val="2"/>
                <w:szCs w:val="28"/>
                <w:lang w:val="ru-RU" w:eastAsia="en-US"/>
                <w14:ligatures w14:val="standardContextual"/>
              </w:rPr>
            </w:pPr>
            <w:r w:rsidRPr="00E33C04">
              <w:rPr>
                <w:rFonts w:eastAsia="Times New Roman" w:cs="Times New Roman"/>
                <w:color w:val="000000"/>
                <w:kern w:val="2"/>
                <w:szCs w:val="28"/>
                <w:lang w:eastAsia="en-US"/>
                <w14:ligatures w14:val="standardContextual"/>
              </w:rPr>
              <w:t xml:space="preserve">ОТЧЕТ ПО </w:t>
            </w:r>
            <w:r w:rsidR="00E346C1">
              <w:rPr>
                <w:rFonts w:eastAsia="Times New Roman" w:cs="Times New Roman"/>
                <w:color w:val="000000"/>
                <w:kern w:val="2"/>
                <w:szCs w:val="28"/>
                <w:lang w:val="ru-RU" w:eastAsia="en-US"/>
                <w14:ligatures w14:val="standardContextual"/>
              </w:rPr>
              <w:t>ПРАКТИЧЕСКОЙ РАБОТЕ №1</w:t>
            </w:r>
          </w:p>
          <w:p w14:paraId="3AEEDE64"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p w14:paraId="78D663BD" w14:textId="6FDDC81B" w:rsidR="00503063" w:rsidRPr="00F204B2" w:rsidRDefault="00503063" w:rsidP="00095913">
            <w:pPr>
              <w:spacing w:line="276" w:lineRule="auto"/>
              <w:ind w:firstLine="0"/>
              <w:jc w:val="center"/>
              <w:rPr>
                <w:rFonts w:eastAsia="Times New Roman" w:cs="Times New Roman"/>
                <w:color w:val="000000"/>
                <w:kern w:val="2"/>
                <w:szCs w:val="28"/>
                <w:lang w:val="ru-RU" w:eastAsia="en-US"/>
                <w14:ligatures w14:val="standardContextual"/>
              </w:rPr>
            </w:pPr>
            <w:r w:rsidRPr="00E33C04">
              <w:rPr>
                <w:rFonts w:eastAsia="Times New Roman" w:cs="Times New Roman"/>
                <w:color w:val="000000"/>
                <w:kern w:val="2"/>
                <w:szCs w:val="28"/>
                <w:lang w:eastAsia="en-US"/>
                <w14:ligatures w14:val="standardContextual"/>
              </w:rPr>
              <w:t xml:space="preserve">по дисциплине МДК 03.01 часть </w:t>
            </w:r>
            <w:r w:rsidR="00F204B2">
              <w:rPr>
                <w:rFonts w:eastAsia="Times New Roman" w:cs="Times New Roman"/>
                <w:color w:val="000000"/>
                <w:kern w:val="2"/>
                <w:szCs w:val="28"/>
                <w:lang w:val="ru-RU" w:eastAsia="en-US"/>
                <w14:ligatures w14:val="standardContextual"/>
              </w:rPr>
              <w:t>1</w:t>
            </w:r>
          </w:p>
          <w:p w14:paraId="53BD3974"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tc>
      </w:tr>
      <w:tr w:rsidR="00503063" w:rsidRPr="00E33C04" w14:paraId="4572B883" w14:textId="77777777" w:rsidTr="00095913">
        <w:tc>
          <w:tcPr>
            <w:tcW w:w="9465" w:type="dxa"/>
          </w:tcPr>
          <w:p w14:paraId="6BA21E56"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tc>
      </w:tr>
      <w:tr w:rsidR="00503063" w:rsidRPr="00E33C04" w14:paraId="42A5D194" w14:textId="77777777" w:rsidTr="00095913">
        <w:tc>
          <w:tcPr>
            <w:tcW w:w="9465" w:type="dxa"/>
          </w:tcPr>
          <w:p w14:paraId="5D1D4963"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p w14:paraId="479545F6"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p w14:paraId="44A9D6E4"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tc>
      </w:tr>
      <w:tr w:rsidR="00503063" w:rsidRPr="00E33C04" w14:paraId="5803F460" w14:textId="77777777" w:rsidTr="00095913">
        <w:tc>
          <w:tcPr>
            <w:tcW w:w="9465" w:type="dxa"/>
          </w:tcPr>
          <w:p w14:paraId="6E65F20E"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tc>
      </w:tr>
      <w:tr w:rsidR="00503063" w:rsidRPr="00E33C04" w14:paraId="14E273BD" w14:textId="77777777" w:rsidTr="00095913">
        <w:tc>
          <w:tcPr>
            <w:tcW w:w="9465" w:type="dxa"/>
          </w:tcPr>
          <w:p w14:paraId="2AC2F94B" w14:textId="77777777" w:rsidR="00503063" w:rsidRPr="00E33C04" w:rsidRDefault="00503063" w:rsidP="00095913">
            <w:pPr>
              <w:spacing w:line="276" w:lineRule="auto"/>
              <w:ind w:firstLine="0"/>
              <w:jc w:val="center"/>
              <w:rPr>
                <w:rFonts w:eastAsia="Times New Roman" w:cs="Times New Roman"/>
                <w:color w:val="000000"/>
                <w:kern w:val="2"/>
                <w:szCs w:val="28"/>
                <w:lang w:eastAsia="en-US"/>
                <w14:ligatures w14:val="standardContextual"/>
              </w:rPr>
            </w:pPr>
          </w:p>
        </w:tc>
      </w:tr>
    </w:tbl>
    <w:p w14:paraId="4E7EC3B2" w14:textId="77777777" w:rsidR="00503063" w:rsidRPr="00E33C04" w:rsidRDefault="00503063" w:rsidP="00503063">
      <w:pPr>
        <w:spacing w:line="240" w:lineRule="auto"/>
        <w:ind w:firstLine="0"/>
        <w:jc w:val="left"/>
        <w:rPr>
          <w:rFonts w:eastAsia="Times New Roman" w:cs="Times New Roman"/>
          <w:color w:val="000000"/>
          <w:szCs w:val="28"/>
        </w:rPr>
      </w:pPr>
      <w:r w:rsidRPr="00E33C04">
        <w:rPr>
          <w:rFonts w:eastAsia="Times New Roman" w:cs="Times New Roman"/>
          <w:color w:val="000000"/>
          <w:szCs w:val="28"/>
        </w:rPr>
        <w:t>РАБОТУ ВЫПОЛНИЛ</w:t>
      </w:r>
    </w:p>
    <w:p w14:paraId="702659AE" w14:textId="77777777" w:rsidR="00503063" w:rsidRPr="00E33C04" w:rsidRDefault="00503063" w:rsidP="00503063">
      <w:pPr>
        <w:spacing w:line="240" w:lineRule="auto"/>
        <w:ind w:firstLine="0"/>
        <w:jc w:val="left"/>
        <w:rPr>
          <w:rFonts w:eastAsia="Times New Roman" w:cs="Times New Roman"/>
          <w:color w:val="000000"/>
          <w:szCs w:val="28"/>
        </w:rPr>
      </w:pPr>
    </w:p>
    <w:tbl>
      <w:tblPr>
        <w:tblW w:w="9639" w:type="dxa"/>
        <w:tblInd w:w="108" w:type="dxa"/>
        <w:tblLook w:val="04A0" w:firstRow="1" w:lastRow="0" w:firstColumn="1" w:lastColumn="0" w:noHBand="0" w:noVBand="1"/>
      </w:tblPr>
      <w:tblGrid>
        <w:gridCol w:w="2167"/>
        <w:gridCol w:w="1732"/>
        <w:gridCol w:w="236"/>
        <w:gridCol w:w="2639"/>
        <w:gridCol w:w="236"/>
        <w:gridCol w:w="2629"/>
      </w:tblGrid>
      <w:tr w:rsidR="00503063" w:rsidRPr="00E33C04" w14:paraId="0FFDE1B6" w14:textId="77777777" w:rsidTr="00F204B2">
        <w:trPr>
          <w:trHeight w:val="221"/>
        </w:trPr>
        <w:tc>
          <w:tcPr>
            <w:tcW w:w="2167" w:type="dxa"/>
            <w:vAlign w:val="center"/>
            <w:hideMark/>
          </w:tcPr>
          <w:p w14:paraId="0A4B5622" w14:textId="77777777" w:rsidR="00503063" w:rsidRPr="00F204B2" w:rsidRDefault="00503063" w:rsidP="00095913">
            <w:pPr>
              <w:spacing w:line="276" w:lineRule="auto"/>
              <w:ind w:firstLine="0"/>
              <w:jc w:val="center"/>
              <w:rPr>
                <w:rFonts w:eastAsia="Times New Roman" w:cs="Times New Roman"/>
                <w:color w:val="000000"/>
                <w:kern w:val="2"/>
                <w:sz w:val="26"/>
                <w:szCs w:val="26"/>
                <w:lang w:val="en-US" w:eastAsia="en-US"/>
                <w14:ligatures w14:val="standardContextual"/>
              </w:rPr>
            </w:pPr>
            <w:r w:rsidRPr="00F204B2">
              <w:rPr>
                <w:rFonts w:eastAsia="Times New Roman" w:cs="Times New Roman"/>
                <w:color w:val="000000"/>
                <w:kern w:val="2"/>
                <w:sz w:val="26"/>
                <w:szCs w:val="26"/>
                <w:lang w:val="en-US" w:eastAsia="en-US"/>
                <w14:ligatures w14:val="standardContextual"/>
              </w:rPr>
              <w:t>СТУДЕНТ ГР. №</w:t>
            </w:r>
          </w:p>
        </w:tc>
        <w:tc>
          <w:tcPr>
            <w:tcW w:w="1732" w:type="dxa"/>
            <w:tcBorders>
              <w:top w:val="nil"/>
              <w:left w:val="nil"/>
              <w:bottom w:val="single" w:sz="4" w:space="0" w:color="auto"/>
              <w:right w:val="nil"/>
            </w:tcBorders>
            <w:hideMark/>
          </w:tcPr>
          <w:p w14:paraId="07341BD0" w14:textId="77777777" w:rsidR="00503063" w:rsidRPr="00E33C04" w:rsidRDefault="00503063" w:rsidP="00F204B2">
            <w:pPr>
              <w:spacing w:line="240" w:lineRule="auto"/>
              <w:ind w:firstLine="0"/>
              <w:jc w:val="center"/>
              <w:rPr>
                <w:rFonts w:eastAsia="Times New Roman" w:cs="Times New Roman"/>
                <w:color w:val="000000"/>
                <w:kern w:val="2"/>
                <w:szCs w:val="28"/>
                <w:lang w:eastAsia="en-US"/>
                <w14:ligatures w14:val="standardContextual"/>
              </w:rPr>
            </w:pPr>
            <w:r w:rsidRPr="00E33C04">
              <w:rPr>
                <w:rFonts w:eastAsia="Times New Roman" w:cs="Times New Roman"/>
                <w:color w:val="000000"/>
                <w:kern w:val="2"/>
                <w:szCs w:val="28"/>
                <w:lang w:val="en-US" w:eastAsia="en-US"/>
                <w14:ligatures w14:val="standardContextual"/>
              </w:rPr>
              <w:t>С32</w:t>
            </w:r>
            <w:r w:rsidRPr="00E33C04">
              <w:rPr>
                <w:rFonts w:eastAsia="Times New Roman" w:cs="Times New Roman"/>
                <w:color w:val="000000"/>
                <w:kern w:val="2"/>
                <w:szCs w:val="28"/>
                <w:lang w:eastAsia="en-US"/>
                <w14:ligatures w14:val="standardContextual"/>
              </w:rPr>
              <w:t>6</w:t>
            </w:r>
          </w:p>
        </w:tc>
        <w:tc>
          <w:tcPr>
            <w:tcW w:w="236" w:type="dxa"/>
            <w:vAlign w:val="center"/>
          </w:tcPr>
          <w:p w14:paraId="751BBCA5"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2639" w:type="dxa"/>
            <w:tcBorders>
              <w:top w:val="nil"/>
              <w:left w:val="nil"/>
              <w:bottom w:val="single" w:sz="4" w:space="0" w:color="auto"/>
              <w:right w:val="nil"/>
            </w:tcBorders>
            <w:vAlign w:val="center"/>
          </w:tcPr>
          <w:p w14:paraId="44210E16"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236" w:type="dxa"/>
            <w:vAlign w:val="center"/>
          </w:tcPr>
          <w:p w14:paraId="43263D7B"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2629" w:type="dxa"/>
            <w:tcBorders>
              <w:top w:val="nil"/>
              <w:left w:val="nil"/>
              <w:bottom w:val="single" w:sz="4" w:space="0" w:color="auto"/>
              <w:right w:val="nil"/>
            </w:tcBorders>
            <w:vAlign w:val="center"/>
            <w:hideMark/>
          </w:tcPr>
          <w:p w14:paraId="2D116935" w14:textId="6779A6E1" w:rsidR="00503063" w:rsidRPr="00E33C04" w:rsidRDefault="00F204B2" w:rsidP="00095913">
            <w:pPr>
              <w:spacing w:line="276" w:lineRule="auto"/>
              <w:ind w:firstLine="0"/>
              <w:jc w:val="center"/>
              <w:rPr>
                <w:rFonts w:eastAsia="Times New Roman" w:cs="Times New Roman"/>
                <w:color w:val="000000"/>
                <w:kern w:val="2"/>
                <w:szCs w:val="28"/>
                <w:lang w:eastAsia="en-US"/>
                <w14:ligatures w14:val="standardContextual"/>
              </w:rPr>
            </w:pPr>
            <w:r>
              <w:rPr>
                <w:rFonts w:eastAsia="Times New Roman" w:cs="Times New Roman"/>
                <w:color w:val="000000"/>
                <w:kern w:val="2"/>
                <w:szCs w:val="28"/>
                <w:lang w:val="ru-RU" w:eastAsia="en-US"/>
                <w14:ligatures w14:val="standardContextual"/>
              </w:rPr>
              <w:t>А. А. Петренко</w:t>
            </w:r>
          </w:p>
        </w:tc>
      </w:tr>
      <w:tr w:rsidR="00503063" w:rsidRPr="00E33C04" w14:paraId="1F1A9624" w14:textId="77777777" w:rsidTr="00095913">
        <w:tc>
          <w:tcPr>
            <w:tcW w:w="2167" w:type="dxa"/>
            <w:vAlign w:val="center"/>
          </w:tcPr>
          <w:p w14:paraId="19C8B339"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1732" w:type="dxa"/>
            <w:tcBorders>
              <w:top w:val="single" w:sz="4" w:space="0" w:color="auto"/>
              <w:left w:val="nil"/>
              <w:bottom w:val="nil"/>
              <w:right w:val="nil"/>
            </w:tcBorders>
          </w:tcPr>
          <w:p w14:paraId="43905CB6"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236" w:type="dxa"/>
            <w:vAlign w:val="center"/>
          </w:tcPr>
          <w:p w14:paraId="14418524"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2639" w:type="dxa"/>
            <w:tcBorders>
              <w:top w:val="single" w:sz="4" w:space="0" w:color="auto"/>
              <w:left w:val="nil"/>
              <w:bottom w:val="nil"/>
              <w:right w:val="nil"/>
            </w:tcBorders>
            <w:vAlign w:val="center"/>
            <w:hideMark/>
          </w:tcPr>
          <w:p w14:paraId="309D7372"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roofErr w:type="spellStart"/>
            <w:r w:rsidRPr="00E33C04">
              <w:rPr>
                <w:rFonts w:eastAsia="Times New Roman" w:cs="Times New Roman"/>
                <w:color w:val="000000"/>
                <w:kern w:val="2"/>
                <w:szCs w:val="28"/>
                <w:lang w:val="en-US" w:eastAsia="en-US"/>
                <w14:ligatures w14:val="standardContextual"/>
              </w:rPr>
              <w:t>подпись</w:t>
            </w:r>
            <w:proofErr w:type="spellEnd"/>
            <w:r w:rsidRPr="00E33C04">
              <w:rPr>
                <w:rFonts w:eastAsia="Times New Roman" w:cs="Times New Roman"/>
                <w:color w:val="000000"/>
                <w:kern w:val="2"/>
                <w:szCs w:val="28"/>
                <w:lang w:val="en-US" w:eastAsia="en-US"/>
                <w14:ligatures w14:val="standardContextual"/>
              </w:rPr>
              <w:t xml:space="preserve">, </w:t>
            </w:r>
            <w:proofErr w:type="spellStart"/>
            <w:r w:rsidRPr="00E33C04">
              <w:rPr>
                <w:rFonts w:eastAsia="Times New Roman" w:cs="Times New Roman"/>
                <w:color w:val="000000"/>
                <w:kern w:val="2"/>
                <w:szCs w:val="28"/>
                <w:lang w:val="en-US" w:eastAsia="en-US"/>
                <w14:ligatures w14:val="standardContextual"/>
              </w:rPr>
              <w:t>дата</w:t>
            </w:r>
            <w:proofErr w:type="spellEnd"/>
          </w:p>
        </w:tc>
        <w:tc>
          <w:tcPr>
            <w:tcW w:w="236" w:type="dxa"/>
            <w:vAlign w:val="center"/>
          </w:tcPr>
          <w:p w14:paraId="2362AD30"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
        </w:tc>
        <w:tc>
          <w:tcPr>
            <w:tcW w:w="2629" w:type="dxa"/>
            <w:vAlign w:val="center"/>
            <w:hideMark/>
          </w:tcPr>
          <w:p w14:paraId="1B9ADCF0" w14:textId="77777777" w:rsidR="00503063" w:rsidRPr="00E33C04" w:rsidRDefault="00503063" w:rsidP="00095913">
            <w:pPr>
              <w:spacing w:line="276" w:lineRule="auto"/>
              <w:ind w:firstLine="0"/>
              <w:jc w:val="center"/>
              <w:rPr>
                <w:rFonts w:eastAsia="Times New Roman" w:cs="Times New Roman"/>
                <w:color w:val="000000"/>
                <w:kern w:val="2"/>
                <w:szCs w:val="28"/>
                <w:lang w:val="en-US" w:eastAsia="en-US"/>
                <w14:ligatures w14:val="standardContextual"/>
              </w:rPr>
            </w:pPr>
            <w:proofErr w:type="spellStart"/>
            <w:r w:rsidRPr="00E33C04">
              <w:rPr>
                <w:rFonts w:eastAsia="Times New Roman" w:cs="Times New Roman"/>
                <w:color w:val="000000"/>
                <w:kern w:val="2"/>
                <w:szCs w:val="28"/>
                <w:lang w:val="en-US" w:eastAsia="en-US"/>
                <w14:ligatures w14:val="standardContextual"/>
              </w:rPr>
              <w:t>инициалы</w:t>
            </w:r>
            <w:proofErr w:type="spellEnd"/>
            <w:r w:rsidRPr="00E33C04">
              <w:rPr>
                <w:rFonts w:eastAsia="Times New Roman" w:cs="Times New Roman"/>
                <w:color w:val="000000"/>
                <w:kern w:val="2"/>
                <w:szCs w:val="28"/>
                <w:lang w:val="en-US" w:eastAsia="en-US"/>
                <w14:ligatures w14:val="standardContextual"/>
              </w:rPr>
              <w:t xml:space="preserve">, </w:t>
            </w:r>
            <w:proofErr w:type="spellStart"/>
            <w:r w:rsidRPr="00E33C04">
              <w:rPr>
                <w:rFonts w:eastAsia="Times New Roman" w:cs="Times New Roman"/>
                <w:color w:val="000000"/>
                <w:kern w:val="2"/>
                <w:szCs w:val="28"/>
                <w:lang w:val="en-US" w:eastAsia="en-US"/>
                <w14:ligatures w14:val="standardContextual"/>
              </w:rPr>
              <w:t>фамилия</w:t>
            </w:r>
            <w:proofErr w:type="spellEnd"/>
          </w:p>
        </w:tc>
      </w:tr>
    </w:tbl>
    <w:p w14:paraId="59FEAA55" w14:textId="77777777" w:rsidR="00503063" w:rsidRPr="00E33C04" w:rsidRDefault="00503063" w:rsidP="00503063">
      <w:pPr>
        <w:spacing w:line="240" w:lineRule="auto"/>
        <w:ind w:firstLine="0"/>
        <w:jc w:val="center"/>
        <w:rPr>
          <w:rFonts w:eastAsia="Times New Roman" w:cs="Times New Roman"/>
          <w:color w:val="000000"/>
          <w:szCs w:val="28"/>
        </w:rPr>
      </w:pPr>
    </w:p>
    <w:p w14:paraId="19D9751E" w14:textId="77777777" w:rsidR="00503063" w:rsidRPr="00E33C04" w:rsidRDefault="00503063" w:rsidP="00503063">
      <w:pPr>
        <w:spacing w:line="240" w:lineRule="auto"/>
        <w:ind w:firstLine="0"/>
        <w:rPr>
          <w:rFonts w:eastAsia="Times New Roman" w:cs="Times New Roman"/>
          <w:color w:val="000000"/>
          <w:szCs w:val="28"/>
          <w:lang w:val="en-US"/>
        </w:rPr>
      </w:pPr>
    </w:p>
    <w:p w14:paraId="466ECB80" w14:textId="77777777" w:rsidR="00503063" w:rsidRPr="00E33C04" w:rsidRDefault="00503063" w:rsidP="00503063">
      <w:pPr>
        <w:spacing w:line="240" w:lineRule="auto"/>
        <w:ind w:firstLine="0"/>
        <w:jc w:val="center"/>
        <w:rPr>
          <w:rFonts w:eastAsia="Times New Roman" w:cs="Times New Roman"/>
          <w:color w:val="000000"/>
          <w:szCs w:val="28"/>
        </w:rPr>
      </w:pPr>
    </w:p>
    <w:p w14:paraId="2381D1E8" w14:textId="77777777" w:rsidR="00503063" w:rsidRPr="00E33C04" w:rsidRDefault="00503063" w:rsidP="00503063">
      <w:pPr>
        <w:spacing w:line="240" w:lineRule="auto"/>
        <w:ind w:firstLine="0"/>
        <w:jc w:val="center"/>
        <w:rPr>
          <w:rFonts w:eastAsia="Times New Roman" w:cs="Times New Roman"/>
          <w:color w:val="000000"/>
          <w:szCs w:val="28"/>
          <w:lang w:val="en-US"/>
        </w:rPr>
      </w:pPr>
    </w:p>
    <w:p w14:paraId="465E740B" w14:textId="77777777" w:rsidR="00503063" w:rsidRPr="00E33C04" w:rsidRDefault="00503063" w:rsidP="00503063">
      <w:pPr>
        <w:spacing w:line="240" w:lineRule="auto"/>
        <w:ind w:firstLine="0"/>
        <w:jc w:val="center"/>
        <w:rPr>
          <w:rFonts w:eastAsia="Times New Roman" w:cs="Times New Roman"/>
          <w:color w:val="000000"/>
          <w:szCs w:val="28"/>
          <w:lang w:val="en-US"/>
        </w:rPr>
      </w:pPr>
    </w:p>
    <w:p w14:paraId="30969DC4" w14:textId="77777777" w:rsidR="00503063" w:rsidRPr="00E33C04" w:rsidRDefault="00503063" w:rsidP="00503063">
      <w:pPr>
        <w:spacing w:line="240" w:lineRule="auto"/>
        <w:ind w:firstLine="0"/>
        <w:rPr>
          <w:rFonts w:eastAsia="Times New Roman" w:cs="Times New Roman"/>
          <w:color w:val="000000"/>
          <w:szCs w:val="28"/>
        </w:rPr>
      </w:pPr>
    </w:p>
    <w:p w14:paraId="709A00AF" w14:textId="28428AA2" w:rsidR="00A70323" w:rsidRDefault="00503063" w:rsidP="00503063">
      <w:pPr>
        <w:spacing w:line="240" w:lineRule="auto"/>
        <w:ind w:firstLine="0"/>
        <w:jc w:val="center"/>
        <w:rPr>
          <w:rFonts w:eastAsia="Times New Roman" w:cs="Times New Roman"/>
          <w:color w:val="000000"/>
          <w:szCs w:val="28"/>
        </w:rPr>
      </w:pPr>
      <w:r w:rsidRPr="00E33C04">
        <w:rPr>
          <w:rFonts w:eastAsia="Times New Roman" w:cs="Times New Roman"/>
          <w:color w:val="000000"/>
          <w:szCs w:val="28"/>
        </w:rPr>
        <w:t>Санкт-Петербург 2025</w:t>
      </w:r>
      <w:bookmarkEnd w:id="0"/>
    </w:p>
    <w:p w14:paraId="116D46D1" w14:textId="79F01377" w:rsidR="0094555B" w:rsidRPr="00A70323" w:rsidRDefault="00A70323" w:rsidP="00A70323">
      <w:pPr>
        <w:spacing w:line="276" w:lineRule="auto"/>
        <w:ind w:firstLine="0"/>
        <w:jc w:val="left"/>
        <w:rPr>
          <w:rFonts w:eastAsia="Times New Roman" w:cs="Times New Roman"/>
          <w:color w:val="000000"/>
          <w:szCs w:val="28"/>
          <w:lang w:val="ru-RU"/>
        </w:rPr>
      </w:pPr>
      <w:r>
        <w:rPr>
          <w:rFonts w:eastAsia="Times New Roman" w:cs="Times New Roman"/>
          <w:color w:val="000000"/>
          <w:szCs w:val="28"/>
        </w:rPr>
        <w:br w:type="page"/>
      </w:r>
    </w:p>
    <w:p w14:paraId="611392CB" w14:textId="79F01377" w:rsidR="00503063" w:rsidRPr="00A70323" w:rsidRDefault="00503063" w:rsidP="00A70323">
      <w:pPr>
        <w:jc w:val="center"/>
        <w:rPr>
          <w:b/>
          <w:bCs/>
          <w:lang w:val="ru-RU"/>
        </w:rPr>
      </w:pPr>
      <w:r w:rsidRPr="00A70323">
        <w:rPr>
          <w:b/>
          <w:bCs/>
          <w:lang w:val="ru-RU"/>
        </w:rPr>
        <w:lastRenderedPageBreak/>
        <w:t>Практическая работа</w:t>
      </w:r>
      <w:r w:rsidR="0094555B" w:rsidRPr="00A70323">
        <w:rPr>
          <w:b/>
          <w:bCs/>
        </w:rPr>
        <w:t xml:space="preserve"> №</w:t>
      </w:r>
      <w:r w:rsidR="00AD4A85" w:rsidRPr="00A70323">
        <w:rPr>
          <w:b/>
          <w:bCs/>
          <w:lang w:val="ru-RU"/>
        </w:rPr>
        <w:t>4</w:t>
      </w:r>
    </w:p>
    <w:p w14:paraId="599AA3FB" w14:textId="1F14F44A" w:rsidR="0094555B" w:rsidRPr="00503063" w:rsidRDefault="00503063" w:rsidP="00503063">
      <w:pPr>
        <w:jc w:val="center"/>
        <w:rPr>
          <w:b/>
          <w:bCs/>
          <w:lang w:val="ru-RU"/>
        </w:rPr>
      </w:pPr>
      <w:r w:rsidRPr="00503063">
        <w:rPr>
          <w:b/>
          <w:bCs/>
          <w:lang w:val="ru-RU"/>
        </w:rPr>
        <w:t>«</w:t>
      </w:r>
      <w:r w:rsidR="00AD4A85" w:rsidRPr="00AD4A85">
        <w:rPr>
          <w:b/>
          <w:bCs/>
        </w:rPr>
        <w:t>Измерение и оценка характеристик качества программного обеспечения</w:t>
      </w:r>
      <w:r w:rsidRPr="00503063">
        <w:rPr>
          <w:b/>
          <w:bCs/>
          <w:lang w:val="ru-RU"/>
        </w:rPr>
        <w:t>»</w:t>
      </w:r>
    </w:p>
    <w:p w14:paraId="48B64869" w14:textId="763F60CD" w:rsidR="00A70323" w:rsidRDefault="00503063" w:rsidP="00AD4A85">
      <w:pPr>
        <w:rPr>
          <w:lang w:val="ru-RU"/>
        </w:rPr>
      </w:pPr>
      <w:r w:rsidRPr="00503063">
        <w:rPr>
          <w:b/>
          <w:bCs/>
          <w:lang w:val="ru-RU"/>
        </w:rPr>
        <w:t>Цель</w:t>
      </w:r>
      <w:r w:rsidR="00811A5F" w:rsidRPr="00503063">
        <w:rPr>
          <w:b/>
          <w:bCs/>
          <w:lang w:val="ru-RU"/>
        </w:rPr>
        <w:t>:</w:t>
      </w:r>
      <w:r w:rsidR="00811A5F">
        <w:rPr>
          <w:lang w:val="ru-RU"/>
        </w:rPr>
        <w:t xml:space="preserve"> </w:t>
      </w:r>
      <w:r w:rsidR="00AD4A85" w:rsidRPr="00AD4A85">
        <w:rPr>
          <w:lang w:val="ru-RU"/>
        </w:rPr>
        <w:t>изучить и закрепить на практике методику анализа технического задания на программный продукт с точки зрения факторов качества программных средств (надежность, сопровождаемость, корректность), научиться выявлять наличие или отсутствие соответствующих требований, оформлять результаты анализа в табличном виде и формулировать выводы о полноте и качестве ТЗ на примере игрового приложения «</w:t>
      </w:r>
      <w:proofErr w:type="spellStart"/>
      <w:r w:rsidR="00AD4A85" w:rsidRPr="00AD4A85">
        <w:rPr>
          <w:lang w:val="ru-RU"/>
        </w:rPr>
        <w:t>Living</w:t>
      </w:r>
      <w:proofErr w:type="spellEnd"/>
      <w:r w:rsidR="00AD4A85" w:rsidRPr="00AD4A85">
        <w:rPr>
          <w:lang w:val="ru-RU"/>
        </w:rPr>
        <w:t xml:space="preserve"> </w:t>
      </w:r>
      <w:proofErr w:type="spellStart"/>
      <w:r w:rsidR="00AD4A85" w:rsidRPr="00AD4A85">
        <w:rPr>
          <w:lang w:val="ru-RU"/>
        </w:rPr>
        <w:t>Through</w:t>
      </w:r>
      <w:proofErr w:type="spellEnd"/>
      <w:r w:rsidR="00AD4A85" w:rsidRPr="00AD4A85">
        <w:rPr>
          <w:lang w:val="ru-RU"/>
        </w:rPr>
        <w:t>».</w:t>
      </w:r>
    </w:p>
    <w:p w14:paraId="78718EC8" w14:textId="77777777" w:rsidR="00A70323" w:rsidRDefault="00A70323">
      <w:pPr>
        <w:spacing w:line="276" w:lineRule="auto"/>
        <w:ind w:firstLine="0"/>
        <w:jc w:val="left"/>
        <w:rPr>
          <w:lang w:val="ru-RU"/>
        </w:rPr>
      </w:pPr>
      <w:r>
        <w:rPr>
          <w:lang w:val="ru-RU"/>
        </w:rPr>
        <w:br w:type="page"/>
      </w:r>
    </w:p>
    <w:sdt>
      <w:sdtPr>
        <w:id w:val="1354697375"/>
        <w:docPartObj>
          <w:docPartGallery w:val="Table of Contents"/>
          <w:docPartUnique/>
        </w:docPartObj>
      </w:sdtPr>
      <w:sdtEndPr>
        <w:rPr>
          <w:rFonts w:ascii="Times New Roman" w:eastAsia="Arial" w:hAnsi="Times New Roman" w:cs="Arial"/>
          <w:b/>
          <w:bCs/>
          <w:color w:val="auto"/>
          <w:sz w:val="28"/>
          <w:szCs w:val="22"/>
          <w:lang w:val="ru"/>
        </w:rPr>
      </w:sdtEndPr>
      <w:sdtContent>
        <w:p w14:paraId="1A142B88" w14:textId="5E59E2D2" w:rsidR="00A70323" w:rsidRDefault="00A70323">
          <w:pPr>
            <w:pStyle w:val="a6"/>
          </w:pPr>
          <w:r>
            <w:t>Оглавление</w:t>
          </w:r>
        </w:p>
        <w:p w14:paraId="1C7FB530" w14:textId="17D9AC9F" w:rsidR="00A70323" w:rsidRDefault="00A70323">
          <w:pPr>
            <w:pStyle w:val="12"/>
            <w:tabs>
              <w:tab w:val="right" w:leader="dot" w:pos="9019"/>
            </w:tabs>
            <w:rPr>
              <w:rFonts w:asciiTheme="minorHAnsi" w:eastAsiaTheme="minorEastAsia" w:hAnsiTheme="minorHAnsi" w:cstheme="minorBidi"/>
              <w:noProof/>
              <w:kern w:val="2"/>
              <w:sz w:val="24"/>
              <w:szCs w:val="24"/>
              <w:lang w:val="ru-RU"/>
              <w14:ligatures w14:val="standardContextual"/>
            </w:rPr>
          </w:pPr>
          <w:r>
            <w:fldChar w:fldCharType="begin"/>
          </w:r>
          <w:r>
            <w:instrText xml:space="preserve"> TOC \o "1-3" \h \z \u </w:instrText>
          </w:r>
          <w:r>
            <w:fldChar w:fldCharType="separate"/>
          </w:r>
          <w:hyperlink w:anchor="_Toc215700672" w:history="1">
            <w:r w:rsidRPr="0063362B">
              <w:rPr>
                <w:rStyle w:val="a7"/>
                <w:noProof/>
              </w:rPr>
              <w:t>Оценочные элементы фактора «Надежность программных средств»</w:t>
            </w:r>
            <w:r>
              <w:rPr>
                <w:noProof/>
                <w:webHidden/>
              </w:rPr>
              <w:tab/>
            </w:r>
            <w:r>
              <w:rPr>
                <w:noProof/>
                <w:webHidden/>
              </w:rPr>
              <w:fldChar w:fldCharType="begin"/>
            </w:r>
            <w:r>
              <w:rPr>
                <w:noProof/>
                <w:webHidden/>
              </w:rPr>
              <w:instrText xml:space="preserve"> PAGEREF _Toc215700672 \h </w:instrText>
            </w:r>
            <w:r>
              <w:rPr>
                <w:noProof/>
                <w:webHidden/>
              </w:rPr>
            </w:r>
            <w:r>
              <w:rPr>
                <w:noProof/>
                <w:webHidden/>
              </w:rPr>
              <w:fldChar w:fldCharType="separate"/>
            </w:r>
            <w:r>
              <w:rPr>
                <w:noProof/>
                <w:webHidden/>
              </w:rPr>
              <w:t>3</w:t>
            </w:r>
            <w:r>
              <w:rPr>
                <w:noProof/>
                <w:webHidden/>
              </w:rPr>
              <w:fldChar w:fldCharType="end"/>
            </w:r>
          </w:hyperlink>
        </w:p>
        <w:p w14:paraId="6A56C65B" w14:textId="26DB7ABA" w:rsidR="00A70323" w:rsidRDefault="00A70323">
          <w:pPr>
            <w:pStyle w:val="12"/>
            <w:tabs>
              <w:tab w:val="right" w:leader="dot" w:pos="9019"/>
            </w:tabs>
            <w:rPr>
              <w:rFonts w:asciiTheme="minorHAnsi" w:eastAsiaTheme="minorEastAsia" w:hAnsiTheme="minorHAnsi" w:cstheme="minorBidi"/>
              <w:noProof/>
              <w:kern w:val="2"/>
              <w:sz w:val="24"/>
              <w:szCs w:val="24"/>
              <w:lang w:val="ru-RU"/>
              <w14:ligatures w14:val="standardContextual"/>
            </w:rPr>
          </w:pPr>
          <w:hyperlink w:anchor="_Toc215700673" w:history="1">
            <w:r w:rsidRPr="0063362B">
              <w:rPr>
                <w:rStyle w:val="a7"/>
                <w:noProof/>
              </w:rPr>
              <w:t>Оценочные элементы фактора «Сопровождаемость»</w:t>
            </w:r>
            <w:r>
              <w:rPr>
                <w:noProof/>
                <w:webHidden/>
              </w:rPr>
              <w:tab/>
            </w:r>
            <w:r>
              <w:rPr>
                <w:noProof/>
                <w:webHidden/>
              </w:rPr>
              <w:fldChar w:fldCharType="begin"/>
            </w:r>
            <w:r>
              <w:rPr>
                <w:noProof/>
                <w:webHidden/>
              </w:rPr>
              <w:instrText xml:space="preserve"> PAGEREF _Toc215700673 \h </w:instrText>
            </w:r>
            <w:r>
              <w:rPr>
                <w:noProof/>
                <w:webHidden/>
              </w:rPr>
            </w:r>
            <w:r>
              <w:rPr>
                <w:noProof/>
                <w:webHidden/>
              </w:rPr>
              <w:fldChar w:fldCharType="separate"/>
            </w:r>
            <w:r>
              <w:rPr>
                <w:noProof/>
                <w:webHidden/>
              </w:rPr>
              <w:t>6</w:t>
            </w:r>
            <w:r>
              <w:rPr>
                <w:noProof/>
                <w:webHidden/>
              </w:rPr>
              <w:fldChar w:fldCharType="end"/>
            </w:r>
          </w:hyperlink>
        </w:p>
        <w:p w14:paraId="1E047BAF" w14:textId="1577D02F" w:rsidR="00A70323" w:rsidRDefault="00A70323">
          <w:pPr>
            <w:pStyle w:val="12"/>
            <w:tabs>
              <w:tab w:val="right" w:leader="dot" w:pos="9019"/>
            </w:tabs>
            <w:rPr>
              <w:rFonts w:asciiTheme="minorHAnsi" w:eastAsiaTheme="minorEastAsia" w:hAnsiTheme="minorHAnsi" w:cstheme="minorBidi"/>
              <w:noProof/>
              <w:kern w:val="2"/>
              <w:sz w:val="24"/>
              <w:szCs w:val="24"/>
              <w:lang w:val="ru-RU"/>
              <w14:ligatures w14:val="standardContextual"/>
            </w:rPr>
          </w:pPr>
          <w:hyperlink w:anchor="_Toc215700674" w:history="1">
            <w:r w:rsidRPr="0063362B">
              <w:rPr>
                <w:rStyle w:val="a7"/>
                <w:noProof/>
              </w:rPr>
              <w:t>Оценочные элементы фактора «Корректность»</w:t>
            </w:r>
            <w:r>
              <w:rPr>
                <w:noProof/>
                <w:webHidden/>
              </w:rPr>
              <w:tab/>
            </w:r>
            <w:r>
              <w:rPr>
                <w:noProof/>
                <w:webHidden/>
              </w:rPr>
              <w:fldChar w:fldCharType="begin"/>
            </w:r>
            <w:r>
              <w:rPr>
                <w:noProof/>
                <w:webHidden/>
              </w:rPr>
              <w:instrText xml:space="preserve"> PAGEREF _Toc215700674 \h </w:instrText>
            </w:r>
            <w:r>
              <w:rPr>
                <w:noProof/>
                <w:webHidden/>
              </w:rPr>
            </w:r>
            <w:r>
              <w:rPr>
                <w:noProof/>
                <w:webHidden/>
              </w:rPr>
              <w:fldChar w:fldCharType="separate"/>
            </w:r>
            <w:r>
              <w:rPr>
                <w:noProof/>
                <w:webHidden/>
              </w:rPr>
              <w:t>8</w:t>
            </w:r>
            <w:r>
              <w:rPr>
                <w:noProof/>
                <w:webHidden/>
              </w:rPr>
              <w:fldChar w:fldCharType="end"/>
            </w:r>
          </w:hyperlink>
        </w:p>
        <w:p w14:paraId="2D09AE42" w14:textId="5DE25761" w:rsidR="00A70323" w:rsidRDefault="00A70323">
          <w:pPr>
            <w:pStyle w:val="12"/>
            <w:tabs>
              <w:tab w:val="right" w:leader="dot" w:pos="9019"/>
            </w:tabs>
            <w:rPr>
              <w:rFonts w:asciiTheme="minorHAnsi" w:eastAsiaTheme="minorEastAsia" w:hAnsiTheme="minorHAnsi" w:cstheme="minorBidi"/>
              <w:noProof/>
              <w:kern w:val="2"/>
              <w:sz w:val="24"/>
              <w:szCs w:val="24"/>
              <w:lang w:val="ru-RU"/>
              <w14:ligatures w14:val="standardContextual"/>
            </w:rPr>
          </w:pPr>
          <w:hyperlink w:anchor="_Toc215700675" w:history="1">
            <w:r w:rsidRPr="0063362B">
              <w:rPr>
                <w:rStyle w:val="a7"/>
                <w:noProof/>
                <w:lang w:val="ru-RU"/>
              </w:rPr>
              <w:t>Отчет о проделанной работе</w:t>
            </w:r>
            <w:r>
              <w:rPr>
                <w:noProof/>
                <w:webHidden/>
              </w:rPr>
              <w:tab/>
            </w:r>
            <w:r>
              <w:rPr>
                <w:noProof/>
                <w:webHidden/>
              </w:rPr>
              <w:fldChar w:fldCharType="begin"/>
            </w:r>
            <w:r>
              <w:rPr>
                <w:noProof/>
                <w:webHidden/>
              </w:rPr>
              <w:instrText xml:space="preserve"> PAGEREF _Toc215700675 \h </w:instrText>
            </w:r>
            <w:r>
              <w:rPr>
                <w:noProof/>
                <w:webHidden/>
              </w:rPr>
            </w:r>
            <w:r>
              <w:rPr>
                <w:noProof/>
                <w:webHidden/>
              </w:rPr>
              <w:fldChar w:fldCharType="separate"/>
            </w:r>
            <w:r>
              <w:rPr>
                <w:noProof/>
                <w:webHidden/>
              </w:rPr>
              <w:t>12</w:t>
            </w:r>
            <w:r>
              <w:rPr>
                <w:noProof/>
                <w:webHidden/>
              </w:rPr>
              <w:fldChar w:fldCharType="end"/>
            </w:r>
          </w:hyperlink>
        </w:p>
        <w:p w14:paraId="676EF0F7" w14:textId="3EC2D5A5" w:rsidR="00A70323" w:rsidRDefault="00A70323">
          <w:pPr>
            <w:pStyle w:val="12"/>
            <w:tabs>
              <w:tab w:val="right" w:leader="dot" w:pos="9019"/>
            </w:tabs>
            <w:rPr>
              <w:rFonts w:asciiTheme="minorHAnsi" w:eastAsiaTheme="minorEastAsia" w:hAnsiTheme="minorHAnsi" w:cstheme="minorBidi"/>
              <w:noProof/>
              <w:kern w:val="2"/>
              <w:sz w:val="24"/>
              <w:szCs w:val="24"/>
              <w:lang w:val="ru-RU"/>
              <w14:ligatures w14:val="standardContextual"/>
            </w:rPr>
          </w:pPr>
          <w:hyperlink w:anchor="_Toc215700676" w:history="1">
            <w:r w:rsidRPr="0063362B">
              <w:rPr>
                <w:rStyle w:val="a7"/>
                <w:noProof/>
              </w:rPr>
              <w:t>Выводы по работе</w:t>
            </w:r>
            <w:r>
              <w:rPr>
                <w:noProof/>
                <w:webHidden/>
              </w:rPr>
              <w:tab/>
            </w:r>
            <w:r>
              <w:rPr>
                <w:noProof/>
                <w:webHidden/>
              </w:rPr>
              <w:fldChar w:fldCharType="begin"/>
            </w:r>
            <w:r>
              <w:rPr>
                <w:noProof/>
                <w:webHidden/>
              </w:rPr>
              <w:instrText xml:space="preserve"> PAGEREF _Toc215700676 \h </w:instrText>
            </w:r>
            <w:r>
              <w:rPr>
                <w:noProof/>
                <w:webHidden/>
              </w:rPr>
            </w:r>
            <w:r>
              <w:rPr>
                <w:noProof/>
                <w:webHidden/>
              </w:rPr>
              <w:fldChar w:fldCharType="separate"/>
            </w:r>
            <w:r>
              <w:rPr>
                <w:noProof/>
                <w:webHidden/>
              </w:rPr>
              <w:t>12</w:t>
            </w:r>
            <w:r>
              <w:rPr>
                <w:noProof/>
                <w:webHidden/>
              </w:rPr>
              <w:fldChar w:fldCharType="end"/>
            </w:r>
          </w:hyperlink>
        </w:p>
        <w:p w14:paraId="12D6D18F" w14:textId="261F2F84" w:rsidR="00A70323" w:rsidRDefault="00A70323">
          <w:r>
            <w:rPr>
              <w:b/>
              <w:bCs/>
            </w:rPr>
            <w:fldChar w:fldCharType="end"/>
          </w:r>
        </w:p>
      </w:sdtContent>
    </w:sdt>
    <w:p w14:paraId="7130BFEA" w14:textId="77777777" w:rsidR="00ED4162" w:rsidRDefault="00ED4162" w:rsidP="00AD4A85">
      <w:pPr>
        <w:rPr>
          <w:lang w:val="ru-RU"/>
        </w:rPr>
      </w:pPr>
    </w:p>
    <w:p w14:paraId="723DE678" w14:textId="77777777" w:rsidR="008D2484" w:rsidRPr="00C21242" w:rsidRDefault="008D2484" w:rsidP="00ED4162">
      <w:pPr>
        <w:spacing w:line="240" w:lineRule="auto"/>
        <w:ind w:left="720" w:hanging="360"/>
        <w:rPr>
          <w:lang w:val="ru-RU"/>
        </w:rPr>
      </w:pPr>
    </w:p>
    <w:p w14:paraId="1404CDB9" w14:textId="0B7C92E5" w:rsidR="00ED4162" w:rsidRDefault="00ED4162" w:rsidP="008D2484">
      <w:pPr>
        <w:pStyle w:val="10"/>
        <w:jc w:val="both"/>
      </w:pPr>
      <w:bookmarkStart w:id="1" w:name="_Toc215700672"/>
      <w:r>
        <w:t>Оценочные элементы фактора «Надежность программных средств»</w:t>
      </w:r>
      <w:bookmarkEnd w:id="1"/>
    </w:p>
    <w:tbl>
      <w:tblPr>
        <w:tblW w:w="978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0"/>
        <w:gridCol w:w="8061"/>
      </w:tblGrid>
      <w:tr w:rsidR="00ED4162" w14:paraId="09FF9C1B" w14:textId="77777777" w:rsidTr="00ED4162">
        <w:tc>
          <w:tcPr>
            <w:tcW w:w="1720" w:type="dxa"/>
            <w:tcMar>
              <w:top w:w="100" w:type="dxa"/>
              <w:left w:w="100" w:type="dxa"/>
              <w:bottom w:w="100" w:type="dxa"/>
              <w:right w:w="100" w:type="dxa"/>
            </w:tcMar>
          </w:tcPr>
          <w:p w14:paraId="1754E310"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t>Наличие требований к программе по устойчивости функционирования при наличии ошибок во входных данных</w:t>
            </w:r>
          </w:p>
        </w:tc>
        <w:tc>
          <w:tcPr>
            <w:tcW w:w="8061" w:type="dxa"/>
            <w:tcMar>
              <w:top w:w="100" w:type="dxa"/>
              <w:left w:w="100" w:type="dxa"/>
              <w:bottom w:w="100" w:type="dxa"/>
              <w:right w:w="100" w:type="dxa"/>
            </w:tcMar>
          </w:tcPr>
          <w:p w14:paraId="2E97A0C6" w14:textId="77777777" w:rsidR="00ED4162" w:rsidRDefault="00ED4162" w:rsidP="00744C39">
            <w:r>
              <w:t>В разрабатываемой игре пользователь не вводит данные в свободной форме: взаимодействие осуществляется только через предусмотренные элементы управления и игровые механики, описанные в п. 2.5, 2.5.1 и 2.5.2 ТЗ. Такое проектное решение фактически устраняет возможность появления некорректных входных значений.</w:t>
            </w:r>
          </w:p>
        </w:tc>
      </w:tr>
      <w:tr w:rsidR="00ED4162" w14:paraId="7597F64A" w14:textId="77777777" w:rsidTr="00ED4162">
        <w:tc>
          <w:tcPr>
            <w:tcW w:w="1720" w:type="dxa"/>
            <w:tcMar>
              <w:top w:w="100" w:type="dxa"/>
              <w:left w:w="100" w:type="dxa"/>
              <w:bottom w:w="100" w:type="dxa"/>
              <w:right w:w="100" w:type="dxa"/>
            </w:tcMar>
          </w:tcPr>
          <w:p w14:paraId="2E1478EC"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t>Возможность обработки ошибочных ситуаций</w:t>
            </w:r>
          </w:p>
        </w:tc>
        <w:tc>
          <w:tcPr>
            <w:tcW w:w="8061" w:type="dxa"/>
            <w:tcMar>
              <w:top w:w="100" w:type="dxa"/>
              <w:left w:w="100" w:type="dxa"/>
              <w:bottom w:w="100" w:type="dxa"/>
              <w:right w:w="100" w:type="dxa"/>
            </w:tcMar>
          </w:tcPr>
          <w:p w14:paraId="626FC9A7" w14:textId="77777777" w:rsidR="00ED4162" w:rsidRDefault="00ED4162" w:rsidP="00744C39">
            <w:r>
              <w:t>Вероятность возникновения ошибок минимизируется благодаря тому, что набор допустимых действий игрока ограничен, а игровой цикл имеет линейную структуру, описанную в п. 2.5.2–2.5.3 ТЗ. Все действия игрока должны корректно интерпретироваться системой, а отклик игры — совпадать с ожидаемым (п. 2.5.1).</w:t>
            </w:r>
          </w:p>
        </w:tc>
      </w:tr>
      <w:tr w:rsidR="00ED4162" w14:paraId="7264344C" w14:textId="77777777" w:rsidTr="00ED4162">
        <w:tc>
          <w:tcPr>
            <w:tcW w:w="1720" w:type="dxa"/>
            <w:tcMar>
              <w:top w:w="100" w:type="dxa"/>
              <w:left w:w="100" w:type="dxa"/>
              <w:bottom w:w="100" w:type="dxa"/>
              <w:right w:w="100" w:type="dxa"/>
            </w:tcMar>
          </w:tcPr>
          <w:p w14:paraId="61D060ED"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t>Полнота обработки ошибочных данных</w:t>
            </w:r>
          </w:p>
        </w:tc>
        <w:tc>
          <w:tcPr>
            <w:tcW w:w="8061" w:type="dxa"/>
            <w:tcMar>
              <w:top w:w="100" w:type="dxa"/>
              <w:left w:w="100" w:type="dxa"/>
              <w:bottom w:w="100" w:type="dxa"/>
              <w:right w:w="100" w:type="dxa"/>
            </w:tcMar>
          </w:tcPr>
          <w:p w14:paraId="1223619B" w14:textId="77777777" w:rsidR="00ED4162" w:rsidRDefault="00ED4162" w:rsidP="00744C39">
            <w:r>
              <w:t xml:space="preserve">Так как все воздействия на систему задаются </w:t>
            </w:r>
            <w:proofErr w:type="spellStart"/>
            <w:r>
              <w:t>сценарно</w:t>
            </w:r>
            <w:proofErr w:type="spellEnd"/>
            <w:r>
              <w:t xml:space="preserve"> (механики &lt;Core&gt; и &lt;</w:t>
            </w:r>
            <w:proofErr w:type="spellStart"/>
            <w:r>
              <w:t>Meta</w:t>
            </w:r>
            <w:proofErr w:type="spellEnd"/>
            <w:r>
              <w:t xml:space="preserve">&gt;, п. 2.5.2.1–2.5.2.2), а не через произвольный пользовательский ввод, множество возможных </w:t>
            </w:r>
            <w:r>
              <w:lastRenderedPageBreak/>
              <w:t>состояний игрока и окружения заранее определено и полностью заложено в игровую логику (п. 2.5.3).</w:t>
            </w:r>
          </w:p>
        </w:tc>
      </w:tr>
      <w:tr w:rsidR="00ED4162" w14:paraId="2618C326" w14:textId="77777777" w:rsidTr="00ED4162">
        <w:tc>
          <w:tcPr>
            <w:tcW w:w="1720" w:type="dxa"/>
            <w:tcMar>
              <w:top w:w="100" w:type="dxa"/>
              <w:left w:w="100" w:type="dxa"/>
              <w:bottom w:w="100" w:type="dxa"/>
              <w:right w:w="100" w:type="dxa"/>
            </w:tcMar>
          </w:tcPr>
          <w:p w14:paraId="09374245"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lastRenderedPageBreak/>
              <w:t>Наличие тестов для проверки допустимых значений входных данных</w:t>
            </w:r>
          </w:p>
        </w:tc>
        <w:tc>
          <w:tcPr>
            <w:tcW w:w="8061" w:type="dxa"/>
            <w:tcMar>
              <w:top w:w="100" w:type="dxa"/>
              <w:left w:w="100" w:type="dxa"/>
              <w:bottom w:w="100" w:type="dxa"/>
              <w:right w:w="100" w:type="dxa"/>
            </w:tcMar>
          </w:tcPr>
          <w:p w14:paraId="27F611E2" w14:textId="77777777" w:rsidR="00ED4162" w:rsidRDefault="00ED4162" w:rsidP="00744C39">
            <w:r>
              <w:t>В ТЗ не приведён отдельный перечень тестов для проверки диапазонов входных значений, однако корректность входа гарантируется тем, что все варианты взаимодействия игрока описаны и ограничены в п. 2.4 и 2.5. На практике допустимость значений проверяется через сценарное тестирование соответствия поведения игры требованиям ТЗ.</w:t>
            </w:r>
          </w:p>
        </w:tc>
      </w:tr>
      <w:tr w:rsidR="00ED4162" w14:paraId="36B7B0DC" w14:textId="77777777" w:rsidTr="00ED4162">
        <w:tc>
          <w:tcPr>
            <w:tcW w:w="1720" w:type="dxa"/>
            <w:tcMar>
              <w:top w:w="100" w:type="dxa"/>
              <w:left w:w="100" w:type="dxa"/>
              <w:bottom w:w="100" w:type="dxa"/>
              <w:right w:w="100" w:type="dxa"/>
            </w:tcMar>
          </w:tcPr>
          <w:p w14:paraId="1F035D8D"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t>Наличие системы контроля полноты входных данных</w:t>
            </w:r>
          </w:p>
        </w:tc>
        <w:tc>
          <w:tcPr>
            <w:tcW w:w="8061" w:type="dxa"/>
            <w:tcMar>
              <w:top w:w="100" w:type="dxa"/>
              <w:left w:w="100" w:type="dxa"/>
              <w:bottom w:w="100" w:type="dxa"/>
              <w:right w:w="100" w:type="dxa"/>
            </w:tcMar>
          </w:tcPr>
          <w:p w14:paraId="5F28AE68" w14:textId="77777777" w:rsidR="00ED4162" w:rsidRDefault="00ED4162" w:rsidP="00744C39">
            <w:r>
              <w:t>Полнота данных, получаемых от игрока, обеспечивается организацией пользовательского интерфейса (п. 2.4.1–2.4.3): он предоставляет только те элементы и параметры, которые необходимы для работы, тем самым исключая возможность пропуска критически важного ввода.</w:t>
            </w:r>
          </w:p>
        </w:tc>
      </w:tr>
      <w:tr w:rsidR="00ED4162" w14:paraId="45EBAE1F" w14:textId="77777777" w:rsidTr="00ED4162">
        <w:tc>
          <w:tcPr>
            <w:tcW w:w="1720" w:type="dxa"/>
            <w:tcMar>
              <w:top w:w="100" w:type="dxa"/>
              <w:left w:w="100" w:type="dxa"/>
              <w:bottom w:w="100" w:type="dxa"/>
              <w:right w:w="100" w:type="dxa"/>
            </w:tcMar>
          </w:tcPr>
          <w:p w14:paraId="4008C309"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t>Наличие средств контроля корректности входных данных</w:t>
            </w:r>
          </w:p>
        </w:tc>
        <w:tc>
          <w:tcPr>
            <w:tcW w:w="8061" w:type="dxa"/>
            <w:tcMar>
              <w:top w:w="100" w:type="dxa"/>
              <w:left w:w="100" w:type="dxa"/>
              <w:bottom w:w="100" w:type="dxa"/>
              <w:right w:w="100" w:type="dxa"/>
            </w:tcMar>
          </w:tcPr>
          <w:p w14:paraId="2B2F0551" w14:textId="77777777" w:rsidR="00ED4162" w:rsidRDefault="00ED4162" w:rsidP="00744C39">
            <w:r>
              <w:t>Корректность пользовательских действий достигается за счёт того, что интерфейс и игровые механики спроектированы как логичные и интуитивно понятные (п. 2.4.3, 2.5.1), а взаимодействие с окружением ограничено заранее определёнными типами объектов (п. 2.5.2.2). Ввести заведомо некорректные данные пользователь не может.</w:t>
            </w:r>
          </w:p>
        </w:tc>
      </w:tr>
      <w:tr w:rsidR="00ED4162" w14:paraId="1816FBF2" w14:textId="77777777" w:rsidTr="00ED4162">
        <w:tc>
          <w:tcPr>
            <w:tcW w:w="1720" w:type="dxa"/>
            <w:tcMar>
              <w:top w:w="100" w:type="dxa"/>
              <w:left w:w="100" w:type="dxa"/>
              <w:bottom w:w="100" w:type="dxa"/>
              <w:right w:w="100" w:type="dxa"/>
            </w:tcMar>
          </w:tcPr>
          <w:p w14:paraId="7D83AFDA"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t>Наличие требований к программе по восстановлению процесса выполнения в случае сбоя ОС, внешних устройств, процессора</w:t>
            </w:r>
          </w:p>
        </w:tc>
        <w:tc>
          <w:tcPr>
            <w:tcW w:w="8061" w:type="dxa"/>
            <w:tcMar>
              <w:top w:w="100" w:type="dxa"/>
              <w:left w:w="100" w:type="dxa"/>
              <w:bottom w:w="100" w:type="dxa"/>
              <w:right w:w="100" w:type="dxa"/>
            </w:tcMar>
          </w:tcPr>
          <w:p w14:paraId="3FFE412C" w14:textId="77777777" w:rsidR="00ED4162" w:rsidRDefault="00ED4162" w:rsidP="00744C39">
            <w:r>
              <w:t xml:space="preserve">В ТЗ зафиксировано использование игрового движка </w:t>
            </w:r>
            <w:proofErr w:type="spellStart"/>
            <w:r>
              <w:t>Unreal</w:t>
            </w:r>
            <w:proofErr w:type="spellEnd"/>
            <w:r>
              <w:t xml:space="preserve"> Engine v5.6 (п. 1, 2.1), однако отдельных требований по восстановлению выполнения после системных сбоев не сформулировано. Предполагается опора на стандартные средства движка и операционной системы; специализированный механизм восстановления может быть предметом дальнейшего развития проекта.</w:t>
            </w:r>
          </w:p>
        </w:tc>
      </w:tr>
      <w:tr w:rsidR="00ED4162" w14:paraId="2EFF6AA0" w14:textId="77777777" w:rsidTr="00ED4162">
        <w:tc>
          <w:tcPr>
            <w:tcW w:w="1720" w:type="dxa"/>
            <w:tcMar>
              <w:top w:w="100" w:type="dxa"/>
              <w:left w:w="100" w:type="dxa"/>
              <w:bottom w:w="100" w:type="dxa"/>
              <w:right w:w="100" w:type="dxa"/>
            </w:tcMar>
          </w:tcPr>
          <w:p w14:paraId="44CC26EA"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lastRenderedPageBreak/>
              <w:t>Наличие требований к программе по восстановлению результатов при отказах ОС, внешних устройств, процессора</w:t>
            </w:r>
          </w:p>
        </w:tc>
        <w:tc>
          <w:tcPr>
            <w:tcW w:w="8061" w:type="dxa"/>
            <w:tcMar>
              <w:top w:w="100" w:type="dxa"/>
              <w:left w:w="100" w:type="dxa"/>
              <w:bottom w:w="100" w:type="dxa"/>
              <w:right w:w="100" w:type="dxa"/>
            </w:tcMar>
          </w:tcPr>
          <w:p w14:paraId="66FDBB18" w14:textId="77777777" w:rsidR="00ED4162" w:rsidRDefault="00ED4162" w:rsidP="00744C39">
            <w:r>
              <w:t>Требования к восстановлению результатов работы при отказах ОС или оборудования в ТЗ не конкретизированы; основное внимание уделено корректному функционированию игры при штатной эксплуатации (п. 2.1, 2.5). При необходимости сохранение и восстановление прогресса может быть реализовано с использованием типовых механизмов движка.</w:t>
            </w:r>
          </w:p>
        </w:tc>
      </w:tr>
      <w:tr w:rsidR="00ED4162" w14:paraId="7150C3ED" w14:textId="77777777" w:rsidTr="00ED4162">
        <w:tc>
          <w:tcPr>
            <w:tcW w:w="1720" w:type="dxa"/>
            <w:tcMar>
              <w:top w:w="100" w:type="dxa"/>
              <w:left w:w="100" w:type="dxa"/>
              <w:bottom w:w="100" w:type="dxa"/>
              <w:right w:w="100" w:type="dxa"/>
            </w:tcMar>
          </w:tcPr>
          <w:p w14:paraId="17AA4CFA"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t>Наличие средств восстановления при сбоях оборудования</w:t>
            </w:r>
          </w:p>
        </w:tc>
        <w:tc>
          <w:tcPr>
            <w:tcW w:w="8061" w:type="dxa"/>
            <w:tcMar>
              <w:top w:w="100" w:type="dxa"/>
              <w:left w:w="100" w:type="dxa"/>
              <w:bottom w:w="100" w:type="dxa"/>
              <w:right w:w="100" w:type="dxa"/>
            </w:tcMar>
          </w:tcPr>
          <w:p w14:paraId="7B57C5EB" w14:textId="77777777" w:rsidR="00ED4162" w:rsidRDefault="00ED4162" w:rsidP="00744C39">
            <w:r>
              <w:t xml:space="preserve">Собственные программные средства по восстановлению после аппаратных сбоев в ТЗ не описаны. Предусматривается использование стандартного поведения целевой платформы и возможностей </w:t>
            </w:r>
            <w:proofErr w:type="spellStart"/>
            <w:r>
              <w:t>Unreal</w:t>
            </w:r>
            <w:proofErr w:type="spellEnd"/>
            <w:r>
              <w:t xml:space="preserve"> Engine v5.6 (п. 1, 2.1).</w:t>
            </w:r>
          </w:p>
        </w:tc>
      </w:tr>
      <w:tr w:rsidR="00ED4162" w14:paraId="006ADBAA" w14:textId="77777777" w:rsidTr="00ED4162">
        <w:tc>
          <w:tcPr>
            <w:tcW w:w="1720" w:type="dxa"/>
            <w:tcMar>
              <w:top w:w="100" w:type="dxa"/>
              <w:left w:w="100" w:type="dxa"/>
              <w:bottom w:w="100" w:type="dxa"/>
              <w:right w:w="100" w:type="dxa"/>
            </w:tcMar>
          </w:tcPr>
          <w:p w14:paraId="4279492B"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t>Наличие возможности повторного старта с точки прерывания</w:t>
            </w:r>
          </w:p>
        </w:tc>
        <w:tc>
          <w:tcPr>
            <w:tcW w:w="8061" w:type="dxa"/>
            <w:tcMar>
              <w:top w:w="100" w:type="dxa"/>
              <w:left w:w="100" w:type="dxa"/>
              <w:bottom w:w="100" w:type="dxa"/>
              <w:right w:w="100" w:type="dxa"/>
            </w:tcMar>
          </w:tcPr>
          <w:p w14:paraId="41F8CA04" w14:textId="77777777" w:rsidR="00ED4162" w:rsidRDefault="00ED4162" w:rsidP="00744C39">
            <w:r>
              <w:t>Пункт 2.5.3 ТЗ определяет линейный игровой цикл, однако детальное описание перезапуска «с той же точки» отсутствует. Обычно повторный старт предполагается из предусмотренных сценарием начальных позиций либо точек сохранения, если они реализованы.</w:t>
            </w:r>
          </w:p>
        </w:tc>
      </w:tr>
      <w:tr w:rsidR="00ED4162" w14:paraId="380DAACD" w14:textId="77777777" w:rsidTr="00ED4162">
        <w:trPr>
          <w:trHeight w:val="1298"/>
        </w:trPr>
        <w:tc>
          <w:tcPr>
            <w:tcW w:w="1720" w:type="dxa"/>
            <w:tcMar>
              <w:top w:w="100" w:type="dxa"/>
              <w:left w:w="100" w:type="dxa"/>
              <w:bottom w:w="100" w:type="dxa"/>
              <w:right w:w="100" w:type="dxa"/>
            </w:tcMar>
          </w:tcPr>
          <w:p w14:paraId="1E79C4ED"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t>Наличие обработки неопределенностей</w:t>
            </w:r>
          </w:p>
        </w:tc>
        <w:tc>
          <w:tcPr>
            <w:tcW w:w="8061" w:type="dxa"/>
            <w:tcMar>
              <w:top w:w="100" w:type="dxa"/>
              <w:left w:w="100" w:type="dxa"/>
              <w:bottom w:w="100" w:type="dxa"/>
              <w:right w:w="100" w:type="dxa"/>
            </w:tcMar>
          </w:tcPr>
          <w:p w14:paraId="40848C78" w14:textId="77777777" w:rsidR="00ED4162" w:rsidRDefault="00ED4162" w:rsidP="00744C39">
            <w:r>
              <w:t>Прохождение, эмоциональный настрой и атмосфера игры заданы достаточно жёстко (п. 2.1.2, 2.5.3), поэтому неопределённые или противоречивые состояния сознательно не проектируются. Работа с неопределённостями обеспечивается их предварительным исключением на этапе дизайна.</w:t>
            </w:r>
          </w:p>
        </w:tc>
      </w:tr>
      <w:tr w:rsidR="00ED4162" w14:paraId="66CEE5D7" w14:textId="77777777" w:rsidTr="00ED4162">
        <w:tc>
          <w:tcPr>
            <w:tcW w:w="1720" w:type="dxa"/>
            <w:tcMar>
              <w:top w:w="100" w:type="dxa"/>
              <w:left w:w="100" w:type="dxa"/>
              <w:bottom w:w="100" w:type="dxa"/>
              <w:right w:w="100" w:type="dxa"/>
            </w:tcMar>
          </w:tcPr>
          <w:p w14:paraId="7F5E5C7A"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t>Наличие централизованного управления процессами, конкурирующими из-за ресурсов</w:t>
            </w:r>
          </w:p>
        </w:tc>
        <w:tc>
          <w:tcPr>
            <w:tcW w:w="8061" w:type="dxa"/>
            <w:tcMar>
              <w:top w:w="100" w:type="dxa"/>
              <w:left w:w="100" w:type="dxa"/>
              <w:bottom w:w="100" w:type="dxa"/>
              <w:right w:w="100" w:type="dxa"/>
            </w:tcMar>
          </w:tcPr>
          <w:p w14:paraId="620EA4A3" w14:textId="77777777" w:rsidR="00ED4162" w:rsidRDefault="00ED4162" w:rsidP="00744C39">
            <w:r>
              <w:t xml:space="preserve">Функции централизованного управления ресурсами (графикой, звуком, загрузкой уровней) выполняет игровой движок </w:t>
            </w:r>
            <w:proofErr w:type="spellStart"/>
            <w:r>
              <w:t>Unreal</w:t>
            </w:r>
            <w:proofErr w:type="spellEnd"/>
            <w:r>
              <w:t xml:space="preserve"> Engine v5.6, выбранный в п. 1 ТЗ как основная платформа, где механизмы распределения ресурсов реализованы изначально.</w:t>
            </w:r>
          </w:p>
        </w:tc>
      </w:tr>
      <w:tr w:rsidR="00ED4162" w14:paraId="02D19013" w14:textId="77777777" w:rsidTr="00ED4162">
        <w:tc>
          <w:tcPr>
            <w:tcW w:w="1720" w:type="dxa"/>
            <w:tcMar>
              <w:top w:w="100" w:type="dxa"/>
              <w:left w:w="100" w:type="dxa"/>
              <w:bottom w:w="100" w:type="dxa"/>
              <w:right w:w="100" w:type="dxa"/>
            </w:tcMar>
          </w:tcPr>
          <w:p w14:paraId="2A546723" w14:textId="77777777" w:rsidR="00ED4162" w:rsidRDefault="00ED4162" w:rsidP="00744C39">
            <w:pPr>
              <w:widowControl w:val="0"/>
              <w:spacing w:line="240" w:lineRule="auto"/>
              <w:rPr>
                <w:rFonts w:eastAsia="Times New Roman" w:cs="Times New Roman"/>
                <w:sz w:val="24"/>
                <w:szCs w:val="24"/>
              </w:rPr>
            </w:pPr>
            <w:r>
              <w:rPr>
                <w:rFonts w:eastAsia="Times New Roman" w:cs="Times New Roman"/>
                <w:sz w:val="24"/>
                <w:szCs w:val="24"/>
              </w:rPr>
              <w:lastRenderedPageBreak/>
              <w:t>Наличие возможности автоматически обходить ошибочные ситуации в процессе вычисления</w:t>
            </w:r>
          </w:p>
        </w:tc>
        <w:tc>
          <w:tcPr>
            <w:tcW w:w="8061" w:type="dxa"/>
            <w:tcMar>
              <w:top w:w="100" w:type="dxa"/>
              <w:left w:w="100" w:type="dxa"/>
              <w:bottom w:w="100" w:type="dxa"/>
              <w:right w:w="100" w:type="dxa"/>
            </w:tcMar>
          </w:tcPr>
          <w:p w14:paraId="03057120" w14:textId="77777777" w:rsidR="00ED4162" w:rsidRDefault="00ED4162" w:rsidP="00744C39">
            <w:r>
              <w:t>Игровая логика строится средствами высокоуровневого движка на основе сценариев из п. 2.5. В ТЗ не выделены специальные средства автоматического обхода вычислительных ошибок; ставка сделана на корректную проработку и тестирование сценариев в процессе разработки.</w:t>
            </w:r>
          </w:p>
        </w:tc>
      </w:tr>
    </w:tbl>
    <w:p w14:paraId="3C90EC44" w14:textId="77777777" w:rsidR="00ED4162" w:rsidRDefault="00ED4162" w:rsidP="00ED4162">
      <w:pPr>
        <w:spacing w:line="240" w:lineRule="auto"/>
        <w:rPr>
          <w:rFonts w:eastAsia="Times New Roman" w:cs="Times New Roman"/>
          <w:b/>
          <w:bCs/>
          <w:sz w:val="24"/>
          <w:szCs w:val="24"/>
        </w:rPr>
      </w:pPr>
    </w:p>
    <w:p w14:paraId="1EC4C27E" w14:textId="506FB9F9" w:rsidR="00ED4162" w:rsidRDefault="00ED4162" w:rsidP="008D2484">
      <w:pPr>
        <w:pStyle w:val="10"/>
        <w:jc w:val="both"/>
      </w:pPr>
      <w:bookmarkStart w:id="2" w:name="_s52b7a26o0p4" w:colFirst="0" w:colLast="0"/>
      <w:bookmarkStart w:id="3" w:name="_Toc215700673"/>
      <w:bookmarkEnd w:id="2"/>
      <w:r>
        <w:t>Оценочные элементы фактора «Сопровождаемость»</w:t>
      </w:r>
      <w:bookmarkEnd w:id="3"/>
    </w:p>
    <w:tbl>
      <w:tblPr>
        <w:tblW w:w="962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4"/>
        <w:gridCol w:w="7905"/>
      </w:tblGrid>
      <w:tr w:rsidR="00ED4162" w14:paraId="24B7D093" w14:textId="77777777" w:rsidTr="00ED4162">
        <w:tc>
          <w:tcPr>
            <w:tcW w:w="1724" w:type="dxa"/>
            <w:tcMar>
              <w:top w:w="100" w:type="dxa"/>
              <w:left w:w="100" w:type="dxa"/>
              <w:bottom w:w="100" w:type="dxa"/>
              <w:right w:w="100" w:type="dxa"/>
            </w:tcMar>
          </w:tcPr>
          <w:p w14:paraId="7D662D24"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комментариев в точках входа и выхода в программу</w:t>
            </w:r>
          </w:p>
        </w:tc>
        <w:tc>
          <w:tcPr>
            <w:tcW w:w="7905" w:type="dxa"/>
            <w:tcMar>
              <w:top w:w="100" w:type="dxa"/>
              <w:left w:w="100" w:type="dxa"/>
              <w:bottom w:w="100" w:type="dxa"/>
              <w:right w:w="100" w:type="dxa"/>
            </w:tcMar>
          </w:tcPr>
          <w:p w14:paraId="53DEC852" w14:textId="77777777" w:rsidR="00ED4162" w:rsidRDefault="00ED4162" w:rsidP="00744C39">
            <w:r>
              <w:t>В ТЗ обозначены основные точки входа в систему: запуск приложения и переход к главному меню/игровому экрану (разделы 2.4 и 2.5). Последовательность переходов между этапами игрового цикла, заданная в п. 2.5.3, формирует основу для дальнейшего документирования и комментирования исходного кода.</w:t>
            </w:r>
          </w:p>
        </w:tc>
      </w:tr>
      <w:tr w:rsidR="00ED4162" w14:paraId="6039AB20" w14:textId="77777777" w:rsidTr="00ED4162">
        <w:tc>
          <w:tcPr>
            <w:tcW w:w="1724" w:type="dxa"/>
            <w:tcMar>
              <w:top w:w="100" w:type="dxa"/>
              <w:left w:w="100" w:type="dxa"/>
              <w:bottom w:w="100" w:type="dxa"/>
              <w:right w:w="100" w:type="dxa"/>
            </w:tcMar>
          </w:tcPr>
          <w:p w14:paraId="3AC968A0"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Осуществляется ли передача результатов работы модуля через вызывающий его модуль</w:t>
            </w:r>
          </w:p>
        </w:tc>
        <w:tc>
          <w:tcPr>
            <w:tcW w:w="7905" w:type="dxa"/>
            <w:tcMar>
              <w:top w:w="100" w:type="dxa"/>
              <w:left w:w="100" w:type="dxa"/>
              <w:bottom w:w="100" w:type="dxa"/>
              <w:right w:w="100" w:type="dxa"/>
            </w:tcMar>
          </w:tcPr>
          <w:p w14:paraId="5BBF9811" w14:textId="77777777" w:rsidR="00ED4162" w:rsidRDefault="00ED4162" w:rsidP="00744C39">
            <w:r>
              <w:t xml:space="preserve">Между визуальной, звуковой и геймплейной подсистемами установлены модульные связи (п. 2.2, 2.3, 2.4, 2.5). Передача результатов работы отдельных модулей, например сигналов геймплея в интерфейс и звук, предполагается через стандартные механизмы событий и взаимодействий </w:t>
            </w:r>
            <w:proofErr w:type="spellStart"/>
            <w:r>
              <w:t>Unreal</w:t>
            </w:r>
            <w:proofErr w:type="spellEnd"/>
            <w:r>
              <w:t xml:space="preserve"> Engine.</w:t>
            </w:r>
          </w:p>
        </w:tc>
      </w:tr>
      <w:tr w:rsidR="00ED4162" w14:paraId="69374529" w14:textId="77777777" w:rsidTr="00ED4162">
        <w:tc>
          <w:tcPr>
            <w:tcW w:w="1724" w:type="dxa"/>
            <w:tcMar>
              <w:top w:w="100" w:type="dxa"/>
              <w:left w:w="100" w:type="dxa"/>
              <w:bottom w:w="100" w:type="dxa"/>
              <w:right w:w="100" w:type="dxa"/>
            </w:tcMar>
          </w:tcPr>
          <w:p w14:paraId="1F66DA7F"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 xml:space="preserve">Оценка программы по числу </w:t>
            </w:r>
            <w:proofErr w:type="gramStart"/>
            <w:r>
              <w:rPr>
                <w:rFonts w:eastAsia="Times New Roman" w:cs="Times New Roman"/>
                <w:sz w:val="26"/>
                <w:szCs w:val="26"/>
              </w:rPr>
              <w:t>циклов Используется</w:t>
            </w:r>
            <w:proofErr w:type="gramEnd"/>
            <w:r>
              <w:rPr>
                <w:rFonts w:eastAsia="Times New Roman" w:cs="Times New Roman"/>
                <w:sz w:val="26"/>
                <w:szCs w:val="26"/>
              </w:rPr>
              <w:t xml:space="preserve"> ли язык высокого уровня</w:t>
            </w:r>
          </w:p>
        </w:tc>
        <w:tc>
          <w:tcPr>
            <w:tcW w:w="7905" w:type="dxa"/>
            <w:tcMar>
              <w:top w:w="100" w:type="dxa"/>
              <w:left w:w="100" w:type="dxa"/>
              <w:bottom w:w="100" w:type="dxa"/>
              <w:right w:w="100" w:type="dxa"/>
            </w:tcMar>
          </w:tcPr>
          <w:p w14:paraId="47D8F4E1" w14:textId="77777777" w:rsidR="00ED4162" w:rsidRDefault="00ED4162" w:rsidP="00744C39">
            <w:r>
              <w:t xml:space="preserve">В п. 1 и 2.1 ТЗ указано, что система создаётся на основе </w:t>
            </w:r>
            <w:proofErr w:type="spellStart"/>
            <w:r>
              <w:t>Unreal</w:t>
            </w:r>
            <w:proofErr w:type="spellEnd"/>
            <w:r>
              <w:t xml:space="preserve"> Engine v5.6, что подразумевает использование высокоуровневых средств (</w:t>
            </w:r>
            <w:proofErr w:type="spellStart"/>
            <w:r>
              <w:t>Blueprints</w:t>
            </w:r>
            <w:proofErr w:type="spellEnd"/>
            <w:r>
              <w:t>, C++) и типичных структур управления. Это обеспечивает разумную циклическую сложность и повышает сопровождаемость кода.</w:t>
            </w:r>
          </w:p>
        </w:tc>
      </w:tr>
      <w:tr w:rsidR="00ED4162" w14:paraId="4D1A11AA" w14:textId="77777777" w:rsidTr="00ED4162">
        <w:tc>
          <w:tcPr>
            <w:tcW w:w="1724" w:type="dxa"/>
            <w:tcMar>
              <w:top w:w="100" w:type="dxa"/>
              <w:left w:w="100" w:type="dxa"/>
              <w:bottom w:w="100" w:type="dxa"/>
              <w:right w:w="100" w:type="dxa"/>
            </w:tcMar>
          </w:tcPr>
          <w:p w14:paraId="0865258B"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проверки корректности передаваемы</w:t>
            </w:r>
            <w:r>
              <w:rPr>
                <w:rFonts w:eastAsia="Times New Roman" w:cs="Times New Roman"/>
                <w:sz w:val="26"/>
                <w:szCs w:val="26"/>
              </w:rPr>
              <w:lastRenderedPageBreak/>
              <w:t>х данных</w:t>
            </w:r>
          </w:p>
        </w:tc>
        <w:tc>
          <w:tcPr>
            <w:tcW w:w="7905" w:type="dxa"/>
            <w:tcMar>
              <w:top w:w="100" w:type="dxa"/>
              <w:left w:w="100" w:type="dxa"/>
              <w:bottom w:w="100" w:type="dxa"/>
              <w:right w:w="100" w:type="dxa"/>
            </w:tcMar>
          </w:tcPr>
          <w:p w14:paraId="2B5DEB56" w14:textId="77777777" w:rsidR="00ED4162" w:rsidRDefault="00ED4162" w:rsidP="00744C39">
            <w:r>
              <w:lastRenderedPageBreak/>
              <w:t xml:space="preserve">Корректность передаваемых между модулями данных обеспечивается тем, что все допустимые взаимодействия и </w:t>
            </w:r>
            <w:r>
              <w:lastRenderedPageBreak/>
              <w:t>реакции заранее определены в п. 2.4 и 2.5. Интерфейс и игровые механики не допускают появления неожиданных сообщений, так как действия игрока жёстко заданы сценарием.</w:t>
            </w:r>
          </w:p>
        </w:tc>
      </w:tr>
      <w:tr w:rsidR="00ED4162" w14:paraId="147FA3FB" w14:textId="77777777" w:rsidTr="00ED4162">
        <w:tc>
          <w:tcPr>
            <w:tcW w:w="1724" w:type="dxa"/>
            <w:tcMar>
              <w:top w:w="100" w:type="dxa"/>
              <w:left w:w="100" w:type="dxa"/>
              <w:bottom w:w="100" w:type="dxa"/>
              <w:right w:w="100" w:type="dxa"/>
            </w:tcMar>
          </w:tcPr>
          <w:p w14:paraId="7C249546"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lastRenderedPageBreak/>
              <w:t>Использовании при построении программ метода структурного программирования</w:t>
            </w:r>
          </w:p>
        </w:tc>
        <w:tc>
          <w:tcPr>
            <w:tcW w:w="7905" w:type="dxa"/>
            <w:tcMar>
              <w:top w:w="100" w:type="dxa"/>
              <w:left w:w="100" w:type="dxa"/>
              <w:bottom w:w="100" w:type="dxa"/>
              <w:right w:w="100" w:type="dxa"/>
            </w:tcMar>
          </w:tcPr>
          <w:p w14:paraId="227F9B90" w14:textId="77777777" w:rsidR="00ED4162" w:rsidRDefault="00ED4162" w:rsidP="00744C39">
            <w:r>
              <w:t>Игровой цикл (п. 2.5.3) описан как последовательность шагов, а механики разделены на блоки &lt;Core&gt; и &lt;</w:t>
            </w:r>
            <w:proofErr w:type="spellStart"/>
            <w:r>
              <w:t>Meta</w:t>
            </w:r>
            <w:proofErr w:type="spellEnd"/>
            <w:r>
              <w:t>&gt; (п. 2.5.2.1–2.5.2.2). Подобная декомпозиция соответствует подходу структурного программирования и упрощает реализацию логики с использованием последовательностей, ветвлений и циклов.</w:t>
            </w:r>
          </w:p>
        </w:tc>
      </w:tr>
      <w:tr w:rsidR="00ED4162" w14:paraId="6F6E214E" w14:textId="77777777" w:rsidTr="00ED4162">
        <w:tc>
          <w:tcPr>
            <w:tcW w:w="1724" w:type="dxa"/>
            <w:tcMar>
              <w:top w:w="100" w:type="dxa"/>
              <w:left w:w="100" w:type="dxa"/>
              <w:bottom w:w="100" w:type="dxa"/>
              <w:right w:w="100" w:type="dxa"/>
            </w:tcMar>
          </w:tcPr>
          <w:p w14:paraId="7FC27E4A"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Соблюдение принципа процесса разработки программы сверху вниз</w:t>
            </w:r>
          </w:p>
        </w:tc>
        <w:tc>
          <w:tcPr>
            <w:tcW w:w="7905" w:type="dxa"/>
            <w:tcMar>
              <w:top w:w="100" w:type="dxa"/>
              <w:left w:w="100" w:type="dxa"/>
              <w:bottom w:w="100" w:type="dxa"/>
              <w:right w:w="100" w:type="dxa"/>
            </w:tcMar>
          </w:tcPr>
          <w:p w14:paraId="6373E03B" w14:textId="77777777" w:rsidR="00ED4162" w:rsidRDefault="00ED4162" w:rsidP="00744C39">
            <w:r>
              <w:t>Логика ТЗ построена по принципу «от общего к частному»: сначала даются общие сведения (п. 1) и концепция (п. 2.1), затем описываются визуальное оформление (2.2), звук (2.3), интерфейс (2.4) и, наконец, детализированный геймплей (2.5). Это демонстрирует применение методологии разработки сверху вниз.</w:t>
            </w:r>
          </w:p>
        </w:tc>
      </w:tr>
      <w:tr w:rsidR="00ED4162" w14:paraId="474F4D6F" w14:textId="77777777" w:rsidTr="00ED4162">
        <w:tc>
          <w:tcPr>
            <w:tcW w:w="1724" w:type="dxa"/>
            <w:tcMar>
              <w:top w:w="100" w:type="dxa"/>
              <w:left w:w="100" w:type="dxa"/>
              <w:bottom w:w="100" w:type="dxa"/>
              <w:right w:w="100" w:type="dxa"/>
            </w:tcMar>
          </w:tcPr>
          <w:p w14:paraId="6F00A06C"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ограничений на размеры модуля</w:t>
            </w:r>
          </w:p>
        </w:tc>
        <w:tc>
          <w:tcPr>
            <w:tcW w:w="7905" w:type="dxa"/>
            <w:tcMar>
              <w:top w:w="100" w:type="dxa"/>
              <w:left w:w="100" w:type="dxa"/>
              <w:bottom w:w="100" w:type="dxa"/>
              <w:right w:w="100" w:type="dxa"/>
            </w:tcMar>
          </w:tcPr>
          <w:p w14:paraId="06174F71" w14:textId="77777777" w:rsidR="00ED4162" w:rsidRDefault="00ED4162" w:rsidP="00744C39">
            <w:r>
              <w:t>Явных численных ограничений на размеры модулей в ТЗ нет, однако документ задаёт модульную структуру (п. 2.2–2.5), по которой реализация логично разделяется на отдельные подсистемы, что положительно влияет на сопровождаемость.</w:t>
            </w:r>
          </w:p>
        </w:tc>
      </w:tr>
      <w:tr w:rsidR="00ED4162" w14:paraId="239E8957" w14:textId="77777777" w:rsidTr="00ED4162">
        <w:tc>
          <w:tcPr>
            <w:tcW w:w="1724" w:type="dxa"/>
            <w:tcMar>
              <w:top w:w="100" w:type="dxa"/>
              <w:left w:w="100" w:type="dxa"/>
              <w:bottom w:w="100" w:type="dxa"/>
              <w:right w:w="100" w:type="dxa"/>
            </w:tcMar>
          </w:tcPr>
          <w:p w14:paraId="485A7BAF"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модульной схемы программы</w:t>
            </w:r>
          </w:p>
        </w:tc>
        <w:tc>
          <w:tcPr>
            <w:tcW w:w="7905" w:type="dxa"/>
            <w:tcMar>
              <w:top w:w="100" w:type="dxa"/>
              <w:left w:w="100" w:type="dxa"/>
              <w:bottom w:w="100" w:type="dxa"/>
              <w:right w:w="100" w:type="dxa"/>
            </w:tcMar>
          </w:tcPr>
          <w:p w14:paraId="5247B2AD" w14:textId="77777777" w:rsidR="00ED4162" w:rsidRDefault="00ED4162" w:rsidP="00744C39">
            <w:r>
              <w:t xml:space="preserve">Структура разделов ТЗ (2.2 — визуальный стиль, 2.3 — звук, 2.4 — пользовательский интерфейс, 2.5 — геймплей) фактически описывает модульную схему программы: подсистемы Visual, Audio, UI и </w:t>
            </w:r>
            <w:proofErr w:type="spellStart"/>
            <w:r>
              <w:t>Gameplay</w:t>
            </w:r>
            <w:proofErr w:type="spellEnd"/>
            <w:r>
              <w:t>, взаимодействующие между собой.</w:t>
            </w:r>
          </w:p>
        </w:tc>
      </w:tr>
    </w:tbl>
    <w:p w14:paraId="14079710" w14:textId="77777777" w:rsidR="00ED4162" w:rsidRDefault="00ED4162" w:rsidP="00ED4162">
      <w:pPr>
        <w:spacing w:line="240" w:lineRule="auto"/>
        <w:rPr>
          <w:rFonts w:eastAsia="Times New Roman" w:cs="Times New Roman"/>
          <w:sz w:val="26"/>
          <w:szCs w:val="26"/>
        </w:rPr>
      </w:pPr>
      <w:bookmarkStart w:id="4" w:name="_kipr778ilha4" w:colFirst="0" w:colLast="0"/>
      <w:bookmarkEnd w:id="4"/>
    </w:p>
    <w:p w14:paraId="023B0D18" w14:textId="07B94669" w:rsidR="00ED4162" w:rsidRDefault="00ED4162" w:rsidP="008D2484">
      <w:pPr>
        <w:pStyle w:val="10"/>
        <w:jc w:val="both"/>
      </w:pPr>
      <w:bookmarkStart w:id="5" w:name="_Toc215700674"/>
      <w:r>
        <w:lastRenderedPageBreak/>
        <w:t>Оценочные элементы фактора «Корректность»</w:t>
      </w:r>
      <w:bookmarkEnd w:id="5"/>
    </w:p>
    <w:tbl>
      <w:tblPr>
        <w:tblW w:w="9660" w:type="dxa"/>
        <w:tblInd w:w="-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0"/>
        <w:gridCol w:w="7680"/>
      </w:tblGrid>
      <w:tr w:rsidR="00ED4162" w14:paraId="04D79B2B" w14:textId="77777777" w:rsidTr="00744C39">
        <w:tc>
          <w:tcPr>
            <w:tcW w:w="1980" w:type="dxa"/>
            <w:tcMar>
              <w:top w:w="100" w:type="dxa"/>
              <w:left w:w="100" w:type="dxa"/>
              <w:bottom w:w="100" w:type="dxa"/>
              <w:right w:w="100" w:type="dxa"/>
            </w:tcMar>
          </w:tcPr>
          <w:p w14:paraId="2E7201C0"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всех необходимых документов для понимания и использования программных средств</w:t>
            </w:r>
          </w:p>
        </w:tc>
        <w:tc>
          <w:tcPr>
            <w:tcW w:w="7680" w:type="dxa"/>
            <w:tcMar>
              <w:top w:w="100" w:type="dxa"/>
              <w:left w:w="100" w:type="dxa"/>
              <w:bottom w:w="100" w:type="dxa"/>
              <w:right w:w="100" w:type="dxa"/>
            </w:tcMar>
          </w:tcPr>
          <w:p w14:paraId="66B9E6C9" w14:textId="77777777" w:rsidR="00ED4162" w:rsidRDefault="00ED4162" w:rsidP="00744C39">
            <w:r>
              <w:t>Развёрнутое техническое задание с разделами 1, 2.1–2.5 и 3 даёт целостное представление о целях, функциональных возможностях, требованиях и ожидаемых результатах. Этот документ достаточен для понимания назначения и особенностей программного продукта.</w:t>
            </w:r>
          </w:p>
        </w:tc>
      </w:tr>
      <w:tr w:rsidR="00ED4162" w14:paraId="44DBA4D9" w14:textId="77777777" w:rsidTr="00744C39">
        <w:tc>
          <w:tcPr>
            <w:tcW w:w="1980" w:type="dxa"/>
            <w:tcMar>
              <w:top w:w="100" w:type="dxa"/>
              <w:left w:w="100" w:type="dxa"/>
              <w:bottom w:w="100" w:type="dxa"/>
              <w:right w:w="100" w:type="dxa"/>
            </w:tcMar>
          </w:tcPr>
          <w:p w14:paraId="5E68748B"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описание схемы иерархии модулей программы</w:t>
            </w:r>
          </w:p>
        </w:tc>
        <w:tc>
          <w:tcPr>
            <w:tcW w:w="7680" w:type="dxa"/>
            <w:tcMar>
              <w:top w:w="100" w:type="dxa"/>
              <w:left w:w="100" w:type="dxa"/>
              <w:bottom w:w="100" w:type="dxa"/>
              <w:right w:w="100" w:type="dxa"/>
            </w:tcMar>
          </w:tcPr>
          <w:p w14:paraId="684BF3FA" w14:textId="77777777" w:rsidR="00ED4162" w:rsidRDefault="00ED4162" w:rsidP="00744C39">
            <w:r>
              <w:t>Хотя в ТЗ нет отдельной графической схемы модулей, последовательность разделов 2.2–</w:t>
            </w:r>
            <w:proofErr w:type="gramStart"/>
            <w:r>
              <w:t>2.5 по сути</w:t>
            </w:r>
            <w:proofErr w:type="gramEnd"/>
            <w:r>
              <w:t xml:space="preserve"> задаёт иерархию подсистем: визуальной, звуковой, интерфейсной и геймплейной, каждая из которых дополнительно детализирована подпунктами.</w:t>
            </w:r>
          </w:p>
        </w:tc>
      </w:tr>
      <w:tr w:rsidR="00ED4162" w14:paraId="6DB55D96" w14:textId="77777777" w:rsidTr="00744C39">
        <w:tc>
          <w:tcPr>
            <w:tcW w:w="1980" w:type="dxa"/>
            <w:tcMar>
              <w:top w:w="100" w:type="dxa"/>
              <w:left w:w="100" w:type="dxa"/>
              <w:bottom w:w="100" w:type="dxa"/>
              <w:right w:w="100" w:type="dxa"/>
            </w:tcMar>
          </w:tcPr>
          <w:p w14:paraId="394FE94E"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описаний основных функций</w:t>
            </w:r>
          </w:p>
        </w:tc>
        <w:tc>
          <w:tcPr>
            <w:tcW w:w="7680" w:type="dxa"/>
            <w:tcMar>
              <w:top w:w="100" w:type="dxa"/>
              <w:left w:w="100" w:type="dxa"/>
              <w:bottom w:w="100" w:type="dxa"/>
              <w:right w:w="100" w:type="dxa"/>
            </w:tcMar>
          </w:tcPr>
          <w:p w14:paraId="49B63252" w14:textId="77777777" w:rsidR="00ED4162" w:rsidRDefault="00ED4162" w:rsidP="00744C39">
            <w:r>
              <w:t>Ключевые функции системы (передвижение, взаимодействие с объектами, создание и просмотр фотографий, прохождение игрового цикла) подробно рассмотрены в п. 2.5.1–2.5.3 и в описаниях механик &lt;Core&gt;/&lt;</w:t>
            </w:r>
            <w:proofErr w:type="spellStart"/>
            <w:r>
              <w:t>Meta</w:t>
            </w:r>
            <w:proofErr w:type="spellEnd"/>
            <w:r>
              <w:t>&gt; (2.5.2.1–2.5.2.2).</w:t>
            </w:r>
          </w:p>
        </w:tc>
      </w:tr>
      <w:tr w:rsidR="00ED4162" w14:paraId="659222CD" w14:textId="77777777" w:rsidTr="00744C39">
        <w:tc>
          <w:tcPr>
            <w:tcW w:w="1980" w:type="dxa"/>
            <w:tcMar>
              <w:top w:w="100" w:type="dxa"/>
              <w:left w:w="100" w:type="dxa"/>
              <w:bottom w:w="100" w:type="dxa"/>
              <w:right w:w="100" w:type="dxa"/>
            </w:tcMar>
          </w:tcPr>
          <w:p w14:paraId="61D42F9D"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описаний частных функций</w:t>
            </w:r>
          </w:p>
        </w:tc>
        <w:tc>
          <w:tcPr>
            <w:tcW w:w="7680" w:type="dxa"/>
            <w:tcMar>
              <w:top w:w="100" w:type="dxa"/>
              <w:left w:w="100" w:type="dxa"/>
              <w:bottom w:w="100" w:type="dxa"/>
              <w:right w:w="100" w:type="dxa"/>
            </w:tcMar>
          </w:tcPr>
          <w:p w14:paraId="24337812" w14:textId="77777777" w:rsidR="00ED4162" w:rsidRDefault="00ED4162" w:rsidP="00744C39">
            <w:r>
              <w:t>Частные функции, связанные с поведением отдельных объектов, особенностями интерфейса и звукового сопровождения, распределены по подразделам 2.2.1–2.2.4, 2.3.1–2.3.3 и 2.4.1–2.4.3, хотя в отдельный сводный перечень не вынесены.</w:t>
            </w:r>
          </w:p>
        </w:tc>
      </w:tr>
      <w:tr w:rsidR="00ED4162" w14:paraId="4124253D" w14:textId="77777777" w:rsidTr="00744C39">
        <w:tc>
          <w:tcPr>
            <w:tcW w:w="1980" w:type="dxa"/>
            <w:tcMar>
              <w:top w:w="100" w:type="dxa"/>
              <w:left w:w="100" w:type="dxa"/>
              <w:bottom w:w="100" w:type="dxa"/>
              <w:right w:w="100" w:type="dxa"/>
            </w:tcMar>
          </w:tcPr>
          <w:p w14:paraId="324E11A1"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описания данных</w:t>
            </w:r>
          </w:p>
        </w:tc>
        <w:tc>
          <w:tcPr>
            <w:tcW w:w="7680" w:type="dxa"/>
            <w:tcMar>
              <w:top w:w="100" w:type="dxa"/>
              <w:left w:w="100" w:type="dxa"/>
              <w:bottom w:w="100" w:type="dxa"/>
              <w:right w:w="100" w:type="dxa"/>
            </w:tcMar>
          </w:tcPr>
          <w:p w14:paraId="78070A54" w14:textId="77777777" w:rsidR="00ED4162" w:rsidRDefault="00ED4162" w:rsidP="00744C39">
            <w:r>
              <w:t>В разделах 2.2, 2.4 и 2.5 ТЗ описаны основные сущности системы (персонаж, окружение, предметы, снимки, альбом, элементы интерфейса). Формальные структуры данных не перечислены по полям и типам, однако их логика однозначно следует из текста требований.</w:t>
            </w:r>
          </w:p>
        </w:tc>
      </w:tr>
      <w:tr w:rsidR="00ED4162" w14:paraId="5C9F0C5D" w14:textId="77777777" w:rsidTr="00744C39">
        <w:tc>
          <w:tcPr>
            <w:tcW w:w="1980" w:type="dxa"/>
            <w:tcMar>
              <w:top w:w="100" w:type="dxa"/>
              <w:left w:w="100" w:type="dxa"/>
              <w:bottom w:w="100" w:type="dxa"/>
              <w:right w:w="100" w:type="dxa"/>
            </w:tcMar>
          </w:tcPr>
          <w:p w14:paraId="22B55E38"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lastRenderedPageBreak/>
              <w:t>Наличие описания алгоритмов</w:t>
            </w:r>
          </w:p>
        </w:tc>
        <w:tc>
          <w:tcPr>
            <w:tcW w:w="7680" w:type="dxa"/>
            <w:tcMar>
              <w:top w:w="100" w:type="dxa"/>
              <w:left w:w="100" w:type="dxa"/>
              <w:bottom w:w="100" w:type="dxa"/>
              <w:right w:w="100" w:type="dxa"/>
            </w:tcMar>
          </w:tcPr>
          <w:p w14:paraId="22EC41A5" w14:textId="77777777" w:rsidR="00ED4162" w:rsidRDefault="00ED4162" w:rsidP="00744C39">
            <w:r>
              <w:t>Работа системы описана через сценарные алгоритмы в п. 2.5.1–2.5.3: определены шаги игрока, реакции мира и переходы между стадиями. Несмотря на отсутствие формальных блок-схем, такого уровня детализации достаточно для реализации.</w:t>
            </w:r>
          </w:p>
        </w:tc>
      </w:tr>
      <w:tr w:rsidR="00ED4162" w14:paraId="555D2CF6" w14:textId="77777777" w:rsidTr="00744C39">
        <w:tc>
          <w:tcPr>
            <w:tcW w:w="1980" w:type="dxa"/>
            <w:tcMar>
              <w:top w:w="100" w:type="dxa"/>
              <w:left w:w="100" w:type="dxa"/>
              <w:bottom w:w="100" w:type="dxa"/>
              <w:right w:w="100" w:type="dxa"/>
            </w:tcMar>
          </w:tcPr>
          <w:p w14:paraId="5CAA392E"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описания интерфейсов между модулями</w:t>
            </w:r>
          </w:p>
        </w:tc>
        <w:tc>
          <w:tcPr>
            <w:tcW w:w="7680" w:type="dxa"/>
            <w:tcMar>
              <w:top w:w="100" w:type="dxa"/>
              <w:left w:w="100" w:type="dxa"/>
              <w:bottom w:w="100" w:type="dxa"/>
              <w:right w:w="100" w:type="dxa"/>
            </w:tcMar>
          </w:tcPr>
          <w:p w14:paraId="09607B0C" w14:textId="77777777" w:rsidR="00ED4162" w:rsidRDefault="00ED4162" w:rsidP="00744C39">
            <w:r>
              <w:t>Характер взаимодействия между визуальным, звуковым, интерфейсным и геймплейным модулями вытекает из их отдельных описаний (2.2–2.5) и общей концепции (2.1). Формальные сигнатуры интерфейсов не приведены, но принцип обмена информацией обозначен на концептуальном уровне.</w:t>
            </w:r>
          </w:p>
        </w:tc>
      </w:tr>
      <w:tr w:rsidR="00ED4162" w14:paraId="1D8480B7" w14:textId="77777777" w:rsidTr="00744C39">
        <w:tc>
          <w:tcPr>
            <w:tcW w:w="1980" w:type="dxa"/>
            <w:tcMar>
              <w:top w:w="100" w:type="dxa"/>
              <w:left w:w="100" w:type="dxa"/>
              <w:bottom w:w="100" w:type="dxa"/>
              <w:right w:w="100" w:type="dxa"/>
            </w:tcMar>
          </w:tcPr>
          <w:p w14:paraId="7292BCA5"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описания всех параметров</w:t>
            </w:r>
          </w:p>
        </w:tc>
        <w:tc>
          <w:tcPr>
            <w:tcW w:w="7680" w:type="dxa"/>
            <w:tcMar>
              <w:top w:w="100" w:type="dxa"/>
              <w:left w:w="100" w:type="dxa"/>
              <w:bottom w:w="100" w:type="dxa"/>
              <w:right w:w="100" w:type="dxa"/>
            </w:tcMar>
          </w:tcPr>
          <w:p w14:paraId="025BF9A3" w14:textId="77777777" w:rsidR="00ED4162" w:rsidRDefault="00ED4162" w:rsidP="00744C39">
            <w:r>
              <w:t>Часть значимых параметров (палитра, атмосфера, требования к читаемости интерфейса, стилистика звука) зафиксирована в п. 2.1.2, 2.2.3, 2.3.1–2.3.3 и 2.4.2–2.4.3. При этом полный перечень внутренних технических настроек в ТЗ не приводится.</w:t>
            </w:r>
          </w:p>
        </w:tc>
      </w:tr>
      <w:tr w:rsidR="00ED4162" w14:paraId="13942F95" w14:textId="77777777" w:rsidTr="00744C39">
        <w:tc>
          <w:tcPr>
            <w:tcW w:w="1980" w:type="dxa"/>
            <w:tcMar>
              <w:top w:w="100" w:type="dxa"/>
              <w:left w:w="100" w:type="dxa"/>
              <w:bottom w:w="100" w:type="dxa"/>
              <w:right w:w="100" w:type="dxa"/>
            </w:tcMar>
          </w:tcPr>
          <w:p w14:paraId="7F4A9D2F"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описание методов настройки системы</w:t>
            </w:r>
          </w:p>
        </w:tc>
        <w:tc>
          <w:tcPr>
            <w:tcW w:w="7680" w:type="dxa"/>
            <w:tcMar>
              <w:top w:w="100" w:type="dxa"/>
              <w:left w:w="100" w:type="dxa"/>
              <w:bottom w:w="100" w:type="dxa"/>
              <w:right w:w="100" w:type="dxa"/>
            </w:tcMar>
          </w:tcPr>
          <w:p w14:paraId="6C7D0776" w14:textId="77777777" w:rsidR="00ED4162" w:rsidRDefault="00ED4162" w:rsidP="00744C39">
            <w:r>
              <w:t>Разделы 2.2–2.4 содержат описания требований к настройке визуальной, звуковой и интерфейсной частей, однако отдельного пункта, посвящённого способам конфигурирования системы (например, структуре меню настроек), в ТЗ нет.</w:t>
            </w:r>
          </w:p>
        </w:tc>
      </w:tr>
      <w:tr w:rsidR="00ED4162" w14:paraId="5AD0FB74" w14:textId="77777777" w:rsidTr="00744C39">
        <w:tc>
          <w:tcPr>
            <w:tcW w:w="1980" w:type="dxa"/>
            <w:tcMar>
              <w:top w:w="100" w:type="dxa"/>
              <w:left w:w="100" w:type="dxa"/>
              <w:bottom w:w="100" w:type="dxa"/>
              <w:right w:w="100" w:type="dxa"/>
            </w:tcMar>
          </w:tcPr>
          <w:p w14:paraId="36F22864"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описание способов проверки работоспособности программы</w:t>
            </w:r>
          </w:p>
        </w:tc>
        <w:tc>
          <w:tcPr>
            <w:tcW w:w="7680" w:type="dxa"/>
            <w:tcMar>
              <w:top w:w="100" w:type="dxa"/>
              <w:left w:w="100" w:type="dxa"/>
              <w:bottom w:w="100" w:type="dxa"/>
              <w:right w:w="100" w:type="dxa"/>
            </w:tcMar>
          </w:tcPr>
          <w:p w14:paraId="03046630" w14:textId="77777777" w:rsidR="00ED4162" w:rsidRDefault="00ED4162" w:rsidP="00744C39">
            <w:r>
              <w:t>Специальный раздел, посвящённый методам тестирования, в ТЗ отсутствует. Работоспособность предполагается через соответствие реализованного поведения требованиям разделов 2.1–2.5 и достижение целей, сформулированных в п. 2.1 и 3.</w:t>
            </w:r>
          </w:p>
        </w:tc>
      </w:tr>
      <w:tr w:rsidR="00ED4162" w14:paraId="0454F996" w14:textId="77777777" w:rsidTr="00744C39">
        <w:tc>
          <w:tcPr>
            <w:tcW w:w="1980" w:type="dxa"/>
            <w:tcMar>
              <w:top w:w="100" w:type="dxa"/>
              <w:left w:w="100" w:type="dxa"/>
              <w:bottom w:w="100" w:type="dxa"/>
              <w:right w:w="100" w:type="dxa"/>
            </w:tcMar>
          </w:tcPr>
          <w:p w14:paraId="1E4B7DF1"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lastRenderedPageBreak/>
              <w:t>Реализация всех модулей системы</w:t>
            </w:r>
          </w:p>
        </w:tc>
        <w:tc>
          <w:tcPr>
            <w:tcW w:w="7680" w:type="dxa"/>
            <w:tcMar>
              <w:top w:w="100" w:type="dxa"/>
              <w:left w:w="100" w:type="dxa"/>
              <w:bottom w:w="100" w:type="dxa"/>
              <w:right w:w="100" w:type="dxa"/>
            </w:tcMar>
          </w:tcPr>
          <w:p w14:paraId="512B4723" w14:textId="77777777" w:rsidR="00ED4162" w:rsidRDefault="00ED4162" w:rsidP="00744C39">
            <w:r>
              <w:t>Согласно ТЗ, система включает модули визуального оформления (2.2), звукового сопровождения (2.3), пользовательского интерфейса (2.4) и геймплея (2.5); в рабочей версии проекта все эти подсистемы реализованы в соответствии с их описанием.</w:t>
            </w:r>
          </w:p>
        </w:tc>
      </w:tr>
      <w:tr w:rsidR="00ED4162" w14:paraId="3D4AB8FD" w14:textId="77777777" w:rsidTr="00744C39">
        <w:tc>
          <w:tcPr>
            <w:tcW w:w="1980" w:type="dxa"/>
            <w:tcMar>
              <w:top w:w="100" w:type="dxa"/>
              <w:left w:w="100" w:type="dxa"/>
              <w:bottom w:w="100" w:type="dxa"/>
              <w:right w:w="100" w:type="dxa"/>
            </w:tcMar>
          </w:tcPr>
          <w:p w14:paraId="4AF7AA3C"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Реализация всех основных функций</w:t>
            </w:r>
          </w:p>
        </w:tc>
        <w:tc>
          <w:tcPr>
            <w:tcW w:w="7680" w:type="dxa"/>
            <w:tcMar>
              <w:top w:w="100" w:type="dxa"/>
              <w:left w:w="100" w:type="dxa"/>
              <w:bottom w:w="100" w:type="dxa"/>
              <w:right w:w="100" w:type="dxa"/>
            </w:tcMar>
          </w:tcPr>
          <w:p w14:paraId="1A4AA939" w14:textId="77777777" w:rsidR="00ED4162" w:rsidRDefault="00ED4162" w:rsidP="00744C39">
            <w:r>
              <w:t>Все ключевые функции, перечисленные в п. 2.5.1–2.5.3, реализованы: управление от первого лица, взаимодействие с объектами окружения, создание и просмотр фотографий, передвижение по игровому пространству и развитие персонажа.</w:t>
            </w:r>
          </w:p>
        </w:tc>
      </w:tr>
      <w:tr w:rsidR="00ED4162" w14:paraId="4B9B4E86" w14:textId="77777777" w:rsidTr="00744C39">
        <w:tc>
          <w:tcPr>
            <w:tcW w:w="1980" w:type="dxa"/>
            <w:tcMar>
              <w:top w:w="100" w:type="dxa"/>
              <w:left w:w="100" w:type="dxa"/>
              <w:bottom w:w="100" w:type="dxa"/>
              <w:right w:w="100" w:type="dxa"/>
            </w:tcMar>
          </w:tcPr>
          <w:p w14:paraId="76A78E1C"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Реализация всех алгоритмов</w:t>
            </w:r>
          </w:p>
        </w:tc>
        <w:tc>
          <w:tcPr>
            <w:tcW w:w="7680" w:type="dxa"/>
            <w:tcMar>
              <w:top w:w="100" w:type="dxa"/>
              <w:left w:w="100" w:type="dxa"/>
              <w:bottom w:w="100" w:type="dxa"/>
              <w:right w:w="100" w:type="dxa"/>
            </w:tcMar>
          </w:tcPr>
          <w:p w14:paraId="1503BDF6" w14:textId="77777777" w:rsidR="00ED4162" w:rsidRDefault="00ED4162" w:rsidP="00744C39">
            <w:r>
              <w:t>Реализованы алгоритмы, необходимые для выполнения сценариев игрового цикла и функционирования интерфейса, что обеспечивает работу в соответствии с последовательностью шагов, описанной в п. 2.5.3.</w:t>
            </w:r>
          </w:p>
        </w:tc>
      </w:tr>
      <w:tr w:rsidR="00ED4162" w14:paraId="70B494C8" w14:textId="77777777" w:rsidTr="00744C39">
        <w:tc>
          <w:tcPr>
            <w:tcW w:w="1980" w:type="dxa"/>
            <w:tcMar>
              <w:top w:w="100" w:type="dxa"/>
              <w:left w:w="100" w:type="dxa"/>
              <w:bottom w:w="100" w:type="dxa"/>
              <w:right w:w="100" w:type="dxa"/>
            </w:tcMar>
          </w:tcPr>
          <w:p w14:paraId="20204173"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определений всех данных: переменные, индексы., массивы и пр.</w:t>
            </w:r>
          </w:p>
        </w:tc>
        <w:tc>
          <w:tcPr>
            <w:tcW w:w="7680" w:type="dxa"/>
            <w:tcMar>
              <w:top w:w="100" w:type="dxa"/>
              <w:left w:w="100" w:type="dxa"/>
              <w:bottom w:w="100" w:type="dxa"/>
              <w:right w:w="100" w:type="dxa"/>
            </w:tcMar>
          </w:tcPr>
          <w:p w14:paraId="107B994B" w14:textId="77777777" w:rsidR="00ED4162" w:rsidRDefault="00ED4162" w:rsidP="00744C39">
            <w:r>
              <w:t>Формальные определения переменных, индексов, массивов и других структур находятся на уровне реализации; ТЗ (разделы 2.2–2.5) задаёт только концептуальное представление о данных и их взаимосвязях.</w:t>
            </w:r>
          </w:p>
        </w:tc>
      </w:tr>
      <w:tr w:rsidR="00ED4162" w14:paraId="0C9538D8" w14:textId="77777777" w:rsidTr="00744C39">
        <w:tc>
          <w:tcPr>
            <w:tcW w:w="1980" w:type="dxa"/>
            <w:tcMar>
              <w:top w:w="100" w:type="dxa"/>
              <w:left w:w="100" w:type="dxa"/>
              <w:bottom w:w="100" w:type="dxa"/>
              <w:right w:w="100" w:type="dxa"/>
            </w:tcMar>
          </w:tcPr>
          <w:p w14:paraId="5ABCA1E2"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Наличие интерфейсов с пользователем</w:t>
            </w:r>
          </w:p>
        </w:tc>
        <w:tc>
          <w:tcPr>
            <w:tcW w:w="7680" w:type="dxa"/>
            <w:tcMar>
              <w:top w:w="100" w:type="dxa"/>
              <w:left w:w="100" w:type="dxa"/>
              <w:bottom w:w="100" w:type="dxa"/>
              <w:right w:w="100" w:type="dxa"/>
            </w:tcMar>
          </w:tcPr>
          <w:p w14:paraId="119B443B" w14:textId="77777777" w:rsidR="00ED4162" w:rsidRDefault="00ED4162" w:rsidP="00744C39">
            <w:r>
              <w:t>Пользовательские интерфейсы подробно рассмотрены в разделе 2.4 (2.4.1–2.4.3): описаны их назначение, стиль, анимации, понятность, а также требования к шрифтам и цветовой гамме. Эти положения непосредственно регламентируют взаимодействие системы с пользователем.</w:t>
            </w:r>
          </w:p>
        </w:tc>
      </w:tr>
      <w:tr w:rsidR="00ED4162" w14:paraId="69231DBA" w14:textId="77777777" w:rsidTr="00744C39">
        <w:tc>
          <w:tcPr>
            <w:tcW w:w="1980" w:type="dxa"/>
            <w:tcMar>
              <w:top w:w="100" w:type="dxa"/>
              <w:left w:w="100" w:type="dxa"/>
              <w:bottom w:w="100" w:type="dxa"/>
              <w:right w:w="100" w:type="dxa"/>
            </w:tcMar>
          </w:tcPr>
          <w:p w14:paraId="53B26CCA"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 xml:space="preserve">Отсутствие противоречий в выполнении основных </w:t>
            </w:r>
            <w:r>
              <w:rPr>
                <w:rFonts w:eastAsia="Times New Roman" w:cs="Times New Roman"/>
                <w:sz w:val="26"/>
                <w:szCs w:val="26"/>
              </w:rPr>
              <w:lastRenderedPageBreak/>
              <w:t>функций</w:t>
            </w:r>
          </w:p>
        </w:tc>
        <w:tc>
          <w:tcPr>
            <w:tcW w:w="7680" w:type="dxa"/>
            <w:tcMar>
              <w:top w:w="100" w:type="dxa"/>
              <w:left w:w="100" w:type="dxa"/>
              <w:bottom w:w="100" w:type="dxa"/>
              <w:right w:w="100" w:type="dxa"/>
            </w:tcMar>
          </w:tcPr>
          <w:p w14:paraId="7F0475AB" w14:textId="77777777" w:rsidR="00ED4162" w:rsidRDefault="00ED4162" w:rsidP="00744C39">
            <w:r>
              <w:lastRenderedPageBreak/>
              <w:t xml:space="preserve">Основные функции, представленные в п. 2.5, взаимно согласованы и логично вытекают из общей концепции (2.1) и </w:t>
            </w:r>
            <w:r>
              <w:lastRenderedPageBreak/>
              <w:t>заданного настроения игры (2.1.2); явных противоречий между требованиями не обнаружено.</w:t>
            </w:r>
          </w:p>
        </w:tc>
      </w:tr>
      <w:tr w:rsidR="00ED4162" w14:paraId="01461A63" w14:textId="77777777" w:rsidTr="00744C39">
        <w:tc>
          <w:tcPr>
            <w:tcW w:w="1980" w:type="dxa"/>
            <w:tcMar>
              <w:top w:w="100" w:type="dxa"/>
              <w:left w:w="100" w:type="dxa"/>
              <w:bottom w:w="100" w:type="dxa"/>
              <w:right w:w="100" w:type="dxa"/>
            </w:tcMar>
          </w:tcPr>
          <w:p w14:paraId="0338451C"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lastRenderedPageBreak/>
              <w:t>Отсутствие противоречий в выполнении частных функций</w:t>
            </w:r>
          </w:p>
        </w:tc>
        <w:tc>
          <w:tcPr>
            <w:tcW w:w="7680" w:type="dxa"/>
            <w:tcMar>
              <w:top w:w="100" w:type="dxa"/>
              <w:left w:w="100" w:type="dxa"/>
              <w:bottom w:w="100" w:type="dxa"/>
              <w:right w:w="100" w:type="dxa"/>
            </w:tcMar>
          </w:tcPr>
          <w:p w14:paraId="20C0032A" w14:textId="77777777" w:rsidR="00ED4162" w:rsidRDefault="00ED4162" w:rsidP="00744C39">
            <w:r>
              <w:t>Частные требования к визуалу, звуку и интерфейсу (2.2.x, 2.3.x, 2.4.x) поддерживают общую идею проекта и не вступают в конфликт с ключевыми механиками, определёнными в п. 2.5.</w:t>
            </w:r>
          </w:p>
        </w:tc>
      </w:tr>
      <w:tr w:rsidR="00ED4162" w14:paraId="6266FCD0" w14:textId="77777777" w:rsidTr="00744C39">
        <w:tc>
          <w:tcPr>
            <w:tcW w:w="1980" w:type="dxa"/>
            <w:tcMar>
              <w:top w:w="100" w:type="dxa"/>
              <w:left w:w="100" w:type="dxa"/>
              <w:bottom w:w="100" w:type="dxa"/>
              <w:right w:w="100" w:type="dxa"/>
            </w:tcMar>
          </w:tcPr>
          <w:p w14:paraId="796EEDF3"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Отсутствие противоречий в выполнении алгоритмов</w:t>
            </w:r>
          </w:p>
        </w:tc>
        <w:tc>
          <w:tcPr>
            <w:tcW w:w="7680" w:type="dxa"/>
            <w:tcMar>
              <w:top w:w="100" w:type="dxa"/>
              <w:left w:w="100" w:type="dxa"/>
              <w:bottom w:w="100" w:type="dxa"/>
              <w:right w:w="100" w:type="dxa"/>
            </w:tcMar>
          </w:tcPr>
          <w:p w14:paraId="2FAB8701" w14:textId="77777777" w:rsidR="00ED4162" w:rsidRDefault="00ED4162" w:rsidP="00744C39">
            <w:r>
              <w:t>Последовательность шагов игрового цикла, изложенная в п. 2.5.3, согласована внутри себя и не содержит логических противоречий или тупиков.</w:t>
            </w:r>
          </w:p>
        </w:tc>
      </w:tr>
      <w:tr w:rsidR="00ED4162" w14:paraId="7590ECAF" w14:textId="77777777" w:rsidTr="00744C39">
        <w:tc>
          <w:tcPr>
            <w:tcW w:w="1980" w:type="dxa"/>
            <w:tcMar>
              <w:top w:w="100" w:type="dxa"/>
              <w:left w:w="100" w:type="dxa"/>
              <w:bottom w:w="100" w:type="dxa"/>
              <w:right w:w="100" w:type="dxa"/>
            </w:tcMar>
          </w:tcPr>
          <w:p w14:paraId="23FDB465"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Правильность взаимосвязей</w:t>
            </w:r>
          </w:p>
        </w:tc>
        <w:tc>
          <w:tcPr>
            <w:tcW w:w="7680" w:type="dxa"/>
            <w:tcMar>
              <w:top w:w="100" w:type="dxa"/>
              <w:left w:w="100" w:type="dxa"/>
              <w:bottom w:w="100" w:type="dxa"/>
              <w:right w:w="100" w:type="dxa"/>
            </w:tcMar>
          </w:tcPr>
          <w:p w14:paraId="56FE51B2" w14:textId="77777777" w:rsidR="00ED4162" w:rsidRDefault="00ED4162" w:rsidP="00744C39">
            <w:r>
              <w:t>Связи между подсистемами, описанными в разделах 2.2–2.5, основаны на общей концепции из п. 2.1 и обеспечивают целостное поведение игры и требуемую атмосферу.</w:t>
            </w:r>
          </w:p>
        </w:tc>
      </w:tr>
      <w:tr w:rsidR="00ED4162" w14:paraId="73742289" w14:textId="77777777" w:rsidTr="00744C39">
        <w:tc>
          <w:tcPr>
            <w:tcW w:w="1980" w:type="dxa"/>
            <w:tcMar>
              <w:top w:w="100" w:type="dxa"/>
              <w:left w:w="100" w:type="dxa"/>
              <w:bottom w:w="100" w:type="dxa"/>
              <w:right w:w="100" w:type="dxa"/>
            </w:tcMar>
          </w:tcPr>
          <w:p w14:paraId="53D4D94E"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Правильность реализаций интерфейса с пользователем</w:t>
            </w:r>
          </w:p>
        </w:tc>
        <w:tc>
          <w:tcPr>
            <w:tcW w:w="7680" w:type="dxa"/>
            <w:tcMar>
              <w:top w:w="100" w:type="dxa"/>
              <w:left w:w="100" w:type="dxa"/>
              <w:bottom w:w="100" w:type="dxa"/>
              <w:right w:w="100" w:type="dxa"/>
            </w:tcMar>
          </w:tcPr>
          <w:p w14:paraId="27A1562F" w14:textId="77777777" w:rsidR="00ED4162" w:rsidRDefault="00ED4162" w:rsidP="00744C39">
            <w:r>
              <w:t>Требования к пользовательскому интерфейсу, сформулированные в п. 2.4.1–2.4.3, задают критерии читаемости, понятности и соответствия теме «осени». Реализация UI ориентируется на эти положения, что гарантирует корректное взаимодействие с пользователем.</w:t>
            </w:r>
          </w:p>
        </w:tc>
      </w:tr>
      <w:tr w:rsidR="00ED4162" w14:paraId="011C0908" w14:textId="77777777" w:rsidTr="00744C39">
        <w:tc>
          <w:tcPr>
            <w:tcW w:w="1980" w:type="dxa"/>
            <w:tcMar>
              <w:top w:w="100" w:type="dxa"/>
              <w:left w:w="100" w:type="dxa"/>
              <w:bottom w:w="100" w:type="dxa"/>
              <w:right w:w="100" w:type="dxa"/>
            </w:tcMar>
          </w:tcPr>
          <w:p w14:paraId="495DDD53"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Отсутствие противоречий в настройке системы</w:t>
            </w:r>
          </w:p>
        </w:tc>
        <w:tc>
          <w:tcPr>
            <w:tcW w:w="7680" w:type="dxa"/>
            <w:tcMar>
              <w:top w:w="100" w:type="dxa"/>
              <w:left w:w="100" w:type="dxa"/>
              <w:bottom w:w="100" w:type="dxa"/>
              <w:right w:w="100" w:type="dxa"/>
            </w:tcMar>
          </w:tcPr>
          <w:p w14:paraId="3100A739" w14:textId="77777777" w:rsidR="00ED4162" w:rsidRDefault="00ED4162" w:rsidP="00744C39">
            <w:r>
              <w:t>В ТЗ отсутствуют взаимоисключающие требования к визуальному оформлению, звуку, интерфейсу и геймплею; разделы 2.2–2.5 согласованы между собой, поэтому настройка системы не приводит к конфликтам.</w:t>
            </w:r>
          </w:p>
        </w:tc>
      </w:tr>
      <w:tr w:rsidR="00ED4162" w14:paraId="0953B333" w14:textId="77777777" w:rsidTr="00744C39">
        <w:tc>
          <w:tcPr>
            <w:tcW w:w="1980" w:type="dxa"/>
            <w:tcMar>
              <w:top w:w="100" w:type="dxa"/>
              <w:left w:w="100" w:type="dxa"/>
              <w:bottom w:w="100" w:type="dxa"/>
              <w:right w:w="100" w:type="dxa"/>
            </w:tcMar>
          </w:tcPr>
          <w:p w14:paraId="2B932AC9" w14:textId="77777777" w:rsidR="00ED4162" w:rsidRDefault="00ED4162" w:rsidP="00744C39">
            <w:pPr>
              <w:widowControl w:val="0"/>
              <w:spacing w:line="240" w:lineRule="auto"/>
              <w:rPr>
                <w:rFonts w:eastAsia="Times New Roman" w:cs="Times New Roman"/>
                <w:sz w:val="26"/>
                <w:szCs w:val="26"/>
              </w:rPr>
            </w:pPr>
            <w:r>
              <w:rPr>
                <w:rFonts w:eastAsia="Times New Roman" w:cs="Times New Roman"/>
                <w:sz w:val="26"/>
                <w:szCs w:val="26"/>
              </w:rPr>
              <w:t>Комплектность документации в соответствии со стандартами</w:t>
            </w:r>
          </w:p>
        </w:tc>
        <w:tc>
          <w:tcPr>
            <w:tcW w:w="7680" w:type="dxa"/>
            <w:tcMar>
              <w:top w:w="100" w:type="dxa"/>
              <w:left w:w="100" w:type="dxa"/>
              <w:bottom w:w="100" w:type="dxa"/>
              <w:right w:w="100" w:type="dxa"/>
            </w:tcMar>
          </w:tcPr>
          <w:p w14:paraId="47DD214F" w14:textId="77777777" w:rsidR="00ED4162" w:rsidRDefault="00ED4162" w:rsidP="00744C39">
            <w:r>
              <w:t xml:space="preserve">Техническое задание содержит пронумерованные разделы 1, 2.1–2.5 и 3, в которых отражены концепция, требования к ИС, особенности визуальной, звуковой, интерфейсной и геймплейной частей, а также выводы по </w:t>
            </w:r>
            <w:r>
              <w:lastRenderedPageBreak/>
              <w:t>проекту. Для учебного проекта такой набор документов можно считать достаточным.</w:t>
            </w:r>
          </w:p>
        </w:tc>
      </w:tr>
    </w:tbl>
    <w:p w14:paraId="6B0E5F13" w14:textId="77777777" w:rsidR="00ED4162" w:rsidRDefault="00ED4162" w:rsidP="00ED4162">
      <w:pPr>
        <w:spacing w:line="240" w:lineRule="auto"/>
        <w:ind w:left="1429"/>
        <w:rPr>
          <w:rFonts w:eastAsia="Times New Roman" w:cs="Times New Roman"/>
          <w:sz w:val="26"/>
          <w:szCs w:val="26"/>
        </w:rPr>
      </w:pPr>
    </w:p>
    <w:p w14:paraId="21625AE8" w14:textId="50A6BC40" w:rsidR="00ED4162" w:rsidRPr="008D2484" w:rsidRDefault="008D2484" w:rsidP="008D2484">
      <w:pPr>
        <w:pStyle w:val="10"/>
        <w:jc w:val="both"/>
        <w:rPr>
          <w:lang w:val="ru-RU"/>
        </w:rPr>
      </w:pPr>
      <w:bookmarkStart w:id="6" w:name="_Toc215700675"/>
      <w:r w:rsidRPr="008D2484">
        <w:rPr>
          <w:lang w:val="ru-RU"/>
        </w:rPr>
        <w:t>Отчет о проделанной работе</w:t>
      </w:r>
      <w:bookmarkEnd w:id="6"/>
    </w:p>
    <w:p w14:paraId="11B554DD" w14:textId="3A5A029B" w:rsidR="008D2484" w:rsidRPr="008D2484" w:rsidRDefault="008D2484" w:rsidP="008D2484">
      <w:pPr>
        <w:rPr>
          <w:lang w:val="ru-RU"/>
        </w:rPr>
      </w:pPr>
      <w:r w:rsidRPr="008D2484">
        <w:rPr>
          <w:lang w:val="ru-RU"/>
        </w:rPr>
        <w:t>В ходе выполнения практической работы №</w:t>
      </w:r>
      <w:r>
        <w:rPr>
          <w:lang w:val="ru-RU"/>
        </w:rPr>
        <w:t>4</w:t>
      </w:r>
      <w:r w:rsidRPr="008D2484">
        <w:rPr>
          <w:lang w:val="ru-RU"/>
        </w:rPr>
        <w:t xml:space="preserve"> по дисциплине МДК 03.01 часть 1 было проанализировано ранее разработанное техническое задание на внедрение программного продукта (игрового приложения «</w:t>
      </w:r>
      <w:proofErr w:type="spellStart"/>
      <w:r w:rsidRPr="008D2484">
        <w:rPr>
          <w:lang w:val="ru-RU"/>
        </w:rPr>
        <w:t>Living</w:t>
      </w:r>
      <w:proofErr w:type="spellEnd"/>
      <w:r w:rsidRPr="008D2484">
        <w:rPr>
          <w:lang w:val="ru-RU"/>
        </w:rPr>
        <w:t xml:space="preserve"> </w:t>
      </w:r>
      <w:proofErr w:type="spellStart"/>
      <w:r w:rsidRPr="008D2484">
        <w:rPr>
          <w:lang w:val="ru-RU"/>
        </w:rPr>
        <w:t>Through</w:t>
      </w:r>
      <w:proofErr w:type="spellEnd"/>
      <w:r w:rsidRPr="008D2484">
        <w:rPr>
          <w:lang w:val="ru-RU"/>
        </w:rPr>
        <w:t>») с точки зрения факторов качества программных средств: «Надежность», «Сопровождаемость» и «Корректность».</w:t>
      </w:r>
    </w:p>
    <w:p w14:paraId="74855383" w14:textId="77777777" w:rsidR="008D2484" w:rsidRPr="008D2484" w:rsidRDefault="008D2484" w:rsidP="008D2484">
      <w:pPr>
        <w:rPr>
          <w:lang w:val="ru-RU"/>
        </w:rPr>
      </w:pPr>
      <w:r w:rsidRPr="008D2484">
        <w:rPr>
          <w:lang w:val="ru-RU"/>
        </w:rPr>
        <w:t>В процессе работы:</w:t>
      </w:r>
    </w:p>
    <w:p w14:paraId="22127143" w14:textId="77777777" w:rsidR="008D2484" w:rsidRPr="008D2484" w:rsidRDefault="008D2484" w:rsidP="008D2484">
      <w:pPr>
        <w:numPr>
          <w:ilvl w:val="0"/>
          <w:numId w:val="10"/>
        </w:numPr>
        <w:rPr>
          <w:lang w:val="ru-RU"/>
        </w:rPr>
      </w:pPr>
      <w:r w:rsidRPr="008D2484">
        <w:rPr>
          <w:lang w:val="ru-RU"/>
        </w:rPr>
        <w:t>проведён детальный разбор разделов ТЗ (1, 2.1–2.5, 3) на предмет наличия или отсутствия соответствующих требований;</w:t>
      </w:r>
    </w:p>
    <w:p w14:paraId="388FDA54" w14:textId="77777777" w:rsidR="008D2484" w:rsidRPr="008D2484" w:rsidRDefault="008D2484" w:rsidP="008D2484">
      <w:pPr>
        <w:numPr>
          <w:ilvl w:val="0"/>
          <w:numId w:val="10"/>
        </w:numPr>
        <w:rPr>
          <w:lang w:val="ru-RU"/>
        </w:rPr>
      </w:pPr>
      <w:r w:rsidRPr="008D2484">
        <w:rPr>
          <w:lang w:val="ru-RU"/>
        </w:rPr>
        <w:t>заполнены таблицы оценки ТЗ по каждому фактору с формулировкой обоснованных пояснений;</w:t>
      </w:r>
    </w:p>
    <w:p w14:paraId="01B78AD5" w14:textId="77777777" w:rsidR="008D2484" w:rsidRPr="008D2484" w:rsidRDefault="008D2484" w:rsidP="008D2484">
      <w:pPr>
        <w:numPr>
          <w:ilvl w:val="0"/>
          <w:numId w:val="10"/>
        </w:numPr>
        <w:rPr>
          <w:lang w:val="ru-RU"/>
        </w:rPr>
      </w:pPr>
      <w:r w:rsidRPr="008D2484">
        <w:rPr>
          <w:lang w:val="ru-RU"/>
        </w:rPr>
        <w:t>уточнена структура модулей, функций, данных и интерфейсов, описанных в ТЗ, а также их взаимосвязей;</w:t>
      </w:r>
    </w:p>
    <w:p w14:paraId="7955B756" w14:textId="77777777" w:rsidR="008D2484" w:rsidRDefault="008D2484" w:rsidP="008D2484">
      <w:pPr>
        <w:numPr>
          <w:ilvl w:val="0"/>
          <w:numId w:val="10"/>
        </w:numPr>
        <w:rPr>
          <w:lang w:val="ru-RU"/>
        </w:rPr>
      </w:pPr>
      <w:r w:rsidRPr="008D2484">
        <w:rPr>
          <w:lang w:val="ru-RU"/>
        </w:rPr>
        <w:t>сделаны выводы о полноте и достаточности документации для понимания, разработки и дальнейшего сопровождения программного продукта.</w:t>
      </w:r>
    </w:p>
    <w:p w14:paraId="11DE7CD0" w14:textId="77777777" w:rsidR="008D2484" w:rsidRDefault="008D2484" w:rsidP="008D2484">
      <w:pPr>
        <w:ind w:left="720" w:firstLine="0"/>
        <w:rPr>
          <w:lang w:val="ru-RU"/>
        </w:rPr>
      </w:pPr>
    </w:p>
    <w:p w14:paraId="114BDC02" w14:textId="5C5B3650" w:rsidR="008D2484" w:rsidRPr="008D2484" w:rsidRDefault="008D2484" w:rsidP="008D2484">
      <w:pPr>
        <w:pStyle w:val="10"/>
        <w:jc w:val="both"/>
        <w:rPr>
          <w:lang w:val="ru-RU"/>
        </w:rPr>
      </w:pPr>
      <w:bookmarkStart w:id="7" w:name="_Toc215700676"/>
      <w:r w:rsidRPr="008D2484">
        <w:t>Выводы по работе</w:t>
      </w:r>
      <w:bookmarkEnd w:id="7"/>
    </w:p>
    <w:p w14:paraId="416DB369" w14:textId="77777777" w:rsidR="008D2484" w:rsidRPr="008D2484" w:rsidRDefault="008D2484" w:rsidP="008D2484">
      <w:pPr>
        <w:rPr>
          <w:lang w:val="ru-RU"/>
        </w:rPr>
      </w:pPr>
      <w:r w:rsidRPr="008D2484">
        <w:rPr>
          <w:lang w:val="ru-RU"/>
        </w:rPr>
        <w:t>В результате выполнения практической работы была закреплена способность не только составлять техническое задание, но и критически его оценивать по ключевым факторам качества программных средств. Определено, какие требования к надежности, сопровождаемости и корректности уже учтены в ТЗ, а какие могут быть предметом дальнейшего уточнения и развития.</w:t>
      </w:r>
    </w:p>
    <w:p w14:paraId="2888A634" w14:textId="77777777" w:rsidR="008D2484" w:rsidRPr="008D2484" w:rsidRDefault="008D2484" w:rsidP="008D2484">
      <w:pPr>
        <w:rPr>
          <w:lang w:val="ru-RU"/>
        </w:rPr>
      </w:pPr>
    </w:p>
    <w:p w14:paraId="288A7649" w14:textId="1D5CD150" w:rsidR="00284490" w:rsidRPr="00284490" w:rsidRDefault="008D2484" w:rsidP="008D2484">
      <w:pPr>
        <w:rPr>
          <w:lang w:val="ru-RU"/>
        </w:rPr>
      </w:pPr>
      <w:r w:rsidRPr="008D2484">
        <w:rPr>
          <w:lang w:val="ru-RU"/>
        </w:rPr>
        <w:lastRenderedPageBreak/>
        <w:t>Поставленная цель работы — научиться анализировать техническое задание на программный продукт с позиции комплексной оценки его качества и комплектности документации — достигнута. Полученные навыки могут быть использованы при разработке и экспертизе ТЗ для других программных проектов.</w:t>
      </w:r>
    </w:p>
    <w:sectPr w:rsidR="00284490" w:rsidRPr="0028449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CA5DFA65-1759-4BD9-A98C-C6676678A58A}"/>
  </w:font>
  <w:font w:name="Cambria">
    <w:panose1 w:val="02040503050406030204"/>
    <w:charset w:val="CC"/>
    <w:family w:val="roman"/>
    <w:pitch w:val="variable"/>
    <w:sig w:usb0="E00006FF" w:usb1="420024FF" w:usb2="02000000" w:usb3="00000000" w:csb0="0000019F" w:csb1="00000000"/>
    <w:embedRegular r:id="rId2" w:fontKey="{A94BFABA-7C19-40BC-BB2B-C1AF70B287D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7E30"/>
    <w:multiLevelType w:val="hybridMultilevel"/>
    <w:tmpl w:val="01020090"/>
    <w:lvl w:ilvl="0" w:tplc="78FE4BE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9AC1E0D"/>
    <w:multiLevelType w:val="multilevel"/>
    <w:tmpl w:val="1736BB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4C68B4"/>
    <w:multiLevelType w:val="multilevel"/>
    <w:tmpl w:val="316A1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DC71AC7"/>
    <w:multiLevelType w:val="multilevel"/>
    <w:tmpl w:val="160067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8D4BD5"/>
    <w:multiLevelType w:val="multilevel"/>
    <w:tmpl w:val="E394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6D121A"/>
    <w:multiLevelType w:val="multilevel"/>
    <w:tmpl w:val="54EC6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81A61D8"/>
    <w:multiLevelType w:val="multilevel"/>
    <w:tmpl w:val="59C68520"/>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53F76431"/>
    <w:multiLevelType w:val="multilevel"/>
    <w:tmpl w:val="F99ED9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F5B32C8"/>
    <w:multiLevelType w:val="multilevel"/>
    <w:tmpl w:val="C2745A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9A0CB1"/>
    <w:multiLevelType w:val="multilevel"/>
    <w:tmpl w:val="29786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277800">
    <w:abstractNumId w:val="7"/>
  </w:num>
  <w:num w:numId="2" w16cid:durableId="6562305">
    <w:abstractNumId w:val="5"/>
  </w:num>
  <w:num w:numId="3" w16cid:durableId="1286473087">
    <w:abstractNumId w:val="8"/>
  </w:num>
  <w:num w:numId="4" w16cid:durableId="1580942102">
    <w:abstractNumId w:val="2"/>
  </w:num>
  <w:num w:numId="5" w16cid:durableId="1941987475">
    <w:abstractNumId w:val="9"/>
  </w:num>
  <w:num w:numId="6" w16cid:durableId="1856187948">
    <w:abstractNumId w:val="1"/>
  </w:num>
  <w:num w:numId="7" w16cid:durableId="316690203">
    <w:abstractNumId w:val="6"/>
  </w:num>
  <w:num w:numId="8" w16cid:durableId="2129271753">
    <w:abstractNumId w:val="3"/>
  </w:num>
  <w:num w:numId="9" w16cid:durableId="683047348">
    <w:abstractNumId w:val="0"/>
  </w:num>
  <w:num w:numId="10" w16cid:durableId="12876661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C7E"/>
    <w:rsid w:val="00073512"/>
    <w:rsid w:val="0007656F"/>
    <w:rsid w:val="001C5046"/>
    <w:rsid w:val="00262A10"/>
    <w:rsid w:val="00284490"/>
    <w:rsid w:val="00314C6B"/>
    <w:rsid w:val="00344646"/>
    <w:rsid w:val="00482D4B"/>
    <w:rsid w:val="00503063"/>
    <w:rsid w:val="006D5F75"/>
    <w:rsid w:val="0073203D"/>
    <w:rsid w:val="00744481"/>
    <w:rsid w:val="007F26C4"/>
    <w:rsid w:val="00811A5F"/>
    <w:rsid w:val="00862A0C"/>
    <w:rsid w:val="00874784"/>
    <w:rsid w:val="00895C7E"/>
    <w:rsid w:val="008D2484"/>
    <w:rsid w:val="0094555B"/>
    <w:rsid w:val="009A5A94"/>
    <w:rsid w:val="009D69F0"/>
    <w:rsid w:val="00A70323"/>
    <w:rsid w:val="00AD4A85"/>
    <w:rsid w:val="00BB2DE7"/>
    <w:rsid w:val="00D00963"/>
    <w:rsid w:val="00D56846"/>
    <w:rsid w:val="00DE6616"/>
    <w:rsid w:val="00E07B5A"/>
    <w:rsid w:val="00E346C1"/>
    <w:rsid w:val="00EC17EB"/>
    <w:rsid w:val="00ED4162"/>
    <w:rsid w:val="00F204B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8F8A7"/>
  <w15:docId w15:val="{1249E249-6F85-4AF9-A660-4287A4763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6846"/>
    <w:pPr>
      <w:spacing w:line="360" w:lineRule="auto"/>
      <w:ind w:firstLine="709"/>
      <w:jc w:val="both"/>
    </w:pPr>
    <w:rPr>
      <w:rFonts w:ascii="Times New Roman" w:hAnsi="Times New Roman"/>
      <w:sz w:val="28"/>
    </w:rPr>
  </w:style>
  <w:style w:type="paragraph" w:styleId="10">
    <w:name w:val="heading 1"/>
    <w:basedOn w:val="a"/>
    <w:next w:val="a"/>
    <w:uiPriority w:val="9"/>
    <w:qFormat/>
    <w:rsid w:val="0094555B"/>
    <w:pPr>
      <w:keepNext/>
      <w:keepLines/>
      <w:jc w:val="center"/>
      <w:outlineLvl w:val="0"/>
    </w:pPr>
    <w:rPr>
      <w:b/>
      <w:bCs/>
      <w:szCs w:val="26"/>
    </w:rPr>
  </w:style>
  <w:style w:type="paragraph" w:styleId="20">
    <w:name w:val="heading 2"/>
    <w:basedOn w:val="a"/>
    <w:next w:val="a"/>
    <w:uiPriority w:val="9"/>
    <w:unhideWhenUsed/>
    <w:qFormat/>
    <w:pPr>
      <w:keepNext/>
      <w:keepLines/>
      <w:jc w:val="center"/>
      <w:outlineLvl w:val="1"/>
    </w:pPr>
    <w:rPr>
      <w:b/>
      <w:bCs/>
      <w:sz w:val="26"/>
      <w:szCs w:val="26"/>
    </w:rPr>
  </w:style>
  <w:style w:type="paragraph" w:styleId="30">
    <w:name w:val="heading 3"/>
    <w:basedOn w:val="a"/>
    <w:next w:val="a"/>
    <w:uiPriority w:val="9"/>
    <w:unhideWhenUsed/>
    <w:qFormat/>
    <w:pPr>
      <w:keepNext/>
      <w:keepLines/>
      <w:jc w:val="center"/>
      <w:outlineLvl w:val="2"/>
    </w:pPr>
    <w:rPr>
      <w:b/>
      <w:bCs/>
      <w:sz w:val="26"/>
      <w:szCs w:val="26"/>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rPr>
  </w:style>
  <w:style w:type="paragraph" w:styleId="6">
    <w:name w:val="heading 6"/>
    <w:basedOn w:val="a"/>
    <w:next w:val="a"/>
    <w:uiPriority w:val="9"/>
    <w:semiHidden/>
    <w:unhideWhenUsed/>
    <w:qFormat/>
    <w:pPr>
      <w:keepNext/>
      <w:keepLines/>
      <w:spacing w:before="240" w:after="80"/>
      <w:outlineLvl w:val="5"/>
    </w:pPr>
    <w:rPr>
      <w:i/>
      <w:iCs/>
      <w:color w:val="666666"/>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hAnsi="Arial"/>
      <w:color w:val="666666"/>
      <w:sz w:val="30"/>
      <w:szCs w:val="30"/>
    </w:rPr>
  </w:style>
  <w:style w:type="paragraph" w:styleId="a5">
    <w:name w:val="List Paragraph"/>
    <w:basedOn w:val="a"/>
    <w:uiPriority w:val="34"/>
    <w:qFormat/>
    <w:rsid w:val="0007656F"/>
    <w:pPr>
      <w:ind w:left="720"/>
      <w:contextualSpacing/>
    </w:pPr>
  </w:style>
  <w:style w:type="paragraph" w:customStyle="1" w:styleId="1">
    <w:name w:val="ТЗ ПУНКТ 1"/>
    <w:basedOn w:val="a"/>
    <w:link w:val="11"/>
    <w:qFormat/>
    <w:rsid w:val="0007656F"/>
    <w:pPr>
      <w:numPr>
        <w:numId w:val="7"/>
      </w:numPr>
    </w:pPr>
    <w:rPr>
      <w:bCs/>
    </w:rPr>
  </w:style>
  <w:style w:type="paragraph" w:customStyle="1" w:styleId="2">
    <w:name w:val="ТЗ ПУНКТ 2"/>
    <w:basedOn w:val="a"/>
    <w:next w:val="3"/>
    <w:link w:val="21"/>
    <w:qFormat/>
    <w:rsid w:val="0007656F"/>
    <w:pPr>
      <w:numPr>
        <w:ilvl w:val="1"/>
        <w:numId w:val="7"/>
      </w:numPr>
    </w:pPr>
  </w:style>
  <w:style w:type="character" w:customStyle="1" w:styleId="11">
    <w:name w:val="ТЗ ПУНКТ 1 Знак"/>
    <w:basedOn w:val="a0"/>
    <w:link w:val="1"/>
    <w:rsid w:val="0007656F"/>
    <w:rPr>
      <w:rFonts w:ascii="Times New Roman" w:hAnsi="Times New Roman"/>
      <w:bCs/>
      <w:sz w:val="28"/>
    </w:rPr>
  </w:style>
  <w:style w:type="paragraph" w:customStyle="1" w:styleId="3">
    <w:name w:val="ТЗ ПУНКТ 3"/>
    <w:basedOn w:val="a"/>
    <w:link w:val="31"/>
    <w:qFormat/>
    <w:rsid w:val="0007656F"/>
    <w:pPr>
      <w:numPr>
        <w:ilvl w:val="2"/>
        <w:numId w:val="7"/>
      </w:numPr>
      <w:ind w:left="0" w:firstLine="709"/>
    </w:pPr>
  </w:style>
  <w:style w:type="character" w:customStyle="1" w:styleId="21">
    <w:name w:val="ТЗ ПУНКТ 2 Знак"/>
    <w:basedOn w:val="a0"/>
    <w:link w:val="2"/>
    <w:rsid w:val="0007656F"/>
    <w:rPr>
      <w:rFonts w:ascii="Times New Roman" w:hAnsi="Times New Roman"/>
      <w:sz w:val="28"/>
    </w:rPr>
  </w:style>
  <w:style w:type="character" w:customStyle="1" w:styleId="31">
    <w:name w:val="ТЗ ПУНКТ 3 Знак"/>
    <w:basedOn w:val="a0"/>
    <w:link w:val="3"/>
    <w:rsid w:val="0007656F"/>
    <w:rPr>
      <w:rFonts w:ascii="Times New Roman" w:hAnsi="Times New Roman"/>
      <w:sz w:val="28"/>
    </w:rPr>
  </w:style>
  <w:style w:type="paragraph" w:styleId="a6">
    <w:name w:val="TOC Heading"/>
    <w:basedOn w:val="10"/>
    <w:next w:val="a"/>
    <w:uiPriority w:val="39"/>
    <w:unhideWhenUsed/>
    <w:qFormat/>
    <w:rsid w:val="00A70323"/>
    <w:pPr>
      <w:spacing w:before="240" w:line="259" w:lineRule="auto"/>
      <w:ind w:firstLine="0"/>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2">
    <w:name w:val="toc 1"/>
    <w:basedOn w:val="a"/>
    <w:next w:val="a"/>
    <w:autoRedefine/>
    <w:uiPriority w:val="39"/>
    <w:unhideWhenUsed/>
    <w:rsid w:val="00A70323"/>
    <w:pPr>
      <w:spacing w:after="100"/>
    </w:pPr>
  </w:style>
  <w:style w:type="character" w:styleId="a7">
    <w:name w:val="Hyperlink"/>
    <w:basedOn w:val="a0"/>
    <w:uiPriority w:val="99"/>
    <w:unhideWhenUsed/>
    <w:rsid w:val="00A703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38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95CDC4-780D-4DC7-AFA6-8F7803B685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13</Pages>
  <Words>2434</Words>
  <Characters>13880</Characters>
  <Application>Microsoft Office Word</Application>
  <DocSecurity>0</DocSecurity>
  <Lines>115</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Антон Петренко</cp:lastModifiedBy>
  <cp:revision>22</cp:revision>
  <dcterms:created xsi:type="dcterms:W3CDTF">2025-11-26T08:32:00Z</dcterms:created>
  <dcterms:modified xsi:type="dcterms:W3CDTF">2025-12-03T21:31:00Z</dcterms:modified>
</cp:coreProperties>
</file>