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26526" w14:textId="77777777" w:rsidR="004F7E23" w:rsidRDefault="00000000">
      <w:pPr>
        <w:spacing w:before="240" w:after="80" w:line="360" w:lineRule="auto"/>
        <w:jc w:val="center"/>
      </w:pPr>
      <w:r>
        <w:rPr>
          <w:rFonts w:ascii="Times New Roman" w:hAnsi="Times New Roman" w:cs="Times New Roman"/>
          <w:b/>
          <w:bCs/>
          <w:color w:val="000000" w:themeColor="text1"/>
          <w:sz w:val="30"/>
          <w:szCs w:val="30"/>
        </w:rPr>
        <w:t>OPEN UNIVERSITY OF KENYA</w:t>
      </w:r>
    </w:p>
    <w:p w14:paraId="40BF3DEB" w14:textId="77777777" w:rsidR="004F7E23" w:rsidRDefault="00000000">
      <w:pPr>
        <w:spacing w:after="60" w:line="360" w:lineRule="auto"/>
        <w:jc w:val="center"/>
      </w:pPr>
      <w:r>
        <w:rPr>
          <w:rFonts w:ascii="Times New Roman" w:hAnsi="Times New Roman" w:cs="Times New Roman"/>
          <w:b/>
          <w:bCs/>
          <w:color w:val="000000" w:themeColor="text1"/>
          <w:sz w:val="26"/>
          <w:szCs w:val="26"/>
        </w:rPr>
        <w:t>SCHOOL OF EDUCATION</w:t>
      </w:r>
    </w:p>
    <w:p w14:paraId="03B7356B" w14:textId="77777777" w:rsidR="004F7E23" w:rsidRDefault="00000000">
      <w:pPr>
        <w:spacing w:after="700" w:line="360" w:lineRule="auto"/>
        <w:jc w:val="center"/>
      </w:pPr>
      <w:r>
        <w:rPr>
          <w:rFonts w:ascii="Times New Roman" w:hAnsi="Times New Roman" w:cs="Times New Roman"/>
          <w:b/>
          <w:bCs/>
          <w:color w:val="000000" w:themeColor="text1"/>
          <w:sz w:val="24"/>
          <w:szCs w:val="24"/>
        </w:rPr>
        <w:t>DEPARTMENT OF TECHNOLOGY EDUCATION</w:t>
      </w:r>
    </w:p>
    <w:p w14:paraId="26890391" w14:textId="77777777" w:rsidR="004F7E23" w:rsidRDefault="00000000">
      <w:pPr>
        <w:spacing w:after="800" w:line="420" w:lineRule="auto"/>
        <w:jc w:val="center"/>
      </w:pPr>
      <w:r>
        <w:rPr>
          <w:rFonts w:ascii="Times New Roman" w:hAnsi="Times New Roman" w:cs="Times New Roman"/>
          <w:b/>
          <w:bCs/>
          <w:color w:val="000000" w:themeColor="text1"/>
          <w:sz w:val="28"/>
          <w:szCs w:val="28"/>
        </w:rPr>
        <w:t>VIRTULAB KENYA: DESIGN, DEVELOPMENT AND EVALUATION OF A WEB-BASED VIRTUAL CHEMISTRY LABORATORY FOR KCSE AND CBE LEARNERS IN KENYAN SECONDARY SCHOOLS</w:t>
      </w:r>
    </w:p>
    <w:p w14:paraId="715AA644" w14:textId="77777777" w:rsidR="004F7E23" w:rsidRDefault="00000000">
      <w:pPr>
        <w:spacing w:after="300" w:line="360" w:lineRule="auto"/>
        <w:jc w:val="center"/>
      </w:pPr>
      <w:r>
        <w:rPr>
          <w:rFonts w:ascii="Times New Roman" w:hAnsi="Times New Roman" w:cs="Times New Roman"/>
          <w:color w:val="000000" w:themeColor="text1"/>
          <w:sz w:val="24"/>
          <w:szCs w:val="24"/>
        </w:rPr>
        <w:t>BY</w:t>
      </w:r>
    </w:p>
    <w:p w14:paraId="3DA981AE" w14:textId="77777777" w:rsidR="004F7E23" w:rsidRDefault="00000000">
      <w:pPr>
        <w:spacing w:after="60" w:line="360" w:lineRule="auto"/>
        <w:jc w:val="center"/>
      </w:pPr>
      <w:r>
        <w:rPr>
          <w:rFonts w:ascii="Times New Roman" w:hAnsi="Times New Roman" w:cs="Times New Roman"/>
          <w:b/>
          <w:bCs/>
          <w:color w:val="000000" w:themeColor="text1"/>
          <w:sz w:val="26"/>
          <w:szCs w:val="26"/>
        </w:rPr>
        <w:t>HARRISON TELLAH MUSENI</w:t>
      </w:r>
    </w:p>
    <w:p w14:paraId="2AE0B72B" w14:textId="77777777" w:rsidR="004F7E23" w:rsidRDefault="00000000">
      <w:pPr>
        <w:spacing w:after="800" w:line="360" w:lineRule="auto"/>
        <w:jc w:val="center"/>
      </w:pPr>
      <w:r>
        <w:rPr>
          <w:rFonts w:ascii="Times New Roman" w:hAnsi="Times New Roman" w:cs="Times New Roman"/>
          <w:b/>
          <w:bCs/>
          <w:color w:val="000000" w:themeColor="text1"/>
          <w:sz w:val="24"/>
          <w:szCs w:val="24"/>
        </w:rPr>
        <w:t>REG. NO: ED61/6061/2025</w:t>
      </w:r>
    </w:p>
    <w:p w14:paraId="09DFC6FD" w14:textId="77777777" w:rsidR="004F7E23" w:rsidRDefault="00000000">
      <w:pPr>
        <w:spacing w:after="800" w:line="380" w:lineRule="auto"/>
        <w:jc w:val="center"/>
      </w:pPr>
      <w:r>
        <w:rPr>
          <w:rFonts w:ascii="Times New Roman" w:hAnsi="Times New Roman" w:cs="Times New Roman"/>
          <w:color w:val="000000" w:themeColor="text1"/>
          <w:sz w:val="24"/>
          <w:szCs w:val="24"/>
        </w:rPr>
        <w:t>A CAPSTONE PROJECT PROPOSAL SUBMITTED IN PARTIAL FULFILMENT OF THE REQUIREMENTS FOR THE AWARD OF THE DEGREE OF MASTER IN LEARNING DESIGN AND TECHNOLOGY IN THE SCHOOL OF EDUCATION, OPEN UNIVERSITY OF KENYA</w:t>
      </w:r>
    </w:p>
    <w:p w14:paraId="68E18DA2" w14:textId="77777777" w:rsidR="004F7E23" w:rsidRDefault="00000000">
      <w:pPr>
        <w:spacing w:line="360" w:lineRule="auto"/>
        <w:jc w:val="center"/>
        <w:sectPr w:rsidR="004F7E23">
          <w:pgSz w:w="12240" w:h="15840"/>
          <w:pgMar w:top="1440" w:right="1440" w:bottom="1440" w:left="1440" w:header="708" w:footer="708" w:gutter="0"/>
          <w:cols w:space="720"/>
          <w:docGrid w:linePitch="360"/>
        </w:sectPr>
      </w:pPr>
      <w:r>
        <w:rPr>
          <w:rFonts w:ascii="Times New Roman" w:hAnsi="Times New Roman" w:cs="Times New Roman"/>
          <w:b/>
          <w:bCs/>
          <w:color w:val="000000" w:themeColor="text1"/>
          <w:sz w:val="24"/>
          <w:szCs w:val="24"/>
        </w:rPr>
        <w:t>SEPTEMBER, 2026</w:t>
      </w:r>
    </w:p>
    <w:p w14:paraId="300362C2" w14:textId="77777777" w:rsidR="004F7E23" w:rsidRDefault="00000000">
      <w:pPr>
        <w:spacing w:before="240" w:after="240" w:line="360" w:lineRule="auto"/>
        <w:jc w:val="center"/>
      </w:pPr>
      <w:r>
        <w:rPr>
          <w:rFonts w:ascii="Times New Roman" w:hAnsi="Times New Roman" w:cs="Times New Roman"/>
          <w:b/>
          <w:bCs/>
          <w:color w:val="000000" w:themeColor="text1"/>
          <w:sz w:val="28"/>
          <w:szCs w:val="28"/>
        </w:rPr>
        <w:lastRenderedPageBreak/>
        <w:t>DECLARATION</w:t>
      </w:r>
    </w:p>
    <w:p w14:paraId="0CF07D54" w14:textId="77777777" w:rsidR="004F7E23" w:rsidRDefault="00000000">
      <w:pPr>
        <w:spacing w:before="120" w:after="80" w:line="360" w:lineRule="auto"/>
      </w:pPr>
      <w:r>
        <w:rPr>
          <w:rFonts w:ascii="Times New Roman" w:hAnsi="Times New Roman" w:cs="Times New Roman"/>
          <w:b/>
          <w:bCs/>
          <w:color w:val="000000" w:themeColor="text1"/>
          <w:sz w:val="24"/>
          <w:szCs w:val="24"/>
        </w:rPr>
        <w:t>Candidate’s Declaration</w:t>
      </w:r>
    </w:p>
    <w:p w14:paraId="0104B29F" w14:textId="77777777" w:rsidR="004F7E23" w:rsidRDefault="00000000">
      <w:pPr>
        <w:spacing w:after="200" w:line="360" w:lineRule="auto"/>
      </w:pPr>
      <w:r>
        <w:rPr>
          <w:rFonts w:ascii="Times New Roman" w:hAnsi="Times New Roman" w:cs="Times New Roman"/>
          <w:color w:val="000000" w:themeColor="text1"/>
          <w:sz w:val="24"/>
          <w:szCs w:val="24"/>
        </w:rPr>
        <w:t>I declare that this capstone project proposal is my own original work and has not been submitted for the award of a degree or diploma in this or any other university. Where the work of others has been used, it has been duly acknowledged through citation and referencing.</w:t>
      </w:r>
    </w:p>
    <w:p w14:paraId="2C452C98" w14:textId="77777777" w:rsidR="004F7E23" w:rsidRDefault="00000000">
      <w:pPr>
        <w:spacing w:after="80" w:line="360" w:lineRule="auto"/>
      </w:pPr>
      <w:r>
        <w:rPr>
          <w:rFonts w:ascii="Times New Roman" w:hAnsi="Times New Roman" w:cs="Times New Roman"/>
          <w:color w:val="000000" w:themeColor="text1"/>
          <w:sz w:val="24"/>
          <w:szCs w:val="24"/>
        </w:rPr>
        <w:t>Signature: _________________________        Date: _________________________</w:t>
      </w:r>
    </w:p>
    <w:p w14:paraId="74CC8AD9" w14:textId="77777777" w:rsidR="004F7E23" w:rsidRDefault="00000000">
      <w:pPr>
        <w:spacing w:after="40" w:line="360" w:lineRule="auto"/>
      </w:pPr>
      <w:r>
        <w:rPr>
          <w:rFonts w:ascii="Times New Roman" w:hAnsi="Times New Roman" w:cs="Times New Roman"/>
          <w:b/>
          <w:bCs/>
          <w:color w:val="000000" w:themeColor="text1"/>
          <w:sz w:val="24"/>
          <w:szCs w:val="24"/>
        </w:rPr>
        <w:t>Harrison Tellah Museni</w:t>
      </w:r>
    </w:p>
    <w:p w14:paraId="65F7A50C" w14:textId="77777777" w:rsidR="004F7E23" w:rsidRDefault="00000000">
      <w:pPr>
        <w:spacing w:after="300" w:line="360" w:lineRule="auto"/>
      </w:pPr>
      <w:r>
        <w:rPr>
          <w:rFonts w:ascii="Times New Roman" w:hAnsi="Times New Roman" w:cs="Times New Roman"/>
          <w:color w:val="000000" w:themeColor="text1"/>
          <w:sz w:val="24"/>
          <w:szCs w:val="24"/>
        </w:rPr>
        <w:t>Reg. No: ED61/6061/2025</w:t>
      </w:r>
    </w:p>
    <w:p w14:paraId="6883A97B" w14:textId="77777777" w:rsidR="004F7E23" w:rsidRDefault="00000000">
      <w:pPr>
        <w:spacing w:before="200" w:after="80" w:line="360" w:lineRule="auto"/>
      </w:pPr>
      <w:r>
        <w:rPr>
          <w:rFonts w:ascii="Times New Roman" w:hAnsi="Times New Roman" w:cs="Times New Roman"/>
          <w:b/>
          <w:bCs/>
          <w:color w:val="000000" w:themeColor="text1"/>
          <w:sz w:val="24"/>
          <w:szCs w:val="24"/>
        </w:rPr>
        <w:t>Supervisor’s Declaration</w:t>
      </w:r>
    </w:p>
    <w:p w14:paraId="1E09B1A5" w14:textId="77777777" w:rsidR="004F7E23" w:rsidRDefault="00000000">
      <w:pPr>
        <w:spacing w:after="200" w:line="360" w:lineRule="auto"/>
      </w:pPr>
      <w:r>
        <w:rPr>
          <w:rFonts w:ascii="Times New Roman" w:hAnsi="Times New Roman" w:cs="Times New Roman"/>
          <w:color w:val="000000" w:themeColor="text1"/>
          <w:sz w:val="24"/>
          <w:szCs w:val="24"/>
        </w:rPr>
        <w:t>This capstone project proposal has been submitted for review with my approval as the appointed university supervisor.</w:t>
      </w:r>
    </w:p>
    <w:p w14:paraId="74F0D83C" w14:textId="77777777" w:rsidR="004F7E23" w:rsidRDefault="00000000">
      <w:pPr>
        <w:spacing w:after="80" w:line="360" w:lineRule="auto"/>
      </w:pPr>
      <w:r>
        <w:rPr>
          <w:rFonts w:ascii="Times New Roman" w:hAnsi="Times New Roman" w:cs="Times New Roman"/>
          <w:color w:val="000000" w:themeColor="text1"/>
          <w:sz w:val="24"/>
          <w:szCs w:val="24"/>
        </w:rPr>
        <w:t>Signature: _________________________        Date: _________________________</w:t>
      </w:r>
    </w:p>
    <w:p w14:paraId="56A47912" w14:textId="77777777" w:rsidR="004F7E23" w:rsidRDefault="00000000">
      <w:pPr>
        <w:spacing w:after="40" w:line="360" w:lineRule="auto"/>
      </w:pPr>
      <w:r>
        <w:rPr>
          <w:rFonts w:ascii="Times New Roman" w:hAnsi="Times New Roman" w:cs="Times New Roman"/>
          <w:b/>
          <w:bCs/>
          <w:color w:val="000000" w:themeColor="text1"/>
          <w:sz w:val="24"/>
          <w:szCs w:val="24"/>
        </w:rPr>
        <w:t>Prof. Wambua Benjamin Kyalo, PhD</w:t>
      </w:r>
    </w:p>
    <w:p w14:paraId="7EC58A5E" w14:textId="77777777" w:rsidR="004F7E23" w:rsidRDefault="00000000">
      <w:pPr>
        <w:spacing w:after="40" w:line="360" w:lineRule="auto"/>
      </w:pPr>
      <w:r>
        <w:rPr>
          <w:rFonts w:ascii="Times New Roman" w:hAnsi="Times New Roman" w:cs="Times New Roman"/>
          <w:color w:val="000000" w:themeColor="text1"/>
          <w:sz w:val="24"/>
          <w:szCs w:val="24"/>
        </w:rPr>
        <w:t>School of Education – Technology Education</w:t>
      </w:r>
    </w:p>
    <w:p w14:paraId="7B5A2863" w14:textId="77777777" w:rsidR="004F7E23" w:rsidRDefault="00000000">
      <w:pPr>
        <w:spacing w:after="200" w:line="360" w:lineRule="auto"/>
      </w:pPr>
      <w:r>
        <w:rPr>
          <w:rFonts w:ascii="Times New Roman" w:hAnsi="Times New Roman" w:cs="Times New Roman"/>
          <w:color w:val="000000" w:themeColor="text1"/>
          <w:sz w:val="24"/>
          <w:szCs w:val="24"/>
        </w:rPr>
        <w:t>Open University of Kenya</w:t>
      </w:r>
    </w:p>
    <w:p w14:paraId="4CCC6210" w14:textId="77777777" w:rsidR="004F7E23" w:rsidRDefault="00000000">
      <w:r>
        <w:br w:type="page"/>
      </w:r>
    </w:p>
    <w:p w14:paraId="57DAE2A4" w14:textId="77777777" w:rsidR="004F7E23" w:rsidRDefault="00000000">
      <w:pPr>
        <w:spacing w:before="240" w:after="240" w:line="360" w:lineRule="auto"/>
        <w:jc w:val="center"/>
      </w:pPr>
      <w:r>
        <w:rPr>
          <w:rFonts w:ascii="Times New Roman" w:hAnsi="Times New Roman" w:cs="Times New Roman"/>
          <w:b/>
          <w:bCs/>
          <w:color w:val="000000" w:themeColor="text1"/>
          <w:sz w:val="28"/>
          <w:szCs w:val="28"/>
        </w:rPr>
        <w:lastRenderedPageBreak/>
        <w:t>DEDICATION</w:t>
      </w:r>
    </w:p>
    <w:p w14:paraId="03359DD3" w14:textId="77777777" w:rsidR="004F7E23" w:rsidRDefault="00000000">
      <w:pPr>
        <w:spacing w:before="200" w:after="200" w:line="380" w:lineRule="auto"/>
      </w:pPr>
      <w:r>
        <w:rPr>
          <w:rFonts w:ascii="Times New Roman" w:hAnsi="Times New Roman" w:cs="Times New Roman"/>
          <w:i/>
          <w:iCs/>
          <w:color w:val="000000" w:themeColor="text1"/>
          <w:sz w:val="24"/>
          <w:szCs w:val="24"/>
        </w:rPr>
        <w:t>This work is dedicated to the chemistry learners of Kenya’s under-resourced secondary schools, whose curiosity for science persists despite empty laboratory shelves, and to my brother Jack, whose steadfast support makes this pursuit possible.</w:t>
      </w:r>
    </w:p>
    <w:p w14:paraId="3AF45EE0" w14:textId="77777777" w:rsidR="004F7E23" w:rsidRDefault="00000000">
      <w:r>
        <w:br w:type="page"/>
      </w:r>
    </w:p>
    <w:p w14:paraId="4BE88C32" w14:textId="77777777" w:rsidR="004F7E23" w:rsidRDefault="00000000">
      <w:pPr>
        <w:spacing w:before="240" w:after="240" w:line="360" w:lineRule="auto"/>
        <w:jc w:val="center"/>
      </w:pPr>
      <w:r>
        <w:rPr>
          <w:rFonts w:ascii="Times New Roman" w:hAnsi="Times New Roman" w:cs="Times New Roman"/>
          <w:b/>
          <w:bCs/>
          <w:color w:val="000000" w:themeColor="text1"/>
          <w:sz w:val="28"/>
          <w:szCs w:val="28"/>
        </w:rPr>
        <w:lastRenderedPageBreak/>
        <w:t>ACKNOWLEDGEMENTS</w:t>
      </w:r>
    </w:p>
    <w:p w14:paraId="33573C52" w14:textId="77777777" w:rsidR="004F7E23" w:rsidRDefault="00000000">
      <w:pPr>
        <w:spacing w:after="160" w:line="360" w:lineRule="auto"/>
      </w:pPr>
      <w:r>
        <w:rPr>
          <w:rFonts w:ascii="Times New Roman" w:hAnsi="Times New Roman" w:cs="Times New Roman"/>
          <w:color w:val="000000" w:themeColor="text1"/>
          <w:sz w:val="24"/>
          <w:szCs w:val="24"/>
        </w:rPr>
        <w:t>I am grateful to the Open University of Kenya, School of Education, for the opportunity to pursue the Master in Learning Design and Technology programme and for the guidance and institutional support provided throughout the development of this capstone proposal.</w:t>
      </w:r>
    </w:p>
    <w:p w14:paraId="34B1EDAE" w14:textId="77777777" w:rsidR="004F7E23" w:rsidRDefault="00000000">
      <w:pPr>
        <w:spacing w:after="160" w:line="360" w:lineRule="auto"/>
      </w:pPr>
      <w:r>
        <w:rPr>
          <w:rFonts w:ascii="Times New Roman" w:hAnsi="Times New Roman" w:cs="Times New Roman"/>
          <w:color w:val="000000" w:themeColor="text1"/>
          <w:sz w:val="24"/>
          <w:szCs w:val="24"/>
        </w:rPr>
        <w:t>My sincere appreciation goes to my university supervisor, Prof. Wambua Benjamin Kyalo, PhD, for his patient guidance, critical critique, intellectual direction, and steady encouragement throughout the conceptualisation and refinement of VirtuLab Kenya.</w:t>
      </w:r>
    </w:p>
    <w:p w14:paraId="28F80886" w14:textId="77777777" w:rsidR="004F7E23" w:rsidRDefault="00000000">
      <w:pPr>
        <w:spacing w:after="160" w:line="360" w:lineRule="auto"/>
      </w:pPr>
      <w:r>
        <w:rPr>
          <w:rFonts w:ascii="Times New Roman" w:hAnsi="Times New Roman" w:cs="Times New Roman"/>
          <w:color w:val="000000" w:themeColor="text1"/>
          <w:sz w:val="24"/>
          <w:szCs w:val="24"/>
        </w:rPr>
        <w:t>I also thank the Board of Management, administration, teaching staff, and students of Makunda Secondary School, Kakamega County, for their support and for the daily classroom realities that inspired this project.</w:t>
      </w:r>
    </w:p>
    <w:p w14:paraId="4E6BCE20" w14:textId="77777777" w:rsidR="004F7E23" w:rsidRDefault="00000000">
      <w:pPr>
        <w:spacing w:after="200" w:line="360" w:lineRule="auto"/>
      </w:pPr>
      <w:r>
        <w:rPr>
          <w:rFonts w:ascii="Times New Roman" w:hAnsi="Times New Roman" w:cs="Times New Roman"/>
          <w:color w:val="000000" w:themeColor="text1"/>
          <w:sz w:val="24"/>
          <w:szCs w:val="24"/>
        </w:rPr>
        <w:t>Finally, I thank my family, colleagues, and classmates in the EDU 801 cohort for their encouragement throughout this journey.</w:t>
      </w:r>
    </w:p>
    <w:p w14:paraId="18CF8C7A" w14:textId="77777777" w:rsidR="004F7E23" w:rsidRDefault="00000000">
      <w:r>
        <w:br w:type="page"/>
      </w:r>
    </w:p>
    <w:p w14:paraId="6D4CD88B" w14:textId="77777777" w:rsidR="004F7E23" w:rsidRDefault="00000000">
      <w:pPr>
        <w:spacing w:before="240" w:after="240" w:line="360" w:lineRule="auto"/>
        <w:jc w:val="center"/>
      </w:pPr>
      <w:r>
        <w:rPr>
          <w:rFonts w:ascii="Times New Roman" w:hAnsi="Times New Roman" w:cs="Times New Roman"/>
          <w:b/>
          <w:bCs/>
          <w:color w:val="000000" w:themeColor="text1"/>
          <w:sz w:val="28"/>
          <w:szCs w:val="28"/>
        </w:rPr>
        <w:lastRenderedPageBreak/>
        <w:t>TABLE OF CONTENTS</w:t>
      </w:r>
    </w:p>
    <w:p w14:paraId="381C3D7D" w14:textId="77777777" w:rsidR="004F7E23" w:rsidRDefault="00000000">
      <w:pPr>
        <w:tabs>
          <w:tab w:val="right" w:leader="dot" w:pos="9360"/>
        </w:tabs>
        <w:spacing w:before="40" w:after="60" w:line="280" w:lineRule="auto"/>
      </w:pPr>
      <w:r>
        <w:rPr>
          <w:rFonts w:ascii="Times New Roman" w:hAnsi="Times New Roman" w:cs="Times New Roman"/>
          <w:b/>
          <w:bCs/>
          <w:color w:val="000000" w:themeColor="text1"/>
        </w:rPr>
        <w:t>Declaration</w:t>
      </w:r>
      <w:r>
        <w:rPr>
          <w:rFonts w:ascii="Times New Roman" w:hAnsi="Times New Roman" w:cs="Times New Roman"/>
          <w:b/>
          <w:bCs/>
          <w:color w:val="000000" w:themeColor="text1"/>
        </w:rPr>
        <w:tab/>
        <w:t>ii</w:t>
      </w:r>
    </w:p>
    <w:p w14:paraId="2E6FBAF4" w14:textId="77777777" w:rsidR="004F7E23" w:rsidRDefault="00000000">
      <w:pPr>
        <w:tabs>
          <w:tab w:val="right" w:leader="dot" w:pos="9360"/>
        </w:tabs>
        <w:spacing w:before="40" w:after="60" w:line="280" w:lineRule="auto"/>
      </w:pPr>
      <w:r>
        <w:rPr>
          <w:rFonts w:ascii="Times New Roman" w:hAnsi="Times New Roman" w:cs="Times New Roman"/>
          <w:b/>
          <w:bCs/>
          <w:color w:val="000000" w:themeColor="text1"/>
        </w:rPr>
        <w:t>Dedication</w:t>
      </w:r>
      <w:r>
        <w:rPr>
          <w:rFonts w:ascii="Times New Roman" w:hAnsi="Times New Roman" w:cs="Times New Roman"/>
          <w:b/>
          <w:bCs/>
          <w:color w:val="000000" w:themeColor="text1"/>
        </w:rPr>
        <w:tab/>
        <w:t>iii</w:t>
      </w:r>
    </w:p>
    <w:p w14:paraId="0F63F49E" w14:textId="77777777" w:rsidR="004F7E23" w:rsidRDefault="00000000">
      <w:pPr>
        <w:tabs>
          <w:tab w:val="right" w:leader="dot" w:pos="9360"/>
        </w:tabs>
        <w:spacing w:before="40" w:after="60" w:line="280" w:lineRule="auto"/>
      </w:pPr>
      <w:r>
        <w:rPr>
          <w:rFonts w:ascii="Times New Roman" w:hAnsi="Times New Roman" w:cs="Times New Roman"/>
          <w:b/>
          <w:bCs/>
          <w:color w:val="000000" w:themeColor="text1"/>
        </w:rPr>
        <w:t>Acknowledgements</w:t>
      </w:r>
      <w:r>
        <w:rPr>
          <w:rFonts w:ascii="Times New Roman" w:hAnsi="Times New Roman" w:cs="Times New Roman"/>
          <w:b/>
          <w:bCs/>
          <w:color w:val="000000" w:themeColor="text1"/>
        </w:rPr>
        <w:tab/>
        <w:t>iv</w:t>
      </w:r>
    </w:p>
    <w:p w14:paraId="08ABF9F0" w14:textId="77777777" w:rsidR="004F7E23" w:rsidRDefault="00000000">
      <w:pPr>
        <w:tabs>
          <w:tab w:val="right" w:leader="dot" w:pos="9360"/>
        </w:tabs>
        <w:spacing w:before="40" w:after="60" w:line="280" w:lineRule="auto"/>
      </w:pPr>
      <w:r>
        <w:rPr>
          <w:rFonts w:ascii="Times New Roman" w:hAnsi="Times New Roman" w:cs="Times New Roman"/>
          <w:b/>
          <w:bCs/>
          <w:color w:val="000000" w:themeColor="text1"/>
        </w:rPr>
        <w:t>Table of Contents</w:t>
      </w:r>
      <w:r>
        <w:rPr>
          <w:rFonts w:ascii="Times New Roman" w:hAnsi="Times New Roman" w:cs="Times New Roman"/>
          <w:b/>
          <w:bCs/>
          <w:color w:val="000000" w:themeColor="text1"/>
        </w:rPr>
        <w:tab/>
        <w:t>v</w:t>
      </w:r>
    </w:p>
    <w:p w14:paraId="48A029EE" w14:textId="77777777" w:rsidR="004F7E23" w:rsidRDefault="00000000">
      <w:pPr>
        <w:tabs>
          <w:tab w:val="right" w:leader="dot" w:pos="9360"/>
        </w:tabs>
        <w:spacing w:before="40" w:after="60" w:line="280" w:lineRule="auto"/>
      </w:pPr>
      <w:r>
        <w:rPr>
          <w:rFonts w:ascii="Times New Roman" w:hAnsi="Times New Roman" w:cs="Times New Roman"/>
          <w:b/>
          <w:bCs/>
          <w:color w:val="000000" w:themeColor="text1"/>
        </w:rPr>
        <w:t>List of Tables</w:t>
      </w:r>
      <w:r>
        <w:rPr>
          <w:rFonts w:ascii="Times New Roman" w:hAnsi="Times New Roman" w:cs="Times New Roman"/>
          <w:b/>
          <w:bCs/>
          <w:color w:val="000000" w:themeColor="text1"/>
        </w:rPr>
        <w:tab/>
        <w:t>vi</w:t>
      </w:r>
    </w:p>
    <w:p w14:paraId="43755CB6" w14:textId="77777777" w:rsidR="004F7E23" w:rsidRDefault="00000000">
      <w:pPr>
        <w:tabs>
          <w:tab w:val="right" w:leader="dot" w:pos="9360"/>
        </w:tabs>
        <w:spacing w:before="40" w:after="60" w:line="280" w:lineRule="auto"/>
      </w:pPr>
      <w:r>
        <w:rPr>
          <w:rFonts w:ascii="Times New Roman" w:hAnsi="Times New Roman" w:cs="Times New Roman"/>
          <w:b/>
          <w:bCs/>
          <w:color w:val="000000" w:themeColor="text1"/>
        </w:rPr>
        <w:t>List of Figures</w:t>
      </w:r>
      <w:r>
        <w:rPr>
          <w:rFonts w:ascii="Times New Roman" w:hAnsi="Times New Roman" w:cs="Times New Roman"/>
          <w:b/>
          <w:bCs/>
          <w:color w:val="000000" w:themeColor="text1"/>
        </w:rPr>
        <w:tab/>
        <w:t>vii</w:t>
      </w:r>
    </w:p>
    <w:p w14:paraId="08729660" w14:textId="77777777" w:rsidR="004F7E23" w:rsidRDefault="00000000">
      <w:pPr>
        <w:tabs>
          <w:tab w:val="right" w:leader="dot" w:pos="9360"/>
        </w:tabs>
        <w:spacing w:before="40" w:after="60" w:line="280" w:lineRule="auto"/>
      </w:pPr>
      <w:r>
        <w:rPr>
          <w:rFonts w:ascii="Times New Roman" w:hAnsi="Times New Roman" w:cs="Times New Roman"/>
          <w:b/>
          <w:bCs/>
          <w:color w:val="000000" w:themeColor="text1"/>
        </w:rPr>
        <w:t>Abbreviations and Acronyms</w:t>
      </w:r>
      <w:r>
        <w:rPr>
          <w:rFonts w:ascii="Times New Roman" w:hAnsi="Times New Roman" w:cs="Times New Roman"/>
          <w:b/>
          <w:bCs/>
          <w:color w:val="000000" w:themeColor="text1"/>
        </w:rPr>
        <w:tab/>
        <w:t>viii</w:t>
      </w:r>
    </w:p>
    <w:p w14:paraId="2EFF95B3" w14:textId="77777777" w:rsidR="004F7E23" w:rsidRDefault="00000000">
      <w:pPr>
        <w:tabs>
          <w:tab w:val="right" w:leader="dot" w:pos="9360"/>
        </w:tabs>
        <w:spacing w:before="40" w:after="60" w:line="280" w:lineRule="auto"/>
      </w:pPr>
      <w:r>
        <w:rPr>
          <w:rFonts w:ascii="Times New Roman" w:hAnsi="Times New Roman" w:cs="Times New Roman"/>
          <w:b/>
          <w:bCs/>
          <w:color w:val="000000" w:themeColor="text1"/>
        </w:rPr>
        <w:t>Operational Definition of Terms</w:t>
      </w:r>
      <w:r>
        <w:rPr>
          <w:rFonts w:ascii="Times New Roman" w:hAnsi="Times New Roman" w:cs="Times New Roman"/>
          <w:b/>
          <w:bCs/>
          <w:color w:val="000000" w:themeColor="text1"/>
        </w:rPr>
        <w:tab/>
        <w:t>ix</w:t>
      </w:r>
    </w:p>
    <w:p w14:paraId="1E1ED00B" w14:textId="77777777" w:rsidR="004F7E23" w:rsidRDefault="00000000">
      <w:pPr>
        <w:tabs>
          <w:tab w:val="right" w:leader="dot" w:pos="9360"/>
        </w:tabs>
        <w:spacing w:before="40" w:after="60" w:line="280" w:lineRule="auto"/>
      </w:pPr>
      <w:r>
        <w:rPr>
          <w:rFonts w:ascii="Times New Roman" w:hAnsi="Times New Roman" w:cs="Times New Roman"/>
          <w:b/>
          <w:bCs/>
          <w:color w:val="000000" w:themeColor="text1"/>
        </w:rPr>
        <w:t>Abstract</w:t>
      </w:r>
      <w:r>
        <w:rPr>
          <w:rFonts w:ascii="Times New Roman" w:hAnsi="Times New Roman" w:cs="Times New Roman"/>
          <w:b/>
          <w:bCs/>
          <w:color w:val="000000" w:themeColor="text1"/>
        </w:rPr>
        <w:tab/>
        <w:t>x</w:t>
      </w:r>
    </w:p>
    <w:p w14:paraId="1F1FEB92" w14:textId="77777777" w:rsidR="004F7E23" w:rsidRDefault="00000000">
      <w:pPr>
        <w:tabs>
          <w:tab w:val="right" w:leader="dot" w:pos="9360"/>
        </w:tabs>
        <w:spacing w:before="40" w:after="60" w:line="280" w:lineRule="auto"/>
      </w:pPr>
      <w:r>
        <w:rPr>
          <w:rFonts w:ascii="Times New Roman" w:hAnsi="Times New Roman" w:cs="Times New Roman"/>
          <w:b/>
          <w:bCs/>
          <w:color w:val="000000" w:themeColor="text1"/>
        </w:rPr>
        <w:t>CHAPTER ONE: PROBLEM IDENTIFICATION</w:t>
      </w:r>
      <w:r>
        <w:rPr>
          <w:rFonts w:ascii="Times New Roman" w:hAnsi="Times New Roman" w:cs="Times New Roman"/>
          <w:b/>
          <w:bCs/>
          <w:color w:val="000000" w:themeColor="text1"/>
        </w:rPr>
        <w:tab/>
        <w:t>1</w:t>
      </w:r>
    </w:p>
    <w:p w14:paraId="269D1502"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1.1 Background to the Problem</w:t>
      </w:r>
      <w:r>
        <w:rPr>
          <w:rFonts w:ascii="Times New Roman" w:hAnsi="Times New Roman" w:cs="Times New Roman"/>
          <w:color w:val="000000" w:themeColor="text1"/>
        </w:rPr>
        <w:tab/>
        <w:t>1</w:t>
      </w:r>
    </w:p>
    <w:p w14:paraId="733BC6D0"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1.2 The Laboratory Infrastructure Crisis</w:t>
      </w:r>
      <w:r>
        <w:rPr>
          <w:rFonts w:ascii="Times New Roman" w:hAnsi="Times New Roman" w:cs="Times New Roman"/>
          <w:color w:val="000000" w:themeColor="text1"/>
        </w:rPr>
        <w:tab/>
        <w:t>1</w:t>
      </w:r>
    </w:p>
    <w:p w14:paraId="574718A4"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1.3 Digital Interventions in Low-Resource Contexts</w:t>
      </w:r>
      <w:r>
        <w:rPr>
          <w:rFonts w:ascii="Times New Roman" w:hAnsi="Times New Roman" w:cs="Times New Roman"/>
          <w:color w:val="000000" w:themeColor="text1"/>
        </w:rPr>
        <w:tab/>
        <w:t>1</w:t>
      </w:r>
    </w:p>
    <w:p w14:paraId="5D8927D0"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1.4 Problem Identification</w:t>
      </w:r>
      <w:r>
        <w:rPr>
          <w:rFonts w:ascii="Times New Roman" w:hAnsi="Times New Roman" w:cs="Times New Roman"/>
          <w:color w:val="000000" w:themeColor="text1"/>
        </w:rPr>
        <w:tab/>
        <w:t>2</w:t>
      </w:r>
    </w:p>
    <w:p w14:paraId="71C94767"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1.5 Problem Statement</w:t>
      </w:r>
      <w:r>
        <w:rPr>
          <w:rFonts w:ascii="Times New Roman" w:hAnsi="Times New Roman" w:cs="Times New Roman"/>
          <w:color w:val="000000" w:themeColor="text1"/>
        </w:rPr>
        <w:tab/>
        <w:t>2</w:t>
      </w:r>
    </w:p>
    <w:p w14:paraId="51C52963"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1.6 Purpose of the Capstone Project</w:t>
      </w:r>
      <w:r>
        <w:rPr>
          <w:rFonts w:ascii="Times New Roman" w:hAnsi="Times New Roman" w:cs="Times New Roman"/>
          <w:color w:val="000000" w:themeColor="text1"/>
        </w:rPr>
        <w:tab/>
        <w:t>2</w:t>
      </w:r>
    </w:p>
    <w:p w14:paraId="13D19542"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1.7 Objectives of the Capstone Project</w:t>
      </w:r>
      <w:r>
        <w:rPr>
          <w:rFonts w:ascii="Times New Roman" w:hAnsi="Times New Roman" w:cs="Times New Roman"/>
          <w:color w:val="000000" w:themeColor="text1"/>
        </w:rPr>
        <w:tab/>
        <w:t>2</w:t>
      </w:r>
    </w:p>
    <w:p w14:paraId="6A57B3BB" w14:textId="77777777" w:rsidR="004F7E23" w:rsidRDefault="00000000">
      <w:pPr>
        <w:tabs>
          <w:tab w:val="right" w:leader="dot" w:pos="9360"/>
        </w:tabs>
        <w:spacing w:before="40" w:after="60" w:line="280" w:lineRule="auto"/>
        <w:ind w:left="400"/>
      </w:pPr>
      <w:r>
        <w:rPr>
          <w:rFonts w:ascii="Times New Roman" w:hAnsi="Times New Roman" w:cs="Times New Roman"/>
          <w:color w:val="000000" w:themeColor="text1"/>
        </w:rPr>
        <w:t>1.7.1 General Objective</w:t>
      </w:r>
      <w:r>
        <w:rPr>
          <w:rFonts w:ascii="Times New Roman" w:hAnsi="Times New Roman" w:cs="Times New Roman"/>
          <w:color w:val="000000" w:themeColor="text1"/>
        </w:rPr>
        <w:tab/>
        <w:t>2</w:t>
      </w:r>
    </w:p>
    <w:p w14:paraId="4196F3F6" w14:textId="77777777" w:rsidR="004F7E23" w:rsidRDefault="00000000">
      <w:pPr>
        <w:tabs>
          <w:tab w:val="right" w:leader="dot" w:pos="9360"/>
        </w:tabs>
        <w:spacing w:before="40" w:after="60" w:line="280" w:lineRule="auto"/>
        <w:ind w:left="400"/>
      </w:pPr>
      <w:r>
        <w:rPr>
          <w:rFonts w:ascii="Times New Roman" w:hAnsi="Times New Roman" w:cs="Times New Roman"/>
          <w:color w:val="000000" w:themeColor="text1"/>
        </w:rPr>
        <w:t>1.7.2 Specific Objectives</w:t>
      </w:r>
      <w:r>
        <w:rPr>
          <w:rFonts w:ascii="Times New Roman" w:hAnsi="Times New Roman" w:cs="Times New Roman"/>
          <w:color w:val="000000" w:themeColor="text1"/>
        </w:rPr>
        <w:tab/>
        <w:t>2</w:t>
      </w:r>
    </w:p>
    <w:p w14:paraId="5719F4D7"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1.8 Research Questions</w:t>
      </w:r>
      <w:r>
        <w:rPr>
          <w:rFonts w:ascii="Times New Roman" w:hAnsi="Times New Roman" w:cs="Times New Roman"/>
          <w:color w:val="000000" w:themeColor="text1"/>
        </w:rPr>
        <w:tab/>
        <w:t>3</w:t>
      </w:r>
    </w:p>
    <w:p w14:paraId="19D2B918"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1.9 Research Hypotheses</w:t>
      </w:r>
      <w:r>
        <w:rPr>
          <w:rFonts w:ascii="Times New Roman" w:hAnsi="Times New Roman" w:cs="Times New Roman"/>
          <w:color w:val="000000" w:themeColor="text1"/>
        </w:rPr>
        <w:tab/>
        <w:t>3</w:t>
      </w:r>
    </w:p>
    <w:p w14:paraId="44139127"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1.10 Significance of the Capstone Project</w:t>
      </w:r>
      <w:r>
        <w:rPr>
          <w:rFonts w:ascii="Times New Roman" w:hAnsi="Times New Roman" w:cs="Times New Roman"/>
          <w:color w:val="000000" w:themeColor="text1"/>
        </w:rPr>
        <w:tab/>
        <w:t>3</w:t>
      </w:r>
    </w:p>
    <w:p w14:paraId="3DB4714A"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1.11 Scope of the Capstone Project</w:t>
      </w:r>
      <w:r>
        <w:rPr>
          <w:rFonts w:ascii="Times New Roman" w:hAnsi="Times New Roman" w:cs="Times New Roman"/>
          <w:color w:val="000000" w:themeColor="text1"/>
        </w:rPr>
        <w:tab/>
        <w:t>4</w:t>
      </w:r>
    </w:p>
    <w:p w14:paraId="4E6B01D8"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1.12 Delimitations</w:t>
      </w:r>
      <w:r>
        <w:rPr>
          <w:rFonts w:ascii="Times New Roman" w:hAnsi="Times New Roman" w:cs="Times New Roman"/>
          <w:color w:val="000000" w:themeColor="text1"/>
        </w:rPr>
        <w:tab/>
        <w:t>4</w:t>
      </w:r>
    </w:p>
    <w:p w14:paraId="7A328CC3"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1.13 Limitations</w:t>
      </w:r>
      <w:r>
        <w:rPr>
          <w:rFonts w:ascii="Times New Roman" w:hAnsi="Times New Roman" w:cs="Times New Roman"/>
          <w:color w:val="000000" w:themeColor="text1"/>
        </w:rPr>
        <w:tab/>
        <w:t>4</w:t>
      </w:r>
    </w:p>
    <w:p w14:paraId="004F181E"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1.14 Assumptions</w:t>
      </w:r>
      <w:r>
        <w:rPr>
          <w:rFonts w:ascii="Times New Roman" w:hAnsi="Times New Roman" w:cs="Times New Roman"/>
          <w:color w:val="000000" w:themeColor="text1"/>
        </w:rPr>
        <w:tab/>
        <w:t>4</w:t>
      </w:r>
    </w:p>
    <w:p w14:paraId="755CF35D"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1.15 Definition of Key Terms</w:t>
      </w:r>
      <w:r>
        <w:rPr>
          <w:rFonts w:ascii="Times New Roman" w:hAnsi="Times New Roman" w:cs="Times New Roman"/>
          <w:color w:val="000000" w:themeColor="text1"/>
        </w:rPr>
        <w:tab/>
        <w:t>4</w:t>
      </w:r>
    </w:p>
    <w:p w14:paraId="09F12708"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1.16 Chapter Summary</w:t>
      </w:r>
      <w:r>
        <w:rPr>
          <w:rFonts w:ascii="Times New Roman" w:hAnsi="Times New Roman" w:cs="Times New Roman"/>
          <w:color w:val="000000" w:themeColor="text1"/>
        </w:rPr>
        <w:tab/>
        <w:t>4</w:t>
      </w:r>
    </w:p>
    <w:p w14:paraId="03732385" w14:textId="77777777" w:rsidR="004F7E23" w:rsidRDefault="00000000">
      <w:pPr>
        <w:tabs>
          <w:tab w:val="right" w:leader="dot" w:pos="9360"/>
        </w:tabs>
        <w:spacing w:before="40" w:after="60" w:line="280" w:lineRule="auto"/>
      </w:pPr>
      <w:r>
        <w:rPr>
          <w:rFonts w:ascii="Times New Roman" w:hAnsi="Times New Roman" w:cs="Times New Roman"/>
          <w:b/>
          <w:bCs/>
          <w:color w:val="000000" w:themeColor="text1"/>
        </w:rPr>
        <w:t>CHAPTER TWO: RESEARCH AND ANALYSIS</w:t>
      </w:r>
      <w:r>
        <w:rPr>
          <w:rFonts w:ascii="Times New Roman" w:hAnsi="Times New Roman" w:cs="Times New Roman"/>
          <w:b/>
          <w:bCs/>
          <w:color w:val="000000" w:themeColor="text1"/>
        </w:rPr>
        <w:tab/>
        <w:t>6</w:t>
      </w:r>
    </w:p>
    <w:p w14:paraId="73264EF9"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2.1 Conceptualisation of the Problem</w:t>
      </w:r>
      <w:r>
        <w:rPr>
          <w:rFonts w:ascii="Times New Roman" w:hAnsi="Times New Roman" w:cs="Times New Roman"/>
          <w:color w:val="000000" w:themeColor="text1"/>
        </w:rPr>
        <w:tab/>
        <w:t>6</w:t>
      </w:r>
    </w:p>
    <w:p w14:paraId="1FB0A65D"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2.2 Review of Related Literature</w:t>
      </w:r>
      <w:r>
        <w:rPr>
          <w:rFonts w:ascii="Times New Roman" w:hAnsi="Times New Roman" w:cs="Times New Roman"/>
          <w:color w:val="000000" w:themeColor="text1"/>
        </w:rPr>
        <w:tab/>
        <w:t>6</w:t>
      </w:r>
    </w:p>
    <w:p w14:paraId="56EAF3A8" w14:textId="77777777" w:rsidR="004F7E23" w:rsidRDefault="00000000">
      <w:pPr>
        <w:tabs>
          <w:tab w:val="right" w:leader="dot" w:pos="9360"/>
        </w:tabs>
        <w:spacing w:before="40" w:after="60" w:line="280" w:lineRule="auto"/>
        <w:ind w:left="400"/>
      </w:pPr>
      <w:r>
        <w:rPr>
          <w:rFonts w:ascii="Times New Roman" w:hAnsi="Times New Roman" w:cs="Times New Roman"/>
          <w:color w:val="000000" w:themeColor="text1"/>
        </w:rPr>
        <w:t>2.2.1 Educational Inequity in Science Access</w:t>
      </w:r>
      <w:r>
        <w:rPr>
          <w:rFonts w:ascii="Times New Roman" w:hAnsi="Times New Roman" w:cs="Times New Roman"/>
          <w:color w:val="000000" w:themeColor="text1"/>
        </w:rPr>
        <w:tab/>
        <w:t>6</w:t>
      </w:r>
    </w:p>
    <w:p w14:paraId="0E9264E0" w14:textId="77777777" w:rsidR="004F7E23" w:rsidRDefault="00000000">
      <w:pPr>
        <w:tabs>
          <w:tab w:val="right" w:leader="dot" w:pos="9360"/>
        </w:tabs>
        <w:spacing w:before="40" w:after="60" w:line="280" w:lineRule="auto"/>
        <w:ind w:left="400"/>
      </w:pPr>
      <w:r>
        <w:rPr>
          <w:rFonts w:ascii="Times New Roman" w:hAnsi="Times New Roman" w:cs="Times New Roman"/>
          <w:color w:val="000000" w:themeColor="text1"/>
        </w:rPr>
        <w:t>2.2.2 Role of Virtual Laboratories</w:t>
      </w:r>
      <w:r>
        <w:rPr>
          <w:rFonts w:ascii="Times New Roman" w:hAnsi="Times New Roman" w:cs="Times New Roman"/>
          <w:color w:val="000000" w:themeColor="text1"/>
        </w:rPr>
        <w:tab/>
        <w:t>6</w:t>
      </w:r>
    </w:p>
    <w:p w14:paraId="2134ADFC" w14:textId="77777777" w:rsidR="004F7E23" w:rsidRDefault="00000000">
      <w:pPr>
        <w:tabs>
          <w:tab w:val="right" w:leader="dot" w:pos="9360"/>
        </w:tabs>
        <w:spacing w:before="40" w:after="60" w:line="280" w:lineRule="auto"/>
        <w:ind w:left="400"/>
      </w:pPr>
      <w:r>
        <w:rPr>
          <w:rFonts w:ascii="Times New Roman" w:hAnsi="Times New Roman" w:cs="Times New Roman"/>
          <w:color w:val="000000" w:themeColor="text1"/>
        </w:rPr>
        <w:t>2.2.3 Contextualised Technology Integration</w:t>
      </w:r>
      <w:r>
        <w:rPr>
          <w:rFonts w:ascii="Times New Roman" w:hAnsi="Times New Roman" w:cs="Times New Roman"/>
          <w:color w:val="000000" w:themeColor="text1"/>
        </w:rPr>
        <w:tab/>
        <w:t>6</w:t>
      </w:r>
    </w:p>
    <w:p w14:paraId="7D035065" w14:textId="77777777" w:rsidR="004F7E23" w:rsidRDefault="00000000">
      <w:pPr>
        <w:tabs>
          <w:tab w:val="right" w:leader="dot" w:pos="9360"/>
        </w:tabs>
        <w:spacing w:before="40" w:after="60" w:line="280" w:lineRule="auto"/>
        <w:ind w:left="400"/>
      </w:pPr>
      <w:r>
        <w:rPr>
          <w:rFonts w:ascii="Times New Roman" w:hAnsi="Times New Roman" w:cs="Times New Roman"/>
          <w:color w:val="000000" w:themeColor="text1"/>
        </w:rPr>
        <w:lastRenderedPageBreak/>
        <w:t>2.2.4 Constructivist Approaches in Digital Pedagogy</w:t>
      </w:r>
      <w:r>
        <w:rPr>
          <w:rFonts w:ascii="Times New Roman" w:hAnsi="Times New Roman" w:cs="Times New Roman"/>
          <w:color w:val="000000" w:themeColor="text1"/>
        </w:rPr>
        <w:tab/>
        <w:t>6</w:t>
      </w:r>
    </w:p>
    <w:p w14:paraId="03302735"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2.3 Theoretical / Conceptual Framework</w:t>
      </w:r>
      <w:r>
        <w:rPr>
          <w:rFonts w:ascii="Times New Roman" w:hAnsi="Times New Roman" w:cs="Times New Roman"/>
          <w:color w:val="000000" w:themeColor="text1"/>
        </w:rPr>
        <w:tab/>
        <w:t>6</w:t>
      </w:r>
    </w:p>
    <w:p w14:paraId="695CE11C" w14:textId="77777777" w:rsidR="004F7E23" w:rsidRDefault="00000000">
      <w:pPr>
        <w:tabs>
          <w:tab w:val="right" w:leader="dot" w:pos="9360"/>
        </w:tabs>
        <w:spacing w:before="40" w:after="60" w:line="280" w:lineRule="auto"/>
        <w:ind w:left="400"/>
      </w:pPr>
      <w:r>
        <w:rPr>
          <w:rFonts w:ascii="Times New Roman" w:hAnsi="Times New Roman" w:cs="Times New Roman"/>
          <w:color w:val="000000" w:themeColor="text1"/>
        </w:rPr>
        <w:t>2.3.1 Constructivism and Inquiry-Based Science Education (IBSE)</w:t>
      </w:r>
      <w:r>
        <w:rPr>
          <w:rFonts w:ascii="Times New Roman" w:hAnsi="Times New Roman" w:cs="Times New Roman"/>
          <w:color w:val="000000" w:themeColor="text1"/>
        </w:rPr>
        <w:tab/>
        <w:t>7</w:t>
      </w:r>
    </w:p>
    <w:p w14:paraId="2B34EC9B" w14:textId="77777777" w:rsidR="004F7E23" w:rsidRDefault="00000000">
      <w:pPr>
        <w:tabs>
          <w:tab w:val="right" w:leader="dot" w:pos="9360"/>
        </w:tabs>
        <w:spacing w:before="40" w:after="60" w:line="280" w:lineRule="auto"/>
        <w:ind w:left="400"/>
      </w:pPr>
      <w:r>
        <w:rPr>
          <w:rFonts w:ascii="Times New Roman" w:hAnsi="Times New Roman" w:cs="Times New Roman"/>
          <w:color w:val="000000" w:themeColor="text1"/>
        </w:rPr>
        <w:t>2.3.2 Cognitive Theory of Multimedia Learning and Cognitive Load Theory</w:t>
      </w:r>
      <w:r>
        <w:rPr>
          <w:rFonts w:ascii="Times New Roman" w:hAnsi="Times New Roman" w:cs="Times New Roman"/>
          <w:color w:val="000000" w:themeColor="text1"/>
        </w:rPr>
        <w:tab/>
        <w:t>7</w:t>
      </w:r>
    </w:p>
    <w:p w14:paraId="2865C356" w14:textId="77777777" w:rsidR="004F7E23" w:rsidRDefault="00000000">
      <w:pPr>
        <w:tabs>
          <w:tab w:val="right" w:leader="dot" w:pos="9360"/>
        </w:tabs>
        <w:spacing w:before="40" w:after="60" w:line="280" w:lineRule="auto"/>
        <w:ind w:left="400"/>
      </w:pPr>
      <w:r>
        <w:rPr>
          <w:rFonts w:ascii="Times New Roman" w:hAnsi="Times New Roman" w:cs="Times New Roman"/>
          <w:color w:val="000000" w:themeColor="text1"/>
        </w:rPr>
        <w:t>2.3.3 Technology Acceptance Model (TAM 3)</w:t>
      </w:r>
      <w:r>
        <w:rPr>
          <w:rFonts w:ascii="Times New Roman" w:hAnsi="Times New Roman" w:cs="Times New Roman"/>
          <w:color w:val="000000" w:themeColor="text1"/>
        </w:rPr>
        <w:tab/>
        <w:t>7</w:t>
      </w:r>
    </w:p>
    <w:p w14:paraId="63038997" w14:textId="77777777" w:rsidR="004F7E23" w:rsidRDefault="00000000">
      <w:pPr>
        <w:tabs>
          <w:tab w:val="right" w:leader="dot" w:pos="9360"/>
        </w:tabs>
        <w:spacing w:before="40" w:after="60" w:line="280" w:lineRule="auto"/>
        <w:ind w:left="400"/>
      </w:pPr>
      <w:r>
        <w:rPr>
          <w:rFonts w:ascii="Times New Roman" w:hAnsi="Times New Roman" w:cs="Times New Roman"/>
          <w:color w:val="000000" w:themeColor="text1"/>
        </w:rPr>
        <w:t>2.3.4 Conceptual Framework</w:t>
      </w:r>
      <w:r>
        <w:rPr>
          <w:rFonts w:ascii="Times New Roman" w:hAnsi="Times New Roman" w:cs="Times New Roman"/>
          <w:color w:val="000000" w:themeColor="text1"/>
        </w:rPr>
        <w:tab/>
        <w:t>7</w:t>
      </w:r>
    </w:p>
    <w:p w14:paraId="19C24D69"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2.4 Review of Existing Practices, Policies and Interventions</w:t>
      </w:r>
      <w:r>
        <w:rPr>
          <w:rFonts w:ascii="Times New Roman" w:hAnsi="Times New Roman" w:cs="Times New Roman"/>
          <w:color w:val="000000" w:themeColor="text1"/>
        </w:rPr>
        <w:tab/>
        <w:t>8</w:t>
      </w:r>
    </w:p>
    <w:p w14:paraId="4E2069AB"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2.5 Benchmarking and Comparative Analysis</w:t>
      </w:r>
      <w:r>
        <w:rPr>
          <w:rFonts w:ascii="Times New Roman" w:hAnsi="Times New Roman" w:cs="Times New Roman"/>
          <w:color w:val="000000" w:themeColor="text1"/>
        </w:rPr>
        <w:tab/>
        <w:t>8</w:t>
      </w:r>
    </w:p>
    <w:p w14:paraId="4C82AB9F"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2.6 Research / Project Methodology</w:t>
      </w:r>
      <w:r>
        <w:rPr>
          <w:rFonts w:ascii="Times New Roman" w:hAnsi="Times New Roman" w:cs="Times New Roman"/>
          <w:color w:val="000000" w:themeColor="text1"/>
        </w:rPr>
        <w:tab/>
        <w:t>8</w:t>
      </w:r>
    </w:p>
    <w:p w14:paraId="4BFEDF2F" w14:textId="77777777" w:rsidR="004F7E23" w:rsidRDefault="00000000">
      <w:pPr>
        <w:tabs>
          <w:tab w:val="right" w:leader="dot" w:pos="9360"/>
        </w:tabs>
        <w:spacing w:before="40" w:after="60" w:line="280" w:lineRule="auto"/>
        <w:ind w:left="400"/>
      </w:pPr>
      <w:r>
        <w:rPr>
          <w:rFonts w:ascii="Times New Roman" w:hAnsi="Times New Roman" w:cs="Times New Roman"/>
          <w:color w:val="000000" w:themeColor="text1"/>
        </w:rPr>
        <w:t>2.6.1 Research Design</w:t>
      </w:r>
      <w:r>
        <w:rPr>
          <w:rFonts w:ascii="Times New Roman" w:hAnsi="Times New Roman" w:cs="Times New Roman"/>
          <w:color w:val="000000" w:themeColor="text1"/>
        </w:rPr>
        <w:tab/>
        <w:t>8</w:t>
      </w:r>
    </w:p>
    <w:p w14:paraId="0BC4E18C" w14:textId="77777777" w:rsidR="004F7E23" w:rsidRDefault="00000000">
      <w:pPr>
        <w:tabs>
          <w:tab w:val="right" w:leader="dot" w:pos="9360"/>
        </w:tabs>
        <w:spacing w:before="40" w:after="60" w:line="280" w:lineRule="auto"/>
        <w:ind w:left="400"/>
      </w:pPr>
      <w:r>
        <w:rPr>
          <w:rFonts w:ascii="Times New Roman" w:hAnsi="Times New Roman" w:cs="Times New Roman"/>
          <w:color w:val="000000" w:themeColor="text1"/>
        </w:rPr>
        <w:t>2.6.2 Target Population and Sampling Strategy</w:t>
      </w:r>
      <w:r>
        <w:rPr>
          <w:rFonts w:ascii="Times New Roman" w:hAnsi="Times New Roman" w:cs="Times New Roman"/>
          <w:color w:val="000000" w:themeColor="text1"/>
        </w:rPr>
        <w:tab/>
        <w:t>8</w:t>
      </w:r>
    </w:p>
    <w:p w14:paraId="1B0D78AD" w14:textId="77777777" w:rsidR="004F7E23" w:rsidRDefault="00000000">
      <w:pPr>
        <w:tabs>
          <w:tab w:val="right" w:leader="dot" w:pos="9360"/>
        </w:tabs>
        <w:spacing w:before="40" w:after="60" w:line="280" w:lineRule="auto"/>
        <w:ind w:left="400"/>
      </w:pPr>
      <w:r>
        <w:rPr>
          <w:rFonts w:ascii="Times New Roman" w:hAnsi="Times New Roman" w:cs="Times New Roman"/>
          <w:color w:val="000000" w:themeColor="text1"/>
        </w:rPr>
        <w:t>2.6.3 Data Collection Instruments</w:t>
      </w:r>
      <w:r>
        <w:rPr>
          <w:rFonts w:ascii="Times New Roman" w:hAnsi="Times New Roman" w:cs="Times New Roman"/>
          <w:color w:val="000000" w:themeColor="text1"/>
        </w:rPr>
        <w:tab/>
        <w:t>9</w:t>
      </w:r>
    </w:p>
    <w:p w14:paraId="6EDB3CE4" w14:textId="77777777" w:rsidR="004F7E23" w:rsidRDefault="00000000">
      <w:pPr>
        <w:tabs>
          <w:tab w:val="right" w:leader="dot" w:pos="9360"/>
        </w:tabs>
        <w:spacing w:before="40" w:after="60" w:line="280" w:lineRule="auto"/>
        <w:ind w:left="400"/>
      </w:pPr>
      <w:r>
        <w:rPr>
          <w:rFonts w:ascii="Times New Roman" w:hAnsi="Times New Roman" w:cs="Times New Roman"/>
          <w:color w:val="000000" w:themeColor="text1"/>
        </w:rPr>
        <w:t>2.6.4 Validity of Instruments</w:t>
      </w:r>
      <w:r>
        <w:rPr>
          <w:rFonts w:ascii="Times New Roman" w:hAnsi="Times New Roman" w:cs="Times New Roman"/>
          <w:color w:val="000000" w:themeColor="text1"/>
        </w:rPr>
        <w:tab/>
        <w:t>9</w:t>
      </w:r>
    </w:p>
    <w:p w14:paraId="6BBBF1EF" w14:textId="77777777" w:rsidR="004F7E23" w:rsidRDefault="00000000">
      <w:pPr>
        <w:tabs>
          <w:tab w:val="right" w:leader="dot" w:pos="9360"/>
        </w:tabs>
        <w:spacing w:before="40" w:after="60" w:line="280" w:lineRule="auto"/>
        <w:ind w:left="400"/>
      </w:pPr>
      <w:r>
        <w:rPr>
          <w:rFonts w:ascii="Times New Roman" w:hAnsi="Times New Roman" w:cs="Times New Roman"/>
          <w:color w:val="000000" w:themeColor="text1"/>
        </w:rPr>
        <w:t>2.6.5 Reliability / Trustworthiness</w:t>
      </w:r>
      <w:r>
        <w:rPr>
          <w:rFonts w:ascii="Times New Roman" w:hAnsi="Times New Roman" w:cs="Times New Roman"/>
          <w:color w:val="000000" w:themeColor="text1"/>
        </w:rPr>
        <w:tab/>
        <w:t>9</w:t>
      </w:r>
    </w:p>
    <w:p w14:paraId="243D4873" w14:textId="77777777" w:rsidR="004F7E23" w:rsidRDefault="00000000">
      <w:pPr>
        <w:tabs>
          <w:tab w:val="right" w:leader="dot" w:pos="9360"/>
        </w:tabs>
        <w:spacing w:before="40" w:after="60" w:line="280" w:lineRule="auto"/>
        <w:ind w:left="400"/>
      </w:pPr>
      <w:r>
        <w:rPr>
          <w:rFonts w:ascii="Times New Roman" w:hAnsi="Times New Roman" w:cs="Times New Roman"/>
          <w:color w:val="000000" w:themeColor="text1"/>
        </w:rPr>
        <w:t>2.6.6 Data Collection Procedures</w:t>
      </w:r>
      <w:r>
        <w:rPr>
          <w:rFonts w:ascii="Times New Roman" w:hAnsi="Times New Roman" w:cs="Times New Roman"/>
          <w:color w:val="000000" w:themeColor="text1"/>
        </w:rPr>
        <w:tab/>
        <w:t>9</w:t>
      </w:r>
    </w:p>
    <w:p w14:paraId="5E112989" w14:textId="77777777" w:rsidR="004F7E23" w:rsidRDefault="00000000">
      <w:pPr>
        <w:tabs>
          <w:tab w:val="right" w:leader="dot" w:pos="9360"/>
        </w:tabs>
        <w:spacing w:before="40" w:after="60" w:line="280" w:lineRule="auto"/>
        <w:ind w:left="400"/>
      </w:pPr>
      <w:r>
        <w:rPr>
          <w:rFonts w:ascii="Times New Roman" w:hAnsi="Times New Roman" w:cs="Times New Roman"/>
          <w:color w:val="000000" w:themeColor="text1"/>
        </w:rPr>
        <w:t>2.6.7 Data Analysis Techniques</w:t>
      </w:r>
      <w:r>
        <w:rPr>
          <w:rFonts w:ascii="Times New Roman" w:hAnsi="Times New Roman" w:cs="Times New Roman"/>
          <w:color w:val="000000" w:themeColor="text1"/>
        </w:rPr>
        <w:tab/>
        <w:t>9</w:t>
      </w:r>
    </w:p>
    <w:p w14:paraId="53734ABB" w14:textId="77777777" w:rsidR="004F7E23" w:rsidRDefault="00000000">
      <w:pPr>
        <w:tabs>
          <w:tab w:val="right" w:leader="dot" w:pos="9360"/>
        </w:tabs>
        <w:spacing w:before="40" w:after="60" w:line="280" w:lineRule="auto"/>
        <w:ind w:left="400"/>
      </w:pPr>
      <w:r>
        <w:rPr>
          <w:rFonts w:ascii="Times New Roman" w:hAnsi="Times New Roman" w:cs="Times New Roman"/>
          <w:color w:val="000000" w:themeColor="text1"/>
        </w:rPr>
        <w:t>2.6.8 Ethical Considerations</w:t>
      </w:r>
      <w:r>
        <w:rPr>
          <w:rFonts w:ascii="Times New Roman" w:hAnsi="Times New Roman" w:cs="Times New Roman"/>
          <w:color w:val="000000" w:themeColor="text1"/>
        </w:rPr>
        <w:tab/>
        <w:t>10</w:t>
      </w:r>
    </w:p>
    <w:p w14:paraId="0906B93C"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2.7 Analysis of the Identified Problem</w:t>
      </w:r>
      <w:r>
        <w:rPr>
          <w:rFonts w:ascii="Times New Roman" w:hAnsi="Times New Roman" w:cs="Times New Roman"/>
          <w:color w:val="000000" w:themeColor="text1"/>
        </w:rPr>
        <w:tab/>
        <w:t>10</w:t>
      </w:r>
    </w:p>
    <w:p w14:paraId="61FCE958"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2.8 Root-Cause Analysis</w:t>
      </w:r>
      <w:r>
        <w:rPr>
          <w:rFonts w:ascii="Times New Roman" w:hAnsi="Times New Roman" w:cs="Times New Roman"/>
          <w:color w:val="000000" w:themeColor="text1"/>
        </w:rPr>
        <w:tab/>
        <w:t>10</w:t>
      </w:r>
    </w:p>
    <w:p w14:paraId="3E90B7CD"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2.9 Needs and Gap Analysis</w:t>
      </w:r>
      <w:r>
        <w:rPr>
          <w:rFonts w:ascii="Times New Roman" w:hAnsi="Times New Roman" w:cs="Times New Roman"/>
          <w:color w:val="000000" w:themeColor="text1"/>
        </w:rPr>
        <w:tab/>
        <w:t>10</w:t>
      </w:r>
    </w:p>
    <w:p w14:paraId="50E7FD5A"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2.10 Analysis of Alternative Solutions</w:t>
      </w:r>
      <w:r>
        <w:rPr>
          <w:rFonts w:ascii="Times New Roman" w:hAnsi="Times New Roman" w:cs="Times New Roman"/>
          <w:color w:val="000000" w:themeColor="text1"/>
        </w:rPr>
        <w:tab/>
        <w:t>10</w:t>
      </w:r>
    </w:p>
    <w:p w14:paraId="6EEF4347"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2.11 Selection of the Preferred Intervention</w:t>
      </w:r>
      <w:r>
        <w:rPr>
          <w:rFonts w:ascii="Times New Roman" w:hAnsi="Times New Roman" w:cs="Times New Roman"/>
          <w:color w:val="000000" w:themeColor="text1"/>
        </w:rPr>
        <w:tab/>
        <w:t>10</w:t>
      </w:r>
    </w:p>
    <w:p w14:paraId="6BF4F5F9"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2.12 Chapter Summary</w:t>
      </w:r>
      <w:r>
        <w:rPr>
          <w:rFonts w:ascii="Times New Roman" w:hAnsi="Times New Roman" w:cs="Times New Roman"/>
          <w:color w:val="000000" w:themeColor="text1"/>
        </w:rPr>
        <w:tab/>
        <w:t>11</w:t>
      </w:r>
    </w:p>
    <w:p w14:paraId="2F8D42FA" w14:textId="77777777" w:rsidR="004F7E23" w:rsidRDefault="00000000">
      <w:pPr>
        <w:tabs>
          <w:tab w:val="right" w:leader="dot" w:pos="9360"/>
        </w:tabs>
        <w:spacing w:before="40" w:after="60" w:line="280" w:lineRule="auto"/>
      </w:pPr>
      <w:r>
        <w:rPr>
          <w:rFonts w:ascii="Times New Roman" w:hAnsi="Times New Roman" w:cs="Times New Roman"/>
          <w:b/>
          <w:bCs/>
          <w:color w:val="000000" w:themeColor="text1"/>
        </w:rPr>
        <w:t>CHAPTER THREE: DESIGN AND DEVELOPMENT OF THE INTERVENTION</w:t>
      </w:r>
      <w:r>
        <w:rPr>
          <w:rFonts w:ascii="Times New Roman" w:hAnsi="Times New Roman" w:cs="Times New Roman"/>
          <w:b/>
          <w:bCs/>
          <w:color w:val="000000" w:themeColor="text1"/>
        </w:rPr>
        <w:tab/>
        <w:t>12</w:t>
      </w:r>
    </w:p>
    <w:p w14:paraId="594F2B7D"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3.1 Design Principles of the Capstone Intervention</w:t>
      </w:r>
      <w:r>
        <w:rPr>
          <w:rFonts w:ascii="Times New Roman" w:hAnsi="Times New Roman" w:cs="Times New Roman"/>
          <w:color w:val="000000" w:themeColor="text1"/>
        </w:rPr>
        <w:tab/>
        <w:t>12</w:t>
      </w:r>
    </w:p>
    <w:p w14:paraId="4D443CDE"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3.2 Proposed Capstone Intervention / Innovation</w:t>
      </w:r>
      <w:r>
        <w:rPr>
          <w:rFonts w:ascii="Times New Roman" w:hAnsi="Times New Roman" w:cs="Times New Roman"/>
          <w:color w:val="000000" w:themeColor="text1"/>
        </w:rPr>
        <w:tab/>
        <w:t>12</w:t>
      </w:r>
    </w:p>
    <w:p w14:paraId="4DDFDE0D"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3.3 Intervention Design Framework</w:t>
      </w:r>
      <w:r>
        <w:rPr>
          <w:rFonts w:ascii="Times New Roman" w:hAnsi="Times New Roman" w:cs="Times New Roman"/>
          <w:color w:val="000000" w:themeColor="text1"/>
        </w:rPr>
        <w:tab/>
        <w:t>12</w:t>
      </w:r>
    </w:p>
    <w:p w14:paraId="2056648D"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3.4 System Architecture</w:t>
      </w:r>
      <w:r>
        <w:rPr>
          <w:rFonts w:ascii="Times New Roman" w:hAnsi="Times New Roman" w:cs="Times New Roman"/>
          <w:color w:val="000000" w:themeColor="text1"/>
        </w:rPr>
        <w:tab/>
        <w:t>12</w:t>
      </w:r>
    </w:p>
    <w:p w14:paraId="2D5C482B"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3.5 Laboratory Modules Implemented and Roadmap</w:t>
      </w:r>
      <w:r>
        <w:rPr>
          <w:rFonts w:ascii="Times New Roman" w:hAnsi="Times New Roman" w:cs="Times New Roman"/>
          <w:color w:val="000000" w:themeColor="text1"/>
        </w:rPr>
        <w:tab/>
        <w:t>13</w:t>
      </w:r>
    </w:p>
    <w:p w14:paraId="48497662"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3.6 Technical Specifications</w:t>
      </w:r>
      <w:r>
        <w:rPr>
          <w:rFonts w:ascii="Times New Roman" w:hAnsi="Times New Roman" w:cs="Times New Roman"/>
          <w:color w:val="000000" w:themeColor="text1"/>
        </w:rPr>
        <w:tab/>
        <w:t>13</w:t>
      </w:r>
    </w:p>
    <w:p w14:paraId="454F627F"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3.7 Development Process</w:t>
      </w:r>
      <w:r>
        <w:rPr>
          <w:rFonts w:ascii="Times New Roman" w:hAnsi="Times New Roman" w:cs="Times New Roman"/>
          <w:color w:val="000000" w:themeColor="text1"/>
        </w:rPr>
        <w:tab/>
        <w:t>14</w:t>
      </w:r>
    </w:p>
    <w:p w14:paraId="11827443"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3.8 Prototype / Product / Programme Development</w:t>
      </w:r>
      <w:r>
        <w:rPr>
          <w:rFonts w:ascii="Times New Roman" w:hAnsi="Times New Roman" w:cs="Times New Roman"/>
          <w:color w:val="000000" w:themeColor="text1"/>
        </w:rPr>
        <w:tab/>
        <w:t>14</w:t>
      </w:r>
    </w:p>
    <w:p w14:paraId="54B2E4D0"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3.9 Stakeholder Engagement and Validation</w:t>
      </w:r>
      <w:r>
        <w:rPr>
          <w:rFonts w:ascii="Times New Roman" w:hAnsi="Times New Roman" w:cs="Times New Roman"/>
          <w:color w:val="000000" w:themeColor="text1"/>
        </w:rPr>
        <w:tab/>
        <w:t>14</w:t>
      </w:r>
    </w:p>
    <w:p w14:paraId="6E00DB6C"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3.10 Pilot Testing / Pre-Testing</w:t>
      </w:r>
      <w:r>
        <w:rPr>
          <w:rFonts w:ascii="Times New Roman" w:hAnsi="Times New Roman" w:cs="Times New Roman"/>
          <w:color w:val="000000" w:themeColor="text1"/>
        </w:rPr>
        <w:tab/>
        <w:t>14</w:t>
      </w:r>
    </w:p>
    <w:p w14:paraId="31EEB299"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3.11 Revision and Refinement of the Intervention</w:t>
      </w:r>
      <w:r>
        <w:rPr>
          <w:rFonts w:ascii="Times New Roman" w:hAnsi="Times New Roman" w:cs="Times New Roman"/>
          <w:color w:val="000000" w:themeColor="text1"/>
        </w:rPr>
        <w:tab/>
        <w:t>14</w:t>
      </w:r>
    </w:p>
    <w:p w14:paraId="2D4674DF"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3.12 Implementation Plan</w:t>
      </w:r>
      <w:r>
        <w:rPr>
          <w:rFonts w:ascii="Times New Roman" w:hAnsi="Times New Roman" w:cs="Times New Roman"/>
          <w:color w:val="000000" w:themeColor="text1"/>
        </w:rPr>
        <w:tab/>
        <w:t>14</w:t>
      </w:r>
    </w:p>
    <w:p w14:paraId="02FE47F6"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lastRenderedPageBreak/>
        <w:t>3.13 Resource Requirements and Budget</w:t>
      </w:r>
      <w:r>
        <w:rPr>
          <w:rFonts w:ascii="Times New Roman" w:hAnsi="Times New Roman" w:cs="Times New Roman"/>
          <w:color w:val="000000" w:themeColor="text1"/>
        </w:rPr>
        <w:tab/>
        <w:t>15</w:t>
      </w:r>
    </w:p>
    <w:p w14:paraId="701B5DA3"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3.14 Risk Management</w:t>
      </w:r>
      <w:r>
        <w:rPr>
          <w:rFonts w:ascii="Times New Roman" w:hAnsi="Times New Roman" w:cs="Times New Roman"/>
          <w:color w:val="000000" w:themeColor="text1"/>
        </w:rPr>
        <w:tab/>
        <w:t>15</w:t>
      </w:r>
    </w:p>
    <w:p w14:paraId="64E43C0A"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3.15 Sustainability and Scalability</w:t>
      </w:r>
      <w:r>
        <w:rPr>
          <w:rFonts w:ascii="Times New Roman" w:hAnsi="Times New Roman" w:cs="Times New Roman"/>
          <w:color w:val="000000" w:themeColor="text1"/>
        </w:rPr>
        <w:tab/>
        <w:t>16</w:t>
      </w:r>
    </w:p>
    <w:p w14:paraId="22E025EC"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3.16 Monitoring and Evaluation Framework</w:t>
      </w:r>
      <w:r>
        <w:rPr>
          <w:rFonts w:ascii="Times New Roman" w:hAnsi="Times New Roman" w:cs="Times New Roman"/>
          <w:color w:val="000000" w:themeColor="text1"/>
        </w:rPr>
        <w:tab/>
        <w:t>16</w:t>
      </w:r>
    </w:p>
    <w:p w14:paraId="0C1BA3DB"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3.17 Chapter Summary</w:t>
      </w:r>
      <w:r>
        <w:rPr>
          <w:rFonts w:ascii="Times New Roman" w:hAnsi="Times New Roman" w:cs="Times New Roman"/>
          <w:color w:val="000000" w:themeColor="text1"/>
        </w:rPr>
        <w:tab/>
        <w:t>16</w:t>
      </w:r>
    </w:p>
    <w:p w14:paraId="1B69C939" w14:textId="77777777" w:rsidR="004F7E23" w:rsidRDefault="00000000">
      <w:pPr>
        <w:tabs>
          <w:tab w:val="right" w:leader="dot" w:pos="9360"/>
        </w:tabs>
        <w:spacing w:before="40" w:after="60" w:line="280" w:lineRule="auto"/>
      </w:pPr>
      <w:r>
        <w:rPr>
          <w:rFonts w:ascii="Times New Roman" w:hAnsi="Times New Roman" w:cs="Times New Roman"/>
          <w:b/>
          <w:bCs/>
          <w:color w:val="000000" w:themeColor="text1"/>
        </w:rPr>
        <w:t>CHAPTER FOUR: IMPLEMENTATION, EVALUATION AND REFLECTION</w:t>
      </w:r>
      <w:r>
        <w:rPr>
          <w:rFonts w:ascii="Times New Roman" w:hAnsi="Times New Roman" w:cs="Times New Roman"/>
          <w:b/>
          <w:bCs/>
          <w:color w:val="000000" w:themeColor="text1"/>
        </w:rPr>
        <w:tab/>
        <w:t>17</w:t>
      </w:r>
    </w:p>
    <w:p w14:paraId="4459602E"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4.1 Implementation of the Capstone Intervention</w:t>
      </w:r>
      <w:r>
        <w:rPr>
          <w:rFonts w:ascii="Times New Roman" w:hAnsi="Times New Roman" w:cs="Times New Roman"/>
          <w:color w:val="000000" w:themeColor="text1"/>
        </w:rPr>
        <w:tab/>
        <w:t>17</w:t>
      </w:r>
    </w:p>
    <w:p w14:paraId="33CBA1B3"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4.2 Implementation Process</w:t>
      </w:r>
      <w:r>
        <w:rPr>
          <w:rFonts w:ascii="Times New Roman" w:hAnsi="Times New Roman" w:cs="Times New Roman"/>
          <w:color w:val="000000" w:themeColor="text1"/>
        </w:rPr>
        <w:tab/>
        <w:t>17</w:t>
      </w:r>
    </w:p>
    <w:p w14:paraId="26071377"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4.3 Participation and Stakeholder Engagement</w:t>
      </w:r>
      <w:r>
        <w:rPr>
          <w:rFonts w:ascii="Times New Roman" w:hAnsi="Times New Roman" w:cs="Times New Roman"/>
          <w:color w:val="000000" w:themeColor="text1"/>
        </w:rPr>
        <w:tab/>
        <w:t>17</w:t>
      </w:r>
    </w:p>
    <w:p w14:paraId="788281FC"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4.4 Evaluation of the Intervention</w:t>
      </w:r>
      <w:r>
        <w:rPr>
          <w:rFonts w:ascii="Times New Roman" w:hAnsi="Times New Roman" w:cs="Times New Roman"/>
          <w:color w:val="000000" w:themeColor="text1"/>
        </w:rPr>
        <w:tab/>
        <w:t>17</w:t>
      </w:r>
    </w:p>
    <w:p w14:paraId="41C1A4DF"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4.5 Presentation of Evaluation Findings</w:t>
      </w:r>
      <w:r>
        <w:rPr>
          <w:rFonts w:ascii="Times New Roman" w:hAnsi="Times New Roman" w:cs="Times New Roman"/>
          <w:color w:val="000000" w:themeColor="text1"/>
        </w:rPr>
        <w:tab/>
        <w:t>17</w:t>
      </w:r>
    </w:p>
    <w:p w14:paraId="3CDED076"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4.6 Assessment of Outcomes</w:t>
      </w:r>
      <w:r>
        <w:rPr>
          <w:rFonts w:ascii="Times New Roman" w:hAnsi="Times New Roman" w:cs="Times New Roman"/>
          <w:color w:val="000000" w:themeColor="text1"/>
        </w:rPr>
        <w:tab/>
        <w:t>17</w:t>
      </w:r>
    </w:p>
    <w:p w14:paraId="4AF0035A"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4.7 User / Stakeholder Feedback</w:t>
      </w:r>
      <w:r>
        <w:rPr>
          <w:rFonts w:ascii="Times New Roman" w:hAnsi="Times New Roman" w:cs="Times New Roman"/>
          <w:color w:val="000000" w:themeColor="text1"/>
        </w:rPr>
        <w:tab/>
        <w:t>17</w:t>
      </w:r>
    </w:p>
    <w:p w14:paraId="74BD6E48"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4.8 Comparison of Intended and Actual Outcomes</w:t>
      </w:r>
      <w:r>
        <w:rPr>
          <w:rFonts w:ascii="Times New Roman" w:hAnsi="Times New Roman" w:cs="Times New Roman"/>
          <w:color w:val="000000" w:themeColor="text1"/>
        </w:rPr>
        <w:tab/>
        <w:t>18</w:t>
      </w:r>
    </w:p>
    <w:p w14:paraId="223CB126"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4.9 Challenges Encountered During Implementation</w:t>
      </w:r>
      <w:r>
        <w:rPr>
          <w:rFonts w:ascii="Times New Roman" w:hAnsi="Times New Roman" w:cs="Times New Roman"/>
          <w:color w:val="000000" w:themeColor="text1"/>
        </w:rPr>
        <w:tab/>
        <w:t>18</w:t>
      </w:r>
    </w:p>
    <w:p w14:paraId="0D64D55A"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4.10 Mitigation Measures</w:t>
      </w:r>
      <w:r>
        <w:rPr>
          <w:rFonts w:ascii="Times New Roman" w:hAnsi="Times New Roman" w:cs="Times New Roman"/>
          <w:color w:val="000000" w:themeColor="text1"/>
        </w:rPr>
        <w:tab/>
        <w:t>18</w:t>
      </w:r>
    </w:p>
    <w:p w14:paraId="7059894D"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4.11 Reflection on the Capstone Process</w:t>
      </w:r>
      <w:r>
        <w:rPr>
          <w:rFonts w:ascii="Times New Roman" w:hAnsi="Times New Roman" w:cs="Times New Roman"/>
          <w:color w:val="000000" w:themeColor="text1"/>
        </w:rPr>
        <w:tab/>
        <w:t>18</w:t>
      </w:r>
    </w:p>
    <w:p w14:paraId="35F5443D"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4.12 Lessons Learned and Best Practices</w:t>
      </w:r>
      <w:r>
        <w:rPr>
          <w:rFonts w:ascii="Times New Roman" w:hAnsi="Times New Roman" w:cs="Times New Roman"/>
          <w:color w:val="000000" w:themeColor="text1"/>
        </w:rPr>
        <w:tab/>
        <w:t>18</w:t>
      </w:r>
    </w:p>
    <w:p w14:paraId="1D4795FA"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4.13 Recommendations for Improvement and Scale-Up</w:t>
      </w:r>
      <w:r>
        <w:rPr>
          <w:rFonts w:ascii="Times New Roman" w:hAnsi="Times New Roman" w:cs="Times New Roman"/>
          <w:color w:val="000000" w:themeColor="text1"/>
        </w:rPr>
        <w:tab/>
        <w:t>18</w:t>
      </w:r>
    </w:p>
    <w:p w14:paraId="5E516C0A"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4.14 Expected Academic and Practical Deliverables</w:t>
      </w:r>
      <w:r>
        <w:rPr>
          <w:rFonts w:ascii="Times New Roman" w:hAnsi="Times New Roman" w:cs="Times New Roman"/>
          <w:color w:val="000000" w:themeColor="text1"/>
        </w:rPr>
        <w:tab/>
        <w:t>18</w:t>
      </w:r>
    </w:p>
    <w:p w14:paraId="74AA9BC3"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4.15 Sustainability and Future Directions</w:t>
      </w:r>
      <w:r>
        <w:rPr>
          <w:rFonts w:ascii="Times New Roman" w:hAnsi="Times New Roman" w:cs="Times New Roman"/>
          <w:color w:val="000000" w:themeColor="text1"/>
        </w:rPr>
        <w:tab/>
        <w:t>19</w:t>
      </w:r>
    </w:p>
    <w:p w14:paraId="502689C4"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4.16 Conclusion</w:t>
      </w:r>
      <w:r>
        <w:rPr>
          <w:rFonts w:ascii="Times New Roman" w:hAnsi="Times New Roman" w:cs="Times New Roman"/>
          <w:color w:val="000000" w:themeColor="text1"/>
        </w:rPr>
        <w:tab/>
        <w:t>19</w:t>
      </w:r>
    </w:p>
    <w:p w14:paraId="717FFCD7" w14:textId="77777777" w:rsidR="004F7E23" w:rsidRDefault="00000000">
      <w:pPr>
        <w:tabs>
          <w:tab w:val="right" w:leader="dot" w:pos="9360"/>
        </w:tabs>
        <w:spacing w:before="40" w:after="60" w:line="280" w:lineRule="auto"/>
        <w:ind w:left="200"/>
      </w:pPr>
      <w:r>
        <w:rPr>
          <w:rFonts w:ascii="Times New Roman" w:hAnsi="Times New Roman" w:cs="Times New Roman"/>
          <w:color w:val="000000" w:themeColor="text1"/>
        </w:rPr>
        <w:t>4.17 Chapter Summary</w:t>
      </w:r>
      <w:r>
        <w:rPr>
          <w:rFonts w:ascii="Times New Roman" w:hAnsi="Times New Roman" w:cs="Times New Roman"/>
          <w:color w:val="000000" w:themeColor="text1"/>
        </w:rPr>
        <w:tab/>
        <w:t>19</w:t>
      </w:r>
    </w:p>
    <w:p w14:paraId="5613BFBC" w14:textId="77777777" w:rsidR="004F7E23" w:rsidRDefault="00000000">
      <w:pPr>
        <w:tabs>
          <w:tab w:val="right" w:leader="dot" w:pos="9360"/>
        </w:tabs>
        <w:spacing w:before="40" w:after="60" w:line="280" w:lineRule="auto"/>
      </w:pPr>
      <w:r>
        <w:rPr>
          <w:rFonts w:ascii="Times New Roman" w:hAnsi="Times New Roman" w:cs="Times New Roman"/>
          <w:b/>
          <w:bCs/>
          <w:color w:val="000000" w:themeColor="text1"/>
        </w:rPr>
        <w:t>REFERENCES</w:t>
      </w:r>
      <w:r>
        <w:rPr>
          <w:rFonts w:ascii="Times New Roman" w:hAnsi="Times New Roman" w:cs="Times New Roman"/>
          <w:b/>
          <w:bCs/>
          <w:color w:val="000000" w:themeColor="text1"/>
        </w:rPr>
        <w:tab/>
        <w:t>20</w:t>
      </w:r>
    </w:p>
    <w:p w14:paraId="4EAF8469" w14:textId="77777777" w:rsidR="004F7E23" w:rsidRDefault="00000000">
      <w:r>
        <w:br w:type="page"/>
      </w:r>
    </w:p>
    <w:p w14:paraId="3E778650" w14:textId="77777777" w:rsidR="004F7E23" w:rsidRDefault="00000000">
      <w:pPr>
        <w:spacing w:before="240" w:after="240" w:line="360" w:lineRule="auto"/>
        <w:jc w:val="center"/>
      </w:pPr>
      <w:r>
        <w:rPr>
          <w:rFonts w:ascii="Times New Roman" w:hAnsi="Times New Roman" w:cs="Times New Roman"/>
          <w:b/>
          <w:bCs/>
          <w:color w:val="000000" w:themeColor="text1"/>
          <w:sz w:val="28"/>
          <w:szCs w:val="28"/>
        </w:rPr>
        <w:lastRenderedPageBreak/>
        <w:t>LIST OF TABLES</w:t>
      </w:r>
    </w:p>
    <w:p w14:paraId="0A68808F" w14:textId="77777777" w:rsidR="004F7E23" w:rsidRDefault="00000000">
      <w:pPr>
        <w:tabs>
          <w:tab w:val="right" w:leader="dot" w:pos="9360"/>
        </w:tabs>
        <w:spacing w:before="40" w:after="60" w:line="280" w:lineRule="auto"/>
      </w:pPr>
      <w:r>
        <w:rPr>
          <w:rFonts w:ascii="Times New Roman" w:hAnsi="Times New Roman" w:cs="Times New Roman"/>
          <w:color w:val="000000" w:themeColor="text1"/>
        </w:rPr>
        <w:t>Table 2.1: Benchmarking and Comparative Analysis of Virtual Laboratories</w:t>
      </w:r>
      <w:r>
        <w:rPr>
          <w:rFonts w:ascii="Times New Roman" w:hAnsi="Times New Roman" w:cs="Times New Roman"/>
          <w:color w:val="000000" w:themeColor="text1"/>
        </w:rPr>
        <w:tab/>
        <w:t>8</w:t>
      </w:r>
    </w:p>
    <w:p w14:paraId="6618AB17" w14:textId="77777777" w:rsidR="004F7E23" w:rsidRDefault="00000000">
      <w:pPr>
        <w:tabs>
          <w:tab w:val="right" w:leader="dot" w:pos="9360"/>
        </w:tabs>
        <w:spacing w:before="40" w:after="60" w:line="280" w:lineRule="auto"/>
      </w:pPr>
      <w:r>
        <w:rPr>
          <w:rFonts w:ascii="Times New Roman" w:hAnsi="Times New Roman" w:cs="Times New Roman"/>
          <w:color w:val="000000" w:themeColor="text1"/>
        </w:rPr>
        <w:t>Table 2.2: Sampling Matrix Stratified by School Category</w:t>
      </w:r>
      <w:r>
        <w:rPr>
          <w:rFonts w:ascii="Times New Roman" w:hAnsi="Times New Roman" w:cs="Times New Roman"/>
          <w:color w:val="000000" w:themeColor="text1"/>
        </w:rPr>
        <w:tab/>
        <w:t>8</w:t>
      </w:r>
    </w:p>
    <w:p w14:paraId="5B687396" w14:textId="77777777" w:rsidR="004F7E23" w:rsidRDefault="00000000">
      <w:pPr>
        <w:tabs>
          <w:tab w:val="right" w:leader="dot" w:pos="9360"/>
        </w:tabs>
        <w:spacing w:before="40" w:after="60" w:line="280" w:lineRule="auto"/>
      </w:pPr>
      <w:r>
        <w:rPr>
          <w:rFonts w:ascii="Times New Roman" w:hAnsi="Times New Roman" w:cs="Times New Roman"/>
          <w:color w:val="000000" w:themeColor="text1"/>
        </w:rPr>
        <w:t>Table 3.1: VirtuLab Kenya Laboratory Modules and Curriculum Mapping</w:t>
      </w:r>
      <w:r>
        <w:rPr>
          <w:rFonts w:ascii="Times New Roman" w:hAnsi="Times New Roman" w:cs="Times New Roman"/>
          <w:color w:val="000000" w:themeColor="text1"/>
        </w:rPr>
        <w:tab/>
        <w:t>13</w:t>
      </w:r>
    </w:p>
    <w:p w14:paraId="5127205A" w14:textId="77777777" w:rsidR="004F7E23" w:rsidRDefault="00000000">
      <w:pPr>
        <w:tabs>
          <w:tab w:val="right" w:leader="dot" w:pos="9360"/>
        </w:tabs>
        <w:spacing w:before="40" w:after="60" w:line="280" w:lineRule="auto"/>
      </w:pPr>
      <w:r>
        <w:rPr>
          <w:rFonts w:ascii="Times New Roman" w:hAnsi="Times New Roman" w:cs="Times New Roman"/>
          <w:color w:val="000000" w:themeColor="text1"/>
        </w:rPr>
        <w:t>Table 3.2: 12-Month Implementation Plan and Verification Criteria</w:t>
      </w:r>
      <w:r>
        <w:rPr>
          <w:rFonts w:ascii="Times New Roman" w:hAnsi="Times New Roman" w:cs="Times New Roman"/>
          <w:color w:val="000000" w:themeColor="text1"/>
        </w:rPr>
        <w:tab/>
        <w:t>14</w:t>
      </w:r>
    </w:p>
    <w:p w14:paraId="6510F4E2" w14:textId="77777777" w:rsidR="004F7E23" w:rsidRDefault="00000000">
      <w:pPr>
        <w:tabs>
          <w:tab w:val="right" w:leader="dot" w:pos="9360"/>
        </w:tabs>
        <w:spacing w:before="40" w:after="60" w:line="280" w:lineRule="auto"/>
      </w:pPr>
      <w:r>
        <w:rPr>
          <w:rFonts w:ascii="Times New Roman" w:hAnsi="Times New Roman" w:cs="Times New Roman"/>
          <w:color w:val="000000" w:themeColor="text1"/>
        </w:rPr>
        <w:t>Table 3.3: Resource Requirements and Itemized Budget</w:t>
      </w:r>
      <w:r>
        <w:rPr>
          <w:rFonts w:ascii="Times New Roman" w:hAnsi="Times New Roman" w:cs="Times New Roman"/>
          <w:color w:val="000000" w:themeColor="text1"/>
        </w:rPr>
        <w:tab/>
        <w:t>15</w:t>
      </w:r>
    </w:p>
    <w:p w14:paraId="568F7A49" w14:textId="77777777" w:rsidR="004F7E23" w:rsidRDefault="00000000">
      <w:pPr>
        <w:tabs>
          <w:tab w:val="right" w:leader="dot" w:pos="9360"/>
        </w:tabs>
        <w:spacing w:before="40" w:after="60" w:line="280" w:lineRule="auto"/>
      </w:pPr>
      <w:r>
        <w:rPr>
          <w:rFonts w:ascii="Times New Roman" w:hAnsi="Times New Roman" w:cs="Times New Roman"/>
          <w:color w:val="000000" w:themeColor="text1"/>
        </w:rPr>
        <w:t>Table 3.4: Risk Assessment Matrix and Mitigation Strategies</w:t>
      </w:r>
      <w:r>
        <w:rPr>
          <w:rFonts w:ascii="Times New Roman" w:hAnsi="Times New Roman" w:cs="Times New Roman"/>
          <w:color w:val="000000" w:themeColor="text1"/>
        </w:rPr>
        <w:tab/>
        <w:t>15</w:t>
      </w:r>
    </w:p>
    <w:p w14:paraId="595329D8" w14:textId="77777777" w:rsidR="004F7E23" w:rsidRDefault="00000000">
      <w:r>
        <w:br w:type="page"/>
      </w:r>
    </w:p>
    <w:p w14:paraId="66792FD0" w14:textId="77777777" w:rsidR="004F7E23" w:rsidRDefault="00000000">
      <w:pPr>
        <w:spacing w:before="240" w:after="240" w:line="360" w:lineRule="auto"/>
        <w:jc w:val="center"/>
      </w:pPr>
      <w:r>
        <w:rPr>
          <w:rFonts w:ascii="Times New Roman" w:hAnsi="Times New Roman" w:cs="Times New Roman"/>
          <w:b/>
          <w:bCs/>
          <w:color w:val="000000" w:themeColor="text1"/>
          <w:sz w:val="28"/>
          <w:szCs w:val="28"/>
        </w:rPr>
        <w:lastRenderedPageBreak/>
        <w:t>LIST OF FIGURES</w:t>
      </w:r>
    </w:p>
    <w:p w14:paraId="522C316D" w14:textId="77777777" w:rsidR="004F7E23" w:rsidRDefault="00000000">
      <w:pPr>
        <w:tabs>
          <w:tab w:val="right" w:leader="dot" w:pos="9360"/>
        </w:tabs>
        <w:spacing w:before="40" w:after="60" w:line="280" w:lineRule="auto"/>
      </w:pPr>
      <w:r>
        <w:rPr>
          <w:rFonts w:ascii="Times New Roman" w:hAnsi="Times New Roman" w:cs="Times New Roman"/>
          <w:color w:val="000000" w:themeColor="text1"/>
        </w:rPr>
        <w:t>Figure 2.1: Conceptual Framework for VirtuLab Kenya Intervention</w:t>
      </w:r>
      <w:r>
        <w:rPr>
          <w:rFonts w:ascii="Times New Roman" w:hAnsi="Times New Roman" w:cs="Times New Roman"/>
          <w:color w:val="000000" w:themeColor="text1"/>
        </w:rPr>
        <w:tab/>
        <w:t>7</w:t>
      </w:r>
    </w:p>
    <w:p w14:paraId="04710DE6" w14:textId="77777777" w:rsidR="004F7E23" w:rsidRDefault="00000000">
      <w:pPr>
        <w:tabs>
          <w:tab w:val="right" w:leader="dot" w:pos="9360"/>
        </w:tabs>
        <w:spacing w:before="40" w:after="60" w:line="280" w:lineRule="auto"/>
      </w:pPr>
      <w:r>
        <w:rPr>
          <w:rFonts w:ascii="Times New Roman" w:hAnsi="Times New Roman" w:cs="Times New Roman"/>
          <w:color w:val="000000" w:themeColor="text1"/>
        </w:rPr>
        <w:t>Figure 3.1: Three-Tier System Architecture of VirtuLab Kenya</w:t>
      </w:r>
      <w:r>
        <w:rPr>
          <w:rFonts w:ascii="Times New Roman" w:hAnsi="Times New Roman" w:cs="Times New Roman"/>
          <w:color w:val="000000" w:themeColor="text1"/>
        </w:rPr>
        <w:tab/>
        <w:t>12</w:t>
      </w:r>
    </w:p>
    <w:p w14:paraId="002EE83B" w14:textId="77777777" w:rsidR="004F7E23" w:rsidRDefault="00000000">
      <w:r>
        <w:br w:type="page"/>
      </w:r>
    </w:p>
    <w:p w14:paraId="228FD157" w14:textId="77777777" w:rsidR="004F7E23" w:rsidRDefault="00000000">
      <w:pPr>
        <w:spacing w:before="240" w:after="240" w:line="360" w:lineRule="auto"/>
        <w:jc w:val="center"/>
      </w:pPr>
      <w:r>
        <w:rPr>
          <w:rFonts w:ascii="Times New Roman" w:hAnsi="Times New Roman" w:cs="Times New Roman"/>
          <w:b/>
          <w:bCs/>
          <w:color w:val="000000" w:themeColor="text1"/>
          <w:sz w:val="28"/>
          <w:szCs w:val="28"/>
        </w:rPr>
        <w:lastRenderedPageBreak/>
        <w:t>ABBREVIATIONS AND ACRONYMS</w:t>
      </w:r>
    </w:p>
    <w:p w14:paraId="025EA90A" w14:textId="77777777" w:rsidR="004F7E23" w:rsidRDefault="00000000">
      <w:pPr>
        <w:spacing w:before="30" w:after="40" w:line="280" w:lineRule="auto"/>
      </w:pPr>
      <w:r>
        <w:rPr>
          <w:rFonts w:ascii="Times New Roman" w:hAnsi="Times New Roman" w:cs="Times New Roman"/>
          <w:b/>
          <w:bCs/>
          <w:color w:val="000000" w:themeColor="text1"/>
        </w:rPr>
        <w:t xml:space="preserve">ADDE        </w:t>
      </w:r>
      <w:r>
        <w:rPr>
          <w:rFonts w:ascii="Times New Roman" w:hAnsi="Times New Roman" w:cs="Times New Roman"/>
          <w:color w:val="000000" w:themeColor="text1"/>
        </w:rPr>
        <w:t>— Analyse, Design, Develop, Evaluate</w:t>
      </w:r>
    </w:p>
    <w:p w14:paraId="04878980" w14:textId="77777777" w:rsidR="004F7E23" w:rsidRDefault="00000000">
      <w:pPr>
        <w:spacing w:before="30" w:after="40" w:line="280" w:lineRule="auto"/>
      </w:pPr>
      <w:r>
        <w:rPr>
          <w:rFonts w:ascii="Times New Roman" w:hAnsi="Times New Roman" w:cs="Times New Roman"/>
          <w:b/>
          <w:bCs/>
          <w:color w:val="000000" w:themeColor="text1"/>
        </w:rPr>
        <w:t xml:space="preserve">ANCOVA      </w:t>
      </w:r>
      <w:r>
        <w:rPr>
          <w:rFonts w:ascii="Times New Roman" w:hAnsi="Times New Roman" w:cs="Times New Roman"/>
          <w:color w:val="000000" w:themeColor="text1"/>
        </w:rPr>
        <w:t>— Analysis of Covariance</w:t>
      </w:r>
    </w:p>
    <w:p w14:paraId="5EB2B510" w14:textId="77777777" w:rsidR="004F7E23" w:rsidRDefault="00000000">
      <w:pPr>
        <w:spacing w:before="30" w:after="40" w:line="280" w:lineRule="auto"/>
      </w:pPr>
      <w:r>
        <w:rPr>
          <w:rFonts w:ascii="Times New Roman" w:hAnsi="Times New Roman" w:cs="Times New Roman"/>
          <w:b/>
          <w:bCs/>
          <w:color w:val="000000" w:themeColor="text1"/>
        </w:rPr>
        <w:t xml:space="preserve">BI          </w:t>
      </w:r>
      <w:r>
        <w:rPr>
          <w:rFonts w:ascii="Times New Roman" w:hAnsi="Times New Roman" w:cs="Times New Roman"/>
          <w:color w:val="000000" w:themeColor="text1"/>
        </w:rPr>
        <w:t>— Behavioural Intention</w:t>
      </w:r>
    </w:p>
    <w:p w14:paraId="08D9152D" w14:textId="77777777" w:rsidR="004F7E23" w:rsidRDefault="00000000">
      <w:pPr>
        <w:spacing w:before="30" w:after="40" w:line="280" w:lineRule="auto"/>
      </w:pPr>
      <w:r>
        <w:rPr>
          <w:rFonts w:ascii="Times New Roman" w:hAnsi="Times New Roman" w:cs="Times New Roman"/>
          <w:b/>
          <w:bCs/>
          <w:color w:val="000000" w:themeColor="text1"/>
        </w:rPr>
        <w:t xml:space="preserve">CBC         </w:t>
      </w:r>
      <w:r>
        <w:rPr>
          <w:rFonts w:ascii="Times New Roman" w:hAnsi="Times New Roman" w:cs="Times New Roman"/>
          <w:color w:val="000000" w:themeColor="text1"/>
        </w:rPr>
        <w:t>— Competency-Based Curriculum</w:t>
      </w:r>
    </w:p>
    <w:p w14:paraId="0B0E18E5" w14:textId="77777777" w:rsidR="004F7E23" w:rsidRDefault="00000000">
      <w:pPr>
        <w:spacing w:before="30" w:after="40" w:line="280" w:lineRule="auto"/>
      </w:pPr>
      <w:r>
        <w:rPr>
          <w:rFonts w:ascii="Times New Roman" w:hAnsi="Times New Roman" w:cs="Times New Roman"/>
          <w:b/>
          <w:bCs/>
          <w:color w:val="000000" w:themeColor="text1"/>
        </w:rPr>
        <w:t xml:space="preserve">CEMASTEA    </w:t>
      </w:r>
      <w:r>
        <w:rPr>
          <w:rFonts w:ascii="Times New Roman" w:hAnsi="Times New Roman" w:cs="Times New Roman"/>
          <w:color w:val="000000" w:themeColor="text1"/>
        </w:rPr>
        <w:t>— Centre for Mathematics, Science and Technology Education in Africa</w:t>
      </w:r>
    </w:p>
    <w:p w14:paraId="36DDCFDA" w14:textId="77777777" w:rsidR="004F7E23" w:rsidRDefault="00000000">
      <w:pPr>
        <w:spacing w:before="30" w:after="40" w:line="280" w:lineRule="auto"/>
      </w:pPr>
      <w:r>
        <w:rPr>
          <w:rFonts w:ascii="Times New Roman" w:hAnsi="Times New Roman" w:cs="Times New Roman"/>
          <w:b/>
          <w:bCs/>
          <w:color w:val="000000" w:themeColor="text1"/>
        </w:rPr>
        <w:t xml:space="preserve">CLT         </w:t>
      </w:r>
      <w:r>
        <w:rPr>
          <w:rFonts w:ascii="Times New Roman" w:hAnsi="Times New Roman" w:cs="Times New Roman"/>
          <w:color w:val="000000" w:themeColor="text1"/>
        </w:rPr>
        <w:t>— Cognitive Load Theory</w:t>
      </w:r>
    </w:p>
    <w:p w14:paraId="767B9CAF" w14:textId="77777777" w:rsidR="004F7E23" w:rsidRDefault="00000000">
      <w:pPr>
        <w:spacing w:before="30" w:after="40" w:line="280" w:lineRule="auto"/>
      </w:pPr>
      <w:r>
        <w:rPr>
          <w:rFonts w:ascii="Times New Roman" w:hAnsi="Times New Roman" w:cs="Times New Roman"/>
          <w:b/>
          <w:bCs/>
          <w:color w:val="000000" w:themeColor="text1"/>
        </w:rPr>
        <w:t xml:space="preserve">CPCAT       </w:t>
      </w:r>
      <w:r>
        <w:rPr>
          <w:rFonts w:ascii="Times New Roman" w:hAnsi="Times New Roman" w:cs="Times New Roman"/>
          <w:color w:val="000000" w:themeColor="text1"/>
        </w:rPr>
        <w:t>— Chemistry Practical Competency Achievement Test</w:t>
      </w:r>
    </w:p>
    <w:p w14:paraId="7F36D224" w14:textId="77777777" w:rsidR="004F7E23" w:rsidRDefault="00000000">
      <w:pPr>
        <w:spacing w:before="30" w:after="40" w:line="280" w:lineRule="auto"/>
      </w:pPr>
      <w:r>
        <w:rPr>
          <w:rFonts w:ascii="Times New Roman" w:hAnsi="Times New Roman" w:cs="Times New Roman"/>
          <w:b/>
          <w:bCs/>
          <w:color w:val="000000" w:themeColor="text1"/>
        </w:rPr>
        <w:t xml:space="preserve">CTML        </w:t>
      </w:r>
      <w:r>
        <w:rPr>
          <w:rFonts w:ascii="Times New Roman" w:hAnsi="Times New Roman" w:cs="Times New Roman"/>
          <w:color w:val="000000" w:themeColor="text1"/>
        </w:rPr>
        <w:t>— Cognitive Theory of Multimedia Learning</w:t>
      </w:r>
    </w:p>
    <w:p w14:paraId="7528B6EC" w14:textId="77777777" w:rsidR="004F7E23" w:rsidRDefault="00000000">
      <w:pPr>
        <w:spacing w:before="30" w:after="40" w:line="280" w:lineRule="auto"/>
      </w:pPr>
      <w:r>
        <w:rPr>
          <w:rFonts w:ascii="Times New Roman" w:hAnsi="Times New Roman" w:cs="Times New Roman"/>
          <w:b/>
          <w:bCs/>
          <w:color w:val="000000" w:themeColor="text1"/>
        </w:rPr>
        <w:t xml:space="preserve">FC          </w:t>
      </w:r>
      <w:r>
        <w:rPr>
          <w:rFonts w:ascii="Times New Roman" w:hAnsi="Times New Roman" w:cs="Times New Roman"/>
          <w:color w:val="000000" w:themeColor="text1"/>
        </w:rPr>
        <w:t>— Facilitating Conditions</w:t>
      </w:r>
    </w:p>
    <w:p w14:paraId="35FE61B6" w14:textId="77777777" w:rsidR="004F7E23" w:rsidRDefault="00000000">
      <w:pPr>
        <w:spacing w:before="30" w:after="40" w:line="280" w:lineRule="auto"/>
      </w:pPr>
      <w:r>
        <w:rPr>
          <w:rFonts w:ascii="Times New Roman" w:hAnsi="Times New Roman" w:cs="Times New Roman"/>
          <w:b/>
          <w:bCs/>
          <w:color w:val="000000" w:themeColor="text1"/>
        </w:rPr>
        <w:t xml:space="preserve">IBSE        </w:t>
      </w:r>
      <w:r>
        <w:rPr>
          <w:rFonts w:ascii="Times New Roman" w:hAnsi="Times New Roman" w:cs="Times New Roman"/>
          <w:color w:val="000000" w:themeColor="text1"/>
        </w:rPr>
        <w:t>— Inquiry-Based Science Education</w:t>
      </w:r>
    </w:p>
    <w:p w14:paraId="7AF76532" w14:textId="77777777" w:rsidR="004F7E23" w:rsidRDefault="00000000">
      <w:pPr>
        <w:spacing w:before="30" w:after="40" w:line="280" w:lineRule="auto"/>
      </w:pPr>
      <w:r>
        <w:rPr>
          <w:rFonts w:ascii="Times New Roman" w:hAnsi="Times New Roman" w:cs="Times New Roman"/>
          <w:b/>
          <w:bCs/>
          <w:color w:val="000000" w:themeColor="text1"/>
        </w:rPr>
        <w:t xml:space="preserve">KCSE        </w:t>
      </w:r>
      <w:r>
        <w:rPr>
          <w:rFonts w:ascii="Times New Roman" w:hAnsi="Times New Roman" w:cs="Times New Roman"/>
          <w:color w:val="000000" w:themeColor="text1"/>
        </w:rPr>
        <w:t>— Kenya Certificate of Secondary Education</w:t>
      </w:r>
    </w:p>
    <w:p w14:paraId="7FF22672" w14:textId="77777777" w:rsidR="004F7E23" w:rsidRDefault="00000000">
      <w:pPr>
        <w:spacing w:before="30" w:after="40" w:line="280" w:lineRule="auto"/>
      </w:pPr>
      <w:r>
        <w:rPr>
          <w:rFonts w:ascii="Times New Roman" w:hAnsi="Times New Roman" w:cs="Times New Roman"/>
          <w:b/>
          <w:bCs/>
          <w:color w:val="000000" w:themeColor="text1"/>
        </w:rPr>
        <w:t xml:space="preserve">KICD        </w:t>
      </w:r>
      <w:r>
        <w:rPr>
          <w:rFonts w:ascii="Times New Roman" w:hAnsi="Times New Roman" w:cs="Times New Roman"/>
          <w:color w:val="000000" w:themeColor="text1"/>
        </w:rPr>
        <w:t>— Kenya Institute of Curriculum Development</w:t>
      </w:r>
    </w:p>
    <w:p w14:paraId="07B9EA37" w14:textId="77777777" w:rsidR="004F7E23" w:rsidRDefault="00000000">
      <w:pPr>
        <w:spacing w:before="30" w:after="40" w:line="280" w:lineRule="auto"/>
      </w:pPr>
      <w:r>
        <w:rPr>
          <w:rFonts w:ascii="Times New Roman" w:hAnsi="Times New Roman" w:cs="Times New Roman"/>
          <w:b/>
          <w:bCs/>
          <w:color w:val="000000" w:themeColor="text1"/>
        </w:rPr>
        <w:t xml:space="preserve">KNEC        </w:t>
      </w:r>
      <w:r>
        <w:rPr>
          <w:rFonts w:ascii="Times New Roman" w:hAnsi="Times New Roman" w:cs="Times New Roman"/>
          <w:color w:val="000000" w:themeColor="text1"/>
        </w:rPr>
        <w:t>— Kenya National Examinations Council</w:t>
      </w:r>
    </w:p>
    <w:p w14:paraId="025AEAC5" w14:textId="77777777" w:rsidR="004F7E23" w:rsidRDefault="00000000">
      <w:pPr>
        <w:spacing w:before="30" w:after="40" w:line="280" w:lineRule="auto"/>
      </w:pPr>
      <w:r>
        <w:rPr>
          <w:rFonts w:ascii="Times New Roman" w:hAnsi="Times New Roman" w:cs="Times New Roman"/>
          <w:b/>
          <w:bCs/>
          <w:color w:val="000000" w:themeColor="text1"/>
        </w:rPr>
        <w:t xml:space="preserve">NACOSTI     </w:t>
      </w:r>
      <w:r>
        <w:rPr>
          <w:rFonts w:ascii="Times New Roman" w:hAnsi="Times New Roman" w:cs="Times New Roman"/>
          <w:color w:val="000000" w:themeColor="text1"/>
        </w:rPr>
        <w:t>— National Commission for Science, Technology and Innovation</w:t>
      </w:r>
    </w:p>
    <w:p w14:paraId="74ED302D" w14:textId="77777777" w:rsidR="004F7E23" w:rsidRDefault="00000000">
      <w:pPr>
        <w:spacing w:before="30" w:after="40" w:line="280" w:lineRule="auto"/>
      </w:pPr>
      <w:r>
        <w:rPr>
          <w:rFonts w:ascii="Times New Roman" w:hAnsi="Times New Roman" w:cs="Times New Roman"/>
          <w:b/>
          <w:bCs/>
          <w:color w:val="000000" w:themeColor="text1"/>
        </w:rPr>
        <w:t xml:space="preserve">NESSP       </w:t>
      </w:r>
      <w:r>
        <w:rPr>
          <w:rFonts w:ascii="Times New Roman" w:hAnsi="Times New Roman" w:cs="Times New Roman"/>
          <w:color w:val="000000" w:themeColor="text1"/>
        </w:rPr>
        <w:t>— National Education Sector Strategic Plan</w:t>
      </w:r>
    </w:p>
    <w:p w14:paraId="4A5E196C" w14:textId="77777777" w:rsidR="004F7E23" w:rsidRDefault="00000000">
      <w:pPr>
        <w:spacing w:before="30" w:after="40" w:line="280" w:lineRule="auto"/>
      </w:pPr>
      <w:r>
        <w:rPr>
          <w:rFonts w:ascii="Times New Roman" w:hAnsi="Times New Roman" w:cs="Times New Roman"/>
          <w:b/>
          <w:bCs/>
          <w:color w:val="000000" w:themeColor="text1"/>
        </w:rPr>
        <w:t xml:space="preserve">OUK         </w:t>
      </w:r>
      <w:r>
        <w:rPr>
          <w:rFonts w:ascii="Times New Roman" w:hAnsi="Times New Roman" w:cs="Times New Roman"/>
          <w:color w:val="000000" w:themeColor="text1"/>
        </w:rPr>
        <w:t>— Open University of Kenya</w:t>
      </w:r>
    </w:p>
    <w:p w14:paraId="1702245F" w14:textId="77777777" w:rsidR="004F7E23" w:rsidRDefault="00000000">
      <w:pPr>
        <w:spacing w:before="30" w:after="40" w:line="280" w:lineRule="auto"/>
      </w:pPr>
      <w:r>
        <w:rPr>
          <w:rFonts w:ascii="Times New Roman" w:hAnsi="Times New Roman" w:cs="Times New Roman"/>
          <w:b/>
          <w:bCs/>
          <w:color w:val="000000" w:themeColor="text1"/>
        </w:rPr>
        <w:t xml:space="preserve">PEOU        </w:t>
      </w:r>
      <w:r>
        <w:rPr>
          <w:rFonts w:ascii="Times New Roman" w:hAnsi="Times New Roman" w:cs="Times New Roman"/>
          <w:color w:val="000000" w:themeColor="text1"/>
        </w:rPr>
        <w:t>— Perceived Ease of Use</w:t>
      </w:r>
    </w:p>
    <w:p w14:paraId="483A05B6" w14:textId="77777777" w:rsidR="004F7E23" w:rsidRDefault="00000000">
      <w:pPr>
        <w:spacing w:before="30" w:after="40" w:line="280" w:lineRule="auto"/>
      </w:pPr>
      <w:r>
        <w:rPr>
          <w:rFonts w:ascii="Times New Roman" w:hAnsi="Times New Roman" w:cs="Times New Roman"/>
          <w:b/>
          <w:bCs/>
          <w:color w:val="000000" w:themeColor="text1"/>
        </w:rPr>
        <w:t xml:space="preserve">PU          </w:t>
      </w:r>
      <w:r>
        <w:rPr>
          <w:rFonts w:ascii="Times New Roman" w:hAnsi="Times New Roman" w:cs="Times New Roman"/>
          <w:color w:val="000000" w:themeColor="text1"/>
        </w:rPr>
        <w:t>— Perceived Usefulness</w:t>
      </w:r>
    </w:p>
    <w:p w14:paraId="74F9EF9B" w14:textId="77777777" w:rsidR="004F7E23" w:rsidRDefault="00000000">
      <w:pPr>
        <w:spacing w:before="30" w:after="40" w:line="280" w:lineRule="auto"/>
      </w:pPr>
      <w:r>
        <w:rPr>
          <w:rFonts w:ascii="Times New Roman" w:hAnsi="Times New Roman" w:cs="Times New Roman"/>
          <w:b/>
          <w:bCs/>
          <w:color w:val="000000" w:themeColor="text1"/>
        </w:rPr>
        <w:t xml:space="preserve">PWA         </w:t>
      </w:r>
      <w:r>
        <w:rPr>
          <w:rFonts w:ascii="Times New Roman" w:hAnsi="Times New Roman" w:cs="Times New Roman"/>
          <w:color w:val="000000" w:themeColor="text1"/>
        </w:rPr>
        <w:t>— Progressive Web App</w:t>
      </w:r>
    </w:p>
    <w:p w14:paraId="3369FB01" w14:textId="77777777" w:rsidR="004F7E23" w:rsidRDefault="00000000">
      <w:pPr>
        <w:spacing w:before="30" w:after="40" w:line="280" w:lineRule="auto"/>
      </w:pPr>
      <w:r>
        <w:rPr>
          <w:rFonts w:ascii="Times New Roman" w:hAnsi="Times New Roman" w:cs="Times New Roman"/>
          <w:b/>
          <w:bCs/>
          <w:color w:val="000000" w:themeColor="text1"/>
        </w:rPr>
        <w:t xml:space="preserve">STEM        </w:t>
      </w:r>
      <w:r>
        <w:rPr>
          <w:rFonts w:ascii="Times New Roman" w:hAnsi="Times New Roman" w:cs="Times New Roman"/>
          <w:color w:val="000000" w:themeColor="text1"/>
        </w:rPr>
        <w:t>— Science, Technology, Engineering and Mathematics</w:t>
      </w:r>
    </w:p>
    <w:p w14:paraId="03CF2C36" w14:textId="77777777" w:rsidR="004F7E23" w:rsidRDefault="00000000">
      <w:pPr>
        <w:spacing w:before="30" w:after="40" w:line="280" w:lineRule="auto"/>
      </w:pPr>
      <w:r>
        <w:rPr>
          <w:rFonts w:ascii="Times New Roman" w:hAnsi="Times New Roman" w:cs="Times New Roman"/>
          <w:b/>
          <w:bCs/>
          <w:color w:val="000000" w:themeColor="text1"/>
        </w:rPr>
        <w:t xml:space="preserve">SUS         </w:t>
      </w:r>
      <w:r>
        <w:rPr>
          <w:rFonts w:ascii="Times New Roman" w:hAnsi="Times New Roman" w:cs="Times New Roman"/>
          <w:color w:val="000000" w:themeColor="text1"/>
        </w:rPr>
        <w:t>— System Usability Scale</w:t>
      </w:r>
    </w:p>
    <w:p w14:paraId="3DDFB4BC" w14:textId="77777777" w:rsidR="004F7E23" w:rsidRDefault="00000000">
      <w:pPr>
        <w:spacing w:before="30" w:after="40" w:line="280" w:lineRule="auto"/>
      </w:pPr>
      <w:r>
        <w:rPr>
          <w:rFonts w:ascii="Times New Roman" w:hAnsi="Times New Roman" w:cs="Times New Roman"/>
          <w:b/>
          <w:bCs/>
          <w:color w:val="000000" w:themeColor="text1"/>
        </w:rPr>
        <w:t xml:space="preserve">TAM         </w:t>
      </w:r>
      <w:r>
        <w:rPr>
          <w:rFonts w:ascii="Times New Roman" w:hAnsi="Times New Roman" w:cs="Times New Roman"/>
          <w:color w:val="000000" w:themeColor="text1"/>
        </w:rPr>
        <w:t>— Technology Acceptance Model</w:t>
      </w:r>
    </w:p>
    <w:p w14:paraId="4A257513" w14:textId="77777777" w:rsidR="004F7E23" w:rsidRDefault="00000000">
      <w:pPr>
        <w:spacing w:before="30" w:after="40" w:line="280" w:lineRule="auto"/>
      </w:pPr>
      <w:r>
        <w:rPr>
          <w:rFonts w:ascii="Times New Roman" w:hAnsi="Times New Roman" w:cs="Times New Roman"/>
          <w:b/>
          <w:bCs/>
          <w:color w:val="000000" w:themeColor="text1"/>
        </w:rPr>
        <w:t xml:space="preserve">ZPD         </w:t>
      </w:r>
      <w:r>
        <w:rPr>
          <w:rFonts w:ascii="Times New Roman" w:hAnsi="Times New Roman" w:cs="Times New Roman"/>
          <w:color w:val="000000" w:themeColor="text1"/>
        </w:rPr>
        <w:t>— Zone of Proximal Development</w:t>
      </w:r>
    </w:p>
    <w:p w14:paraId="1A093F82" w14:textId="77777777" w:rsidR="004F7E23" w:rsidRDefault="00000000">
      <w:r>
        <w:br w:type="page"/>
      </w:r>
    </w:p>
    <w:p w14:paraId="6FD61D63" w14:textId="77777777" w:rsidR="004F7E23" w:rsidRDefault="00000000">
      <w:pPr>
        <w:spacing w:before="240" w:after="240" w:line="360" w:lineRule="auto"/>
        <w:jc w:val="center"/>
      </w:pPr>
      <w:r>
        <w:rPr>
          <w:rFonts w:ascii="Times New Roman" w:hAnsi="Times New Roman" w:cs="Times New Roman"/>
          <w:b/>
          <w:bCs/>
          <w:color w:val="000000" w:themeColor="text1"/>
          <w:sz w:val="28"/>
          <w:szCs w:val="28"/>
        </w:rPr>
        <w:lastRenderedPageBreak/>
        <w:t>OPERATIONAL DEFINITION OF TERMS</w:t>
      </w:r>
    </w:p>
    <w:p w14:paraId="043263E4" w14:textId="77777777" w:rsidR="004F7E23" w:rsidRDefault="00000000">
      <w:pPr>
        <w:spacing w:before="60" w:after="100" w:line="340" w:lineRule="auto"/>
      </w:pPr>
      <w:r>
        <w:rPr>
          <w:rFonts w:ascii="Times New Roman" w:hAnsi="Times New Roman" w:cs="Times New Roman"/>
          <w:b/>
          <w:bCs/>
          <w:color w:val="000000" w:themeColor="text1"/>
        </w:rPr>
        <w:t xml:space="preserve">VirtuLab Kenya: </w:t>
      </w:r>
      <w:r>
        <w:rPr>
          <w:rFonts w:ascii="Times New Roman" w:hAnsi="Times New Roman" w:cs="Times New Roman"/>
          <w:color w:val="000000" w:themeColor="text1"/>
        </w:rPr>
        <w:t>A web-based, bilingual (English/Kiswahili), offline-first virtual chemistry laboratory Progressive Web App specifically engineered to simulate KCSE Paper 3 practicals for learners in under-resourced Kenyan secondary schools.</w:t>
      </w:r>
    </w:p>
    <w:p w14:paraId="1C2EDE4C" w14:textId="77777777" w:rsidR="004F7E23" w:rsidRDefault="00000000">
      <w:pPr>
        <w:spacing w:before="60" w:after="100" w:line="340" w:lineRule="auto"/>
      </w:pPr>
      <w:r>
        <w:rPr>
          <w:rFonts w:ascii="Times New Roman" w:hAnsi="Times New Roman" w:cs="Times New Roman"/>
          <w:b/>
          <w:bCs/>
          <w:color w:val="000000" w:themeColor="text1"/>
        </w:rPr>
        <w:t xml:space="preserve">KCSE: </w:t>
      </w:r>
      <w:r>
        <w:rPr>
          <w:rFonts w:ascii="Times New Roman" w:hAnsi="Times New Roman" w:cs="Times New Roman"/>
          <w:color w:val="000000" w:themeColor="text1"/>
        </w:rPr>
        <w:t>Kenya Certificate of Secondary Education, the national terminal secondary examination administered by the Kenya National Examinations Council (KNEC).</w:t>
      </w:r>
    </w:p>
    <w:p w14:paraId="4D12D37D" w14:textId="77777777" w:rsidR="004F7E23" w:rsidRDefault="00000000">
      <w:pPr>
        <w:spacing w:before="60" w:after="100" w:line="340" w:lineRule="auto"/>
      </w:pPr>
      <w:r>
        <w:rPr>
          <w:rFonts w:ascii="Times New Roman" w:hAnsi="Times New Roman" w:cs="Times New Roman"/>
          <w:b/>
          <w:bCs/>
          <w:color w:val="000000" w:themeColor="text1"/>
        </w:rPr>
        <w:t xml:space="preserve">CPCAT: </w:t>
      </w:r>
      <w:r>
        <w:rPr>
          <w:rFonts w:ascii="Times New Roman" w:hAnsi="Times New Roman" w:cs="Times New Roman"/>
          <w:color w:val="000000" w:themeColor="text1"/>
        </w:rPr>
        <w:t>Chemistry Practical Competency Achievement Test, the 40-mark standardised achievement instrument validated to evaluate practical chemistry conceptual and calculation competency before and after the intervention.</w:t>
      </w:r>
    </w:p>
    <w:p w14:paraId="66483FFE" w14:textId="77777777" w:rsidR="004F7E23" w:rsidRDefault="00000000">
      <w:pPr>
        <w:spacing w:before="60" w:after="100" w:line="340" w:lineRule="auto"/>
      </w:pPr>
      <w:r>
        <w:rPr>
          <w:rFonts w:ascii="Times New Roman" w:hAnsi="Times New Roman" w:cs="Times New Roman"/>
          <w:b/>
          <w:bCs/>
          <w:color w:val="000000" w:themeColor="text1"/>
        </w:rPr>
        <w:t xml:space="preserve">Normalised Learning Gain (g): </w:t>
      </w:r>
      <w:r>
        <w:rPr>
          <w:rFonts w:ascii="Times New Roman" w:hAnsi="Times New Roman" w:cs="Times New Roman"/>
          <w:color w:val="000000" w:themeColor="text1"/>
        </w:rPr>
        <w:t>Hake’s standard metric quantifying student learning gain relative to the maximum possible gain achievable from pre-test to post-test.</w:t>
      </w:r>
    </w:p>
    <w:p w14:paraId="7CCBEE74" w14:textId="77777777" w:rsidR="004F7E23" w:rsidRDefault="00000000">
      <w:pPr>
        <w:spacing w:before="60" w:after="100" w:line="340" w:lineRule="auto"/>
      </w:pPr>
      <w:r>
        <w:rPr>
          <w:rFonts w:ascii="Times New Roman" w:hAnsi="Times New Roman" w:cs="Times New Roman"/>
          <w:b/>
          <w:bCs/>
          <w:color w:val="000000" w:themeColor="text1"/>
        </w:rPr>
        <w:t xml:space="preserve">System Usability Scale (SUS): </w:t>
      </w:r>
      <w:r>
        <w:rPr>
          <w:rFonts w:ascii="Times New Roman" w:hAnsi="Times New Roman" w:cs="Times New Roman"/>
          <w:color w:val="000000" w:themeColor="text1"/>
        </w:rPr>
        <w:t>A ten-item validated Likert-scale instrument (Brooke, 1996) yielding an industry-standard composite usability benchmark from 0 to 100.</w:t>
      </w:r>
    </w:p>
    <w:p w14:paraId="3687C9A8" w14:textId="77777777" w:rsidR="004F7E23" w:rsidRDefault="00000000">
      <w:pPr>
        <w:spacing w:before="60" w:after="100" w:line="340" w:lineRule="auto"/>
      </w:pPr>
      <w:r>
        <w:rPr>
          <w:rFonts w:ascii="Times New Roman" w:hAnsi="Times New Roman" w:cs="Times New Roman"/>
          <w:b/>
          <w:bCs/>
          <w:color w:val="000000" w:themeColor="text1"/>
        </w:rPr>
        <w:t xml:space="preserve">Technology Acceptance Model (TAM): </w:t>
      </w:r>
      <w:r>
        <w:rPr>
          <w:rFonts w:ascii="Times New Roman" w:hAnsi="Times New Roman" w:cs="Times New Roman"/>
          <w:color w:val="000000" w:themeColor="text1"/>
        </w:rPr>
        <w:t>An information systems framework assessing users’ Perceived Usefulness, Perceived Ease of Use, Facilitating Conditions, and Behavioural Intention to adopt VirtuLab Kenya.</w:t>
      </w:r>
    </w:p>
    <w:p w14:paraId="12501311" w14:textId="77777777" w:rsidR="004F7E23" w:rsidRDefault="00000000">
      <w:pPr>
        <w:spacing w:before="60" w:after="100" w:line="340" w:lineRule="auto"/>
      </w:pPr>
      <w:r>
        <w:rPr>
          <w:rFonts w:ascii="Times New Roman" w:hAnsi="Times New Roman" w:cs="Times New Roman"/>
          <w:b/>
          <w:bCs/>
          <w:color w:val="000000" w:themeColor="text1"/>
        </w:rPr>
        <w:t xml:space="preserve">Concordant Titres: </w:t>
      </w:r>
      <w:r>
        <w:rPr>
          <w:rFonts w:ascii="Times New Roman" w:hAnsi="Times New Roman" w:cs="Times New Roman"/>
          <w:color w:val="000000" w:themeColor="text1"/>
        </w:rPr>
        <w:t>Volumetric titre values falling within ±0.10 cm³ to ±0.20 cm³ of one another, satisfying the official KNEC scoring precision requirement for full marks.</w:t>
      </w:r>
    </w:p>
    <w:p w14:paraId="24F82F45" w14:textId="77777777" w:rsidR="004F7E23" w:rsidRDefault="00000000">
      <w:pPr>
        <w:spacing w:before="60" w:after="100" w:line="340" w:lineRule="auto"/>
      </w:pPr>
      <w:r>
        <w:rPr>
          <w:rFonts w:ascii="Times New Roman" w:hAnsi="Times New Roman" w:cs="Times New Roman"/>
          <w:b/>
          <w:bCs/>
          <w:color w:val="000000" w:themeColor="text1"/>
        </w:rPr>
        <w:t xml:space="preserve">NACOSTI: </w:t>
      </w:r>
      <w:r>
        <w:rPr>
          <w:rFonts w:ascii="Times New Roman" w:hAnsi="Times New Roman" w:cs="Times New Roman"/>
          <w:color w:val="000000" w:themeColor="text1"/>
        </w:rPr>
        <w:t>National Commission for Science, Technology and Innovation, the statutory research permitting and ethics regulatory agency in Kenya.</w:t>
      </w:r>
    </w:p>
    <w:p w14:paraId="603A3777" w14:textId="77777777" w:rsidR="004F7E23" w:rsidRDefault="00000000">
      <w:r>
        <w:br w:type="page"/>
      </w:r>
    </w:p>
    <w:p w14:paraId="346EC26C" w14:textId="77777777" w:rsidR="004F7E23" w:rsidRDefault="00000000">
      <w:pPr>
        <w:spacing w:before="240" w:after="240" w:line="360" w:lineRule="auto"/>
        <w:jc w:val="center"/>
      </w:pPr>
      <w:r>
        <w:rPr>
          <w:rFonts w:ascii="Times New Roman" w:hAnsi="Times New Roman" w:cs="Times New Roman"/>
          <w:b/>
          <w:bCs/>
          <w:color w:val="000000" w:themeColor="text1"/>
          <w:sz w:val="28"/>
          <w:szCs w:val="28"/>
        </w:rPr>
        <w:lastRenderedPageBreak/>
        <w:t>ABSTRACT</w:t>
      </w:r>
    </w:p>
    <w:p w14:paraId="18257C2F" w14:textId="1D6CE3CF" w:rsidR="004F7E23" w:rsidRDefault="00000000">
      <w:pPr>
        <w:spacing w:before="80" w:after="140" w:line="360" w:lineRule="auto"/>
      </w:pPr>
      <w:r>
        <w:rPr>
          <w:rFonts w:ascii="Times New Roman" w:hAnsi="Times New Roman" w:cs="Times New Roman"/>
          <w:color w:val="000000" w:themeColor="text1"/>
          <w:sz w:val="24"/>
          <w:szCs w:val="24"/>
        </w:rPr>
        <w:t>Practical science education is fundamental to developing critical thinking, problem-solving, and scientific inquiry skills among secondary school learners. In Kenya, Chemistry is examined both theoretically and practically through the KCSE Chemistry Practical Examination (Paper 233/3). However, over 60% of secondary schools</w:t>
      </w:r>
      <w:r w:rsidR="00D4071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particularly public sub-county and rural day schools lack functional, adequately equipped science laboratories, consumable reagents, and trained laboratory technicians. Consequently, thousands of learners sit high-stakes national practical examinations having experienced science solely through chalk-and-talk demonstration or theoretical rote memorisation.</w:t>
      </w:r>
    </w:p>
    <w:p w14:paraId="7119CD78" w14:textId="701DEEB2" w:rsidR="004F7E23" w:rsidRDefault="00000000">
      <w:pPr>
        <w:spacing w:after="140" w:line="360" w:lineRule="auto"/>
      </w:pPr>
      <w:r>
        <w:rPr>
          <w:rFonts w:ascii="Times New Roman" w:hAnsi="Times New Roman" w:cs="Times New Roman"/>
          <w:color w:val="000000" w:themeColor="text1"/>
          <w:sz w:val="24"/>
          <w:szCs w:val="24"/>
        </w:rPr>
        <w:t>VirtuLab Kenya is an innovative, low</w:t>
      </w:r>
      <w:r w:rsidR="00D4071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cost, offline-first digital learning platform designed to bridge this practical science divide. Built as a lightweight Progressive Web App with Node.js/PostgreSQL backend services, it provides realistic, mathematically grounded, and visually responsive virtual laboratory practicals directly mapped to the KICD syllabus and KCSE Paper 3 practical formats. The platform covers volumetric analysis (acid</w:t>
      </w:r>
      <w:r w:rsidR="00D4071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base, redox, precipitation, complexometric titrations), qualitative inorganic analysis, reaction kinetics, chemical energetics, solubility curves, qualitative organic tests, and composite timed mock practicals.</w:t>
      </w:r>
    </w:p>
    <w:p w14:paraId="05EC6FDB" w14:textId="40E82840" w:rsidR="004F7E23" w:rsidRDefault="00000000">
      <w:pPr>
        <w:spacing w:after="140" w:line="360" w:lineRule="auto"/>
      </w:pPr>
      <w:r>
        <w:rPr>
          <w:rFonts w:ascii="Times New Roman" w:hAnsi="Times New Roman" w:cs="Times New Roman"/>
          <w:color w:val="000000" w:themeColor="text1"/>
          <w:sz w:val="24"/>
          <w:szCs w:val="24"/>
        </w:rPr>
        <w:t>To ensure contextual relevance and equity, the platform features zero-bandwidth resilience through full offline execution with background telemetry sync; dual</w:t>
      </w:r>
      <w:r w:rsidR="00D4071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language scaffolding in English and Kiswahili; a teacher diagnostic ecosystem with real-time class dashboards; and pedagogical scaffolding through guided</w:t>
      </w:r>
      <w:r w:rsidR="00D4071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inquiry modes, automated volumetric error feedback, interactive meniscus readings, and adaptive speed challenges.</w:t>
      </w:r>
    </w:p>
    <w:p w14:paraId="5A8BD064" w14:textId="51F79ABB" w:rsidR="004F7E23" w:rsidRDefault="00000000">
      <w:pPr>
        <w:spacing w:after="200" w:line="360" w:lineRule="auto"/>
      </w:pPr>
      <w:r>
        <w:rPr>
          <w:rFonts w:ascii="Times New Roman" w:hAnsi="Times New Roman" w:cs="Times New Roman"/>
          <w:color w:val="000000" w:themeColor="text1"/>
          <w:sz w:val="24"/>
          <w:szCs w:val="24"/>
        </w:rPr>
        <w:t>This proposal details the problem statement, theoretical underpinning</w:t>
      </w:r>
      <w:r w:rsidR="00D4071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the Cognitive Theory of Multimedia Learning, Inquiry-Based Science Education, and the Technology Acceptance Model technical architecture, 12-month implementation plan, mixed-methods quasi</w:t>
      </w:r>
      <w:r w:rsidR="0021627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experimental evaluation methodology, budgetary requirements, and risk-mitigation strategies for piloting VirtuLab Kenya across selected Kenyan secondary schools. The project is expected to demonstrate that a curriculum</w:t>
      </w:r>
      <w:r w:rsidR="00D4071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aligned, offline</w:t>
      </w:r>
      <w:r w:rsidR="00D4071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capable virtual laboratory can produce measurable </w:t>
      </w:r>
      <w:r>
        <w:rPr>
          <w:rFonts w:ascii="Times New Roman" w:hAnsi="Times New Roman" w:cs="Times New Roman"/>
          <w:color w:val="000000" w:themeColor="text1"/>
          <w:sz w:val="24"/>
          <w:szCs w:val="24"/>
        </w:rPr>
        <w:lastRenderedPageBreak/>
        <w:t>gains in practical competency and reduce practical</w:t>
      </w:r>
      <w:r w:rsidR="00D4071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examination anxiety among learners in under-resourced settings, while offering teachers actionable diagnostic data on class-wide skill gaps.</w:t>
      </w:r>
    </w:p>
    <w:p w14:paraId="40C67022" w14:textId="77777777" w:rsidR="004F7E23" w:rsidRDefault="00000000">
      <w:pPr>
        <w:spacing w:before="100" w:line="340" w:lineRule="auto"/>
        <w:sectPr w:rsidR="004F7E23">
          <w:footerReference w:type="default" r:id="rId7"/>
          <w:pgSz w:w="12240" w:h="15840"/>
          <w:pgMar w:top="1440" w:right="1440" w:bottom="1440" w:left="1440" w:header="708" w:footer="708" w:gutter="0"/>
          <w:pgNumType w:fmt="lowerRoman" w:start="2"/>
          <w:cols w:space="720"/>
          <w:docGrid w:linePitch="360"/>
        </w:sectPr>
      </w:pPr>
      <w:r>
        <w:rPr>
          <w:rFonts w:ascii="Times New Roman" w:hAnsi="Times New Roman" w:cs="Times New Roman"/>
          <w:b/>
          <w:bCs/>
          <w:i/>
          <w:iCs/>
          <w:color w:val="000000" w:themeColor="text1"/>
        </w:rPr>
        <w:t xml:space="preserve">Keywords: </w:t>
      </w:r>
      <w:r>
        <w:rPr>
          <w:rFonts w:ascii="Times New Roman" w:hAnsi="Times New Roman" w:cs="Times New Roman"/>
          <w:i/>
          <w:iCs/>
          <w:color w:val="000000" w:themeColor="text1"/>
        </w:rPr>
        <w:t>Virtual Chemistry Laboratory, Progressive Web App (PWA), KCSE Paper 3, Educational Inequity, Cognitive Theory of Multimedia Learning, System Usability Scale (SUS), Technology Acceptance Model (TAM).</w:t>
      </w:r>
    </w:p>
    <w:p w14:paraId="17C8A018" w14:textId="77777777" w:rsidR="00031E74" w:rsidRPr="003D30A1" w:rsidRDefault="00000000">
      <w:pPr>
        <w:pStyle w:val="Heading1"/>
        <w:pageBreakBefore/>
        <w:spacing w:before="480" w:after="24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lastRenderedPageBreak/>
        <w:t>CHAPTER ONE: PROBLEM IDENTIFICATION</w:t>
      </w:r>
    </w:p>
    <w:p w14:paraId="06B28719"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This chapter outlines the foundational context of the capstone project, defining the problem of inadequate laboratory infrastructure in Kenyan secondary schools and presenting VirtuLab Kenya as the proposed educational technology intervention.</w:t>
      </w:r>
    </w:p>
    <w:p w14:paraId="09F57D69"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1.1 Background to the Problem</w:t>
      </w:r>
    </w:p>
    <w:p w14:paraId="29D8E8E2"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Kenya’s Vision 2030 and the National Education Sector Strategic Plan place science, technology, engineering, and mathematics (STEM) at the heart of national socio-economic transformation. Both the ongoing Competency-Based Curriculum (CBC) transition and the outgoing 8-4-4 secondary curriculum emphasise experiential, hands-on scientific inquiry over passive memorisation.</w:t>
      </w:r>
    </w:p>
    <w:p w14:paraId="016AE160" w14:textId="62BFC07B"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Chemistry is a foundational subject in the Kenyan secondary school curriculum and a critical component of the Kenya Certificate of Secondary Education (KCSE). In Forms 1 through 4, laboratory work is not merely supplementary</w:t>
      </w:r>
      <w:r w:rsidR="0021627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it constitutes an entire standalone national examination paper, KCSE Chemistry Paper 3 (Subject Code 233/3), which accounts for 40% of the overall Chemistry grade. Mastery of Paper 3 requires practical competency in precision volumetric manipulation (pipetting, burette handling, meniscus reading, and indicator end-point detection), concordant titre determination (recording values within ±0.10–±0.20 cm³ of one another), stoichiometric calculations (mole ratios, molarities, percentage purity, and water of crystallisation), systematic qualitative analysis (observing precipitates, solubility in excess reagents, flame tests, and gas identification), and reaction kinetics, thermochemistry, and qualitative organic functional-group testing.</w:t>
      </w:r>
    </w:p>
    <w:p w14:paraId="7C54C6FC" w14:textId="101DECC4"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However, a persistent challenge faces Kenyan secondary schools: the lack of adequately equipped chemistry laboratories. More than 60% of secondary schools in Kenya particularly public sub-county and rural day schools</w:t>
      </w:r>
      <w:r w:rsidR="00216277">
        <w:rPr>
          <w:rFonts w:ascii="Times New Roman" w:hAnsi="Times New Roman" w:cs="Times New Roman"/>
          <w:color w:val="000000" w:themeColor="text1"/>
          <w:lang w:val="en-GB"/>
        </w:rPr>
        <w:t>,</w:t>
      </w:r>
      <w:r w:rsidRPr="003D30A1">
        <w:rPr>
          <w:rFonts w:ascii="Times New Roman" w:hAnsi="Times New Roman" w:cs="Times New Roman"/>
          <w:color w:val="000000" w:themeColor="text1"/>
          <w:lang w:val="en-GB"/>
        </w:rPr>
        <w:t xml:space="preserve"> lack functional laboratories, consumable reagents, and trained laboratory technicians, leaving thousands of learners to sit high-stakes national practical examinations having experienced science solely through chalk</w:t>
      </w:r>
      <w:r w:rsidR="0021627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and</w:t>
      </w:r>
      <w:r w:rsidR="0021627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talk demonstration or theoretical rote memorisation.</w:t>
      </w:r>
    </w:p>
    <w:p w14:paraId="5B62AAB5"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1.2 The Laboratory Infrastructure Crisis</w:t>
      </w:r>
    </w:p>
    <w:p w14:paraId="733BBC31" w14:textId="567CDF9F"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 xml:space="preserve">Infrastructure disparity: </w:t>
      </w:r>
      <w:r w:rsidRPr="003D30A1">
        <w:rPr>
          <w:rFonts w:ascii="Times New Roman" w:hAnsi="Times New Roman" w:cs="Times New Roman"/>
          <w:color w:val="000000" w:themeColor="text1"/>
          <w:lang w:val="en-GB"/>
        </w:rPr>
        <w:t>While top-tier National and Extra</w:t>
      </w:r>
      <w:r w:rsidR="0021627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County boarding schools possess multi-room laboratories with running gas, water, and specialised glassware, the vast majority of Sub</w:t>
      </w:r>
      <w:r w:rsidR="0021627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County Day Secondary Schools which enrol over 65% of secondary students</w:t>
      </w:r>
      <w:r w:rsidR="0021627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 xml:space="preserve">have either empty laboratory halls, multi-purpose classrooms, or no laboratory infrastructure at all. </w:t>
      </w:r>
      <w:r w:rsidRPr="003D30A1">
        <w:rPr>
          <w:rFonts w:ascii="Times New Roman" w:hAnsi="Times New Roman" w:cs="Times New Roman"/>
          <w:b/>
          <w:bCs/>
          <w:color w:val="000000" w:themeColor="text1"/>
          <w:lang w:val="en-GB"/>
        </w:rPr>
        <w:t xml:space="preserve">Cost and perishability of reagents: </w:t>
      </w:r>
      <w:r w:rsidRPr="003D30A1">
        <w:rPr>
          <w:rFonts w:ascii="Times New Roman" w:hAnsi="Times New Roman" w:cs="Times New Roman"/>
          <w:color w:val="000000" w:themeColor="text1"/>
          <w:lang w:val="en-GB"/>
        </w:rPr>
        <w:t>Chemical reagents such as silver nitrate, potassium manganate (VII), standard molar acids, and indicators are costly and have short shelf</w:t>
      </w:r>
      <w:r w:rsidR="0021627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 xml:space="preserve">lives. Under-resourced schools often reserve chemicals strictly for the final examination rehearsal, denying learners routine experimental practice. </w:t>
      </w:r>
      <w:r w:rsidRPr="003D30A1">
        <w:rPr>
          <w:rFonts w:ascii="Times New Roman" w:hAnsi="Times New Roman" w:cs="Times New Roman"/>
          <w:b/>
          <w:bCs/>
          <w:color w:val="000000" w:themeColor="text1"/>
          <w:lang w:val="en-GB"/>
        </w:rPr>
        <w:t xml:space="preserve">Safety and class-size bottlenecks: </w:t>
      </w:r>
      <w:r w:rsidRPr="003D30A1">
        <w:rPr>
          <w:rFonts w:ascii="Times New Roman" w:hAnsi="Times New Roman" w:cs="Times New Roman"/>
          <w:color w:val="000000" w:themeColor="text1"/>
          <w:lang w:val="en-GB"/>
        </w:rPr>
        <w:t>Student</w:t>
      </w:r>
      <w:r w:rsidR="0021627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to</w:t>
      </w:r>
      <w:r w:rsidR="0021627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teacher ratios often exceed 50:1 in Kenyan public schools. Conducting wet</w:t>
      </w:r>
      <w:r w:rsidR="0021627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chemistry experiments involving hazardous concentrated acids, toxic gases (SO₂, Cl₂, H₂S), or open Bunsen flames presents extreme safety hazards when supervision and ventilation are inadequate.</w:t>
      </w:r>
    </w:p>
    <w:p w14:paraId="55AF86DB" w14:textId="77777777" w:rsidR="005B1E2F" w:rsidRPr="003D30A1" w:rsidRDefault="005B1E2F">
      <w:pPr>
        <w:spacing w:after="200" w:line="276" w:lineRule="auto"/>
        <w:jc w:val="both"/>
        <w:rPr>
          <w:rFonts w:ascii="Times New Roman" w:hAnsi="Times New Roman" w:cs="Times New Roman"/>
          <w:color w:val="000000" w:themeColor="text1"/>
          <w:lang w:val="en-GB"/>
        </w:rPr>
      </w:pPr>
    </w:p>
    <w:p w14:paraId="49D55E7E"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lastRenderedPageBreak/>
        <w:t>1.3 Digital Interventions in Low-Resource Contexts</w:t>
      </w:r>
    </w:p>
    <w:p w14:paraId="1996E6EF" w14:textId="4E5D2F0F"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Virtual science laboratories have emerged globally as effective digital scaffolds. However, existing commercial virtual labs such as Labster and PhET present significant contextual barriers in Sub</w:t>
      </w:r>
      <w:r w:rsidR="0021627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Saharan Africa, including high recurring per</w:t>
      </w:r>
      <w:r w:rsidR="0021627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student subscription fees, heavy 3D WebGL graphics engines that crash on entry</w:t>
      </w:r>
      <w:r w:rsidR="0021627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level Android smartphones and Chromebooks, heavy reliance on constant, high</w:t>
      </w:r>
      <w:r w:rsidR="0021627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speed 4G/fibre internet connectivity, and misalignment with national examination marking schemes  e.g. KCSE</w:t>
      </w:r>
      <w:r w:rsidR="0021627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specific table formats, penalty schemes for non</w:t>
      </w:r>
      <w:r w:rsidR="0021627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concordant titres, and specific ionic precipitation tables.</w:t>
      </w:r>
    </w:p>
    <w:p w14:paraId="4D262C86"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VirtuLab Kenya is built from the ground up to resolve these contextual constraints, forming the core rationale for this project.</w:t>
      </w:r>
    </w:p>
    <w:p w14:paraId="4C86F861"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1.4 Problem Identification</w:t>
      </w:r>
    </w:p>
    <w:p w14:paraId="70F38A0F"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The primary problem identified is that KCSE chemistry students in underequipped schools cannot practice mandatory practicals. Concurrently, there is an absence of virtual laboratory software customised for the Kenyan educational context.</w:t>
      </w:r>
    </w:p>
    <w:p w14:paraId="4A046612"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1.5 Problem Statement</w:t>
      </w:r>
    </w:p>
    <w:p w14:paraId="25CCADDD" w14:textId="63A70A4C"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Secondary school students in resource-constrained Kenyan secondary schools suffer persistent underperformance and high attrition in KCSE Chemistry due to the lack of hands</w:t>
      </w:r>
      <w:r w:rsidR="0021627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on laboratory access. This lack of practical experience results in high failure rates on KCSE Paper 3, severe practical anxiety, inaccurate manipulation of quantitative data, and depressed national STEM enrolment. There is an urgent, unmet need for a curriculum-aligned, zero</w:t>
      </w:r>
      <w:r w:rsidR="0021627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marginal</w:t>
      </w:r>
      <w:r w:rsidR="0021627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cost, low</w:t>
      </w:r>
      <w:r w:rsidR="0021627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bandwidth, offline</w:t>
      </w:r>
      <w:r w:rsidR="0021627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capable virtual chemistry laboratory tailored to the Kenyan syllabus that empowers both independent student practice and teacher</w:t>
      </w:r>
      <w:r w:rsidR="0021627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led diagnostic assessment. No existing virtual laboratory solution addresses this problem, because none are aligned to the Kenyan curriculum, available in Kiswahili, or designed for the low</w:t>
      </w:r>
      <w:r w:rsidR="0021627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resource technology environments common in Kenyan secondary schools.</w:t>
      </w:r>
    </w:p>
    <w:p w14:paraId="3836AB49"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1.6 Purpose of the Capstone Project</w:t>
      </w:r>
    </w:p>
    <w:p w14:paraId="2455EB9C" w14:textId="1EC8DF3E"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The purpose of this project is to design, develop, deploy, and evaluate VirtuLab Kenya an offline-first, KICD</w:t>
      </w:r>
      <w:r w:rsidR="00623D2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aligned virtual chemistry laboratory platform</w:t>
      </w:r>
      <w:r w:rsidR="00623D2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 xml:space="preserve"> to democratise practical science learning for secondary school learners in Kenya.</w:t>
      </w:r>
    </w:p>
    <w:p w14:paraId="0F3C7C38"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1.7 Objectives of the Capstone Project</w:t>
      </w:r>
    </w:p>
    <w:p w14:paraId="1E761AD5"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t>1.7.1 General Objective</w:t>
      </w:r>
    </w:p>
    <w:p w14:paraId="33F0107B"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To design, develop, deploy, and evaluate an offline-first, KICD-aligned virtual chemistry laboratory platform (VirtuLab Kenya) that democratises practical science learning for secondary school learners in Kenya.</w:t>
      </w:r>
    </w:p>
    <w:p w14:paraId="1BB513E1" w14:textId="77777777" w:rsidR="003D30A1" w:rsidRDefault="003D30A1">
      <w:pPr>
        <w:spacing w:after="200" w:line="276" w:lineRule="auto"/>
        <w:jc w:val="both"/>
        <w:rPr>
          <w:rFonts w:ascii="Times New Roman" w:hAnsi="Times New Roman" w:cs="Times New Roman"/>
          <w:color w:val="000000" w:themeColor="text1"/>
          <w:lang w:val="en-GB"/>
        </w:rPr>
      </w:pPr>
    </w:p>
    <w:p w14:paraId="12EC6293" w14:textId="77777777" w:rsidR="00623D27" w:rsidRPr="003D30A1" w:rsidRDefault="00623D27">
      <w:pPr>
        <w:spacing w:after="200" w:line="276" w:lineRule="auto"/>
        <w:jc w:val="both"/>
        <w:rPr>
          <w:rFonts w:ascii="Times New Roman" w:hAnsi="Times New Roman" w:cs="Times New Roman"/>
          <w:color w:val="000000" w:themeColor="text1"/>
          <w:lang w:val="en-GB"/>
        </w:rPr>
      </w:pPr>
    </w:p>
    <w:p w14:paraId="0CC86660"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lastRenderedPageBreak/>
        <w:t>1.7.2 Specific Objectives</w:t>
      </w:r>
    </w:p>
    <w:p w14:paraId="7F0C16DC" w14:textId="377D992F"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Design &amp; Development: Build a lightweight, responsive Progressive Web App featuring seven core virtual laboratory modules covering all major KCSE Paper 3 practical domains, with bilingual (English/Kiswahili) support. Pedagogical Integration: Implement intelligent scaffolding mechanisms, including interactive meniscus magnification, indicator colour-transition kinetics, concordance algorithms (±0.10 cm³), and automated step</w:t>
      </w:r>
      <w:r w:rsidR="00623D2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by</w:t>
      </w:r>
      <w:r w:rsidR="00623D2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step stoichiometric evaluation. Teacher Diagnostic Tools: Develop an administrative and teacher analytics dashboard providing real</w:t>
      </w:r>
      <w:r w:rsidR="00623D2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time class monitoring, custom assignment broadcasting, and error-pattern classification. Empirical Evaluation: Conduct a quasi-experimental pilot study across selected Kenyan secondary schools, stratified by school category, to measure learning gains, usability (SUS), and technology acceptance (TAM). Policy &amp; Dissemination: Formulate policy recommendations and an open deployment framework for institutional adoption by KICD, the Ministry of Education, and partner teacher training colleges.</w:t>
      </w:r>
    </w:p>
    <w:p w14:paraId="0DD5F9A6"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1.8 Research Questions</w:t>
      </w:r>
    </w:p>
    <w:p w14:paraId="64D7155E" w14:textId="4032136E"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 xml:space="preserve">RQ1 (Learning Effectiveness): </w:t>
      </w:r>
      <w:r w:rsidRPr="003D30A1">
        <w:rPr>
          <w:rFonts w:ascii="Times New Roman" w:hAnsi="Times New Roman" w:cs="Times New Roman"/>
          <w:color w:val="000000" w:themeColor="text1"/>
          <w:lang w:val="en-GB"/>
        </w:rPr>
        <w:t>To what extent does the integration of VirtuLab Kenya improve secondary school students’ conceptual understanding and practical problem-solving scores in KCSE Chemistry Paper 3 topics, compared to traditional non</w:t>
      </w:r>
      <w:r w:rsidR="00623D2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 xml:space="preserve">laboratory/lecture-based instruction? </w:t>
      </w:r>
      <w:r w:rsidRPr="003D30A1">
        <w:rPr>
          <w:rFonts w:ascii="Times New Roman" w:hAnsi="Times New Roman" w:cs="Times New Roman"/>
          <w:b/>
          <w:bCs/>
          <w:color w:val="000000" w:themeColor="text1"/>
          <w:lang w:val="en-GB"/>
        </w:rPr>
        <w:t xml:space="preserve">RQ2 (Usability &amp; Accessibility): </w:t>
      </w:r>
      <w:r w:rsidRPr="003D30A1">
        <w:rPr>
          <w:rFonts w:ascii="Times New Roman" w:hAnsi="Times New Roman" w:cs="Times New Roman"/>
          <w:color w:val="000000" w:themeColor="text1"/>
          <w:lang w:val="en-GB"/>
        </w:rPr>
        <w:t>How usable, accessible, and responsive is the offline-first Progressive Web App interface when deployed on entry</w:t>
      </w:r>
      <w:r w:rsidR="00623D2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level mobile devices and low</w:t>
      </w:r>
      <w:r w:rsidR="00623D2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 xml:space="preserve">connectivity school environments in Kenya, as measured by the System Usability Scale (SUS)? </w:t>
      </w:r>
      <w:r w:rsidRPr="003D30A1">
        <w:rPr>
          <w:rFonts w:ascii="Times New Roman" w:hAnsi="Times New Roman" w:cs="Times New Roman"/>
          <w:b/>
          <w:bCs/>
          <w:color w:val="000000" w:themeColor="text1"/>
          <w:lang w:val="en-GB"/>
        </w:rPr>
        <w:t xml:space="preserve">RQ3 (Pedagogical Acceptance): </w:t>
      </w:r>
      <w:r w:rsidRPr="003D30A1">
        <w:rPr>
          <w:rFonts w:ascii="Times New Roman" w:hAnsi="Times New Roman" w:cs="Times New Roman"/>
          <w:color w:val="000000" w:themeColor="text1"/>
          <w:lang w:val="en-GB"/>
        </w:rPr>
        <w:t xml:space="preserve">What are Kenyan chemistry teachers’ and students’ perceptions regarding the perceived usefulness (PU), perceived ease of use (PEOU), and behavioural intention (BI) to adopt VirtuLab Kenya, framed under the Technology Acceptance Model (TAM)? </w:t>
      </w:r>
      <w:r w:rsidRPr="003D30A1">
        <w:rPr>
          <w:rFonts w:ascii="Times New Roman" w:hAnsi="Times New Roman" w:cs="Times New Roman"/>
          <w:b/>
          <w:bCs/>
          <w:color w:val="000000" w:themeColor="text1"/>
          <w:lang w:val="en-GB"/>
        </w:rPr>
        <w:t xml:space="preserve">RQ4 (Diagnostic Utility): </w:t>
      </w:r>
      <w:r w:rsidRPr="003D30A1">
        <w:rPr>
          <w:rFonts w:ascii="Times New Roman" w:hAnsi="Times New Roman" w:cs="Times New Roman"/>
          <w:color w:val="000000" w:themeColor="text1"/>
          <w:lang w:val="en-GB"/>
        </w:rPr>
        <w:t>How effectively do automated telemetry error logs e.g. indicator</w:t>
      </w:r>
      <w:r w:rsidR="00623D2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selection errors, non-concordant titre rates, calculation deviation enable teachers to identify and remediate specific student misconceptions in real time?</w:t>
      </w:r>
    </w:p>
    <w:p w14:paraId="2A5B9C9A"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1.9 Research Hypotheses</w:t>
      </w:r>
    </w:p>
    <w:p w14:paraId="1793978A" w14:textId="540F75E3"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 xml:space="preserve">H₀ (Null): </w:t>
      </w:r>
      <w:r w:rsidRPr="003D30A1">
        <w:rPr>
          <w:rFonts w:ascii="Times New Roman" w:hAnsi="Times New Roman" w:cs="Times New Roman"/>
          <w:color w:val="000000" w:themeColor="text1"/>
          <w:lang w:val="en-GB"/>
        </w:rPr>
        <w:t>There is no statistically significant difference in KCSE Paper 3 post</w:t>
      </w:r>
      <w:r w:rsidR="00623D2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 xml:space="preserve">test scores between learners utilising VirtuLab Kenya and learners taught through traditional classroom instruction without physical lab access (p &amp;gt; 0.05). </w:t>
      </w:r>
      <w:r w:rsidRPr="003D30A1">
        <w:rPr>
          <w:rFonts w:ascii="Times New Roman" w:hAnsi="Times New Roman" w:cs="Times New Roman"/>
          <w:b/>
          <w:bCs/>
          <w:color w:val="000000" w:themeColor="text1"/>
          <w:lang w:val="en-GB"/>
        </w:rPr>
        <w:t xml:space="preserve">H₁ (Alternative): </w:t>
      </w:r>
      <w:r w:rsidRPr="003D30A1">
        <w:rPr>
          <w:rFonts w:ascii="Times New Roman" w:hAnsi="Times New Roman" w:cs="Times New Roman"/>
          <w:color w:val="000000" w:themeColor="text1"/>
          <w:lang w:val="en-GB"/>
        </w:rPr>
        <w:t>Learners utilising VirtuLab Kenya will demonstrate a statistically significant gain in post</w:t>
      </w:r>
      <w:r w:rsidR="00623D2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test scores and practical competency metrics compared to the control group (p &amp;lt; 0.05, normalised learning gain g ≥ 0.40).</w:t>
      </w:r>
    </w:p>
    <w:p w14:paraId="14294993"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1.10 Significance of the Capstone Project</w:t>
      </w:r>
    </w:p>
    <w:p w14:paraId="0EF847F9" w14:textId="23803D05"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 xml:space="preserve">VirtuLab Kenya advances equity and inclusivity by democratising STEM access for sub-county and rural day schools, with distinct benefits across three stakeholder groups. </w:t>
      </w:r>
      <w:r w:rsidRPr="003D30A1">
        <w:rPr>
          <w:rFonts w:ascii="Times New Roman" w:hAnsi="Times New Roman" w:cs="Times New Roman"/>
          <w:b/>
          <w:bCs/>
          <w:color w:val="000000" w:themeColor="text1"/>
          <w:lang w:val="en-GB"/>
        </w:rPr>
        <w:t xml:space="preserve">For learners: </w:t>
      </w:r>
      <w:r w:rsidRPr="003D30A1">
        <w:rPr>
          <w:rFonts w:ascii="Times New Roman" w:hAnsi="Times New Roman" w:cs="Times New Roman"/>
          <w:color w:val="000000" w:themeColor="text1"/>
          <w:lang w:val="en-GB"/>
        </w:rPr>
        <w:t xml:space="preserve">A safe, risk-free sandbox with instant feedback, mastery-paced repetition, and bilingual support eliminating fear of chemical burns, glassware breakage, reagent rationing, and practical-exam anxiety. </w:t>
      </w:r>
      <w:r w:rsidRPr="003D30A1">
        <w:rPr>
          <w:rFonts w:ascii="Times New Roman" w:hAnsi="Times New Roman" w:cs="Times New Roman"/>
          <w:b/>
          <w:bCs/>
          <w:color w:val="000000" w:themeColor="text1"/>
          <w:lang w:val="en-GB"/>
        </w:rPr>
        <w:t xml:space="preserve">For educators: </w:t>
      </w:r>
      <w:r w:rsidRPr="003D30A1">
        <w:rPr>
          <w:rFonts w:ascii="Times New Roman" w:hAnsi="Times New Roman" w:cs="Times New Roman"/>
          <w:color w:val="000000" w:themeColor="text1"/>
          <w:lang w:val="en-GB"/>
        </w:rPr>
        <w:t xml:space="preserve">Continuous formative-assessment analytics, targeted remediation guidance, and zero setup overhead freeing class time otherwise spent on basic procedural instruction and enabling detection of class-wide misconceptions before high-stakes exams. </w:t>
      </w:r>
      <w:r w:rsidRPr="003D30A1">
        <w:rPr>
          <w:rFonts w:ascii="Times New Roman" w:hAnsi="Times New Roman" w:cs="Times New Roman"/>
          <w:b/>
          <w:bCs/>
          <w:color w:val="000000" w:themeColor="text1"/>
          <w:lang w:val="en-GB"/>
        </w:rPr>
        <w:t xml:space="preserve">For institutions: </w:t>
      </w:r>
      <w:r w:rsidRPr="003D30A1">
        <w:rPr>
          <w:rFonts w:ascii="Times New Roman" w:hAnsi="Times New Roman" w:cs="Times New Roman"/>
          <w:color w:val="000000" w:themeColor="text1"/>
          <w:lang w:val="en-GB"/>
        </w:rPr>
        <w:t xml:space="preserve">Zero chemical waste, zero hazardous vapour emissions, low-cost scalability, resilience to power/connectivity outages, and direct alignment with the KICD CBC curriculum. </w:t>
      </w:r>
      <w:r w:rsidRPr="003D30A1">
        <w:rPr>
          <w:rFonts w:ascii="Times New Roman" w:hAnsi="Times New Roman" w:cs="Times New Roman"/>
          <w:b/>
          <w:bCs/>
          <w:color w:val="000000" w:themeColor="text1"/>
          <w:lang w:val="en-GB"/>
        </w:rPr>
        <w:lastRenderedPageBreak/>
        <w:t xml:space="preserve">Curriculum relevance: </w:t>
      </w:r>
      <w:r w:rsidRPr="003D30A1">
        <w:rPr>
          <w:rFonts w:ascii="Times New Roman" w:hAnsi="Times New Roman" w:cs="Times New Roman"/>
          <w:color w:val="000000" w:themeColor="text1"/>
          <w:lang w:val="en-GB"/>
        </w:rPr>
        <w:t xml:space="preserve">The platform is built directly from the KICD Chemistry Syllabus, KNEC mark schemes, and 27 years of KCSE Paper 3 past papers (1989–2016). </w:t>
      </w:r>
      <w:r w:rsidRPr="003D30A1">
        <w:rPr>
          <w:rFonts w:ascii="Times New Roman" w:hAnsi="Times New Roman" w:cs="Times New Roman"/>
          <w:b/>
          <w:bCs/>
          <w:color w:val="000000" w:themeColor="text1"/>
          <w:lang w:val="en-GB"/>
        </w:rPr>
        <w:t xml:space="preserve">Policy alignment: </w:t>
      </w:r>
      <w:r w:rsidRPr="003D30A1">
        <w:rPr>
          <w:rFonts w:ascii="Times New Roman" w:hAnsi="Times New Roman" w:cs="Times New Roman"/>
          <w:color w:val="000000" w:themeColor="text1"/>
          <w:lang w:val="en-GB"/>
        </w:rPr>
        <w:t>The intervention aligns with CEMASTEA’s advocacy for virtual laboratories and the government’s digital learning agenda under the Kenya Digital Economy Blueprint, and the Competency</w:t>
      </w:r>
      <w:r w:rsidR="00623D2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Based Curriculum (CBC) STEM pathway for Senior Secondary School (Grades 10–12) by cultivating core competencies in critical thinking, problem-solving, digital literacy, and self-efficacy.</w:t>
      </w:r>
    </w:p>
    <w:p w14:paraId="65EDDE71"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1.11 Scope of the Capstone Project</w:t>
      </w:r>
    </w:p>
    <w:p w14:paraId="717B7DB9" w14:textId="635F328B"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VirtuLab Kenya focuses on Form 3 and Form 4 KCSE Chemistry Paper 3 practicals. The current scope includes seven laboratory modules volumetric analysis (four titration types), qualitative inorganic analysis, reaction kinetics, chemical energetics, solubility curves, qualitative organic chemistry, and a composite timed mock practical. The evaluation pilot targets a stratified sample of approximately 10 secondary schools (≈600 students and ≈20 chemistry teachers) spanning National/Extra</w:t>
      </w:r>
      <w:r w:rsidR="00623D2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County, County, and Sub-County school categories.</w:t>
      </w:r>
    </w:p>
    <w:p w14:paraId="299318E5"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1.12 Delimitations</w:t>
      </w:r>
    </w:p>
    <w:p w14:paraId="0B2ED83F"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The capstone is geographically delimited to Kenyan secondary schools and strictly bounded to the chemistry curriculum, excluding physics and biology practicals for the time being.</w:t>
      </w:r>
    </w:p>
    <w:p w14:paraId="1F2A8E34"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1.13 Limitations</w:t>
      </w:r>
    </w:p>
    <w:p w14:paraId="3E9E25E6"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As a quasi-experimental design with non-randomised, purposively sampled schools, causal inference is stronger than a purely observational study but remains weaker than a fully randomised controlled trial. VirtuLab Kenya is designed to supplement, rather than entirely replace, physical laboratory work. Findings from the pilot strata may not generalise to every school category or county beyond those sampled. Future expansions into other science subjects are outside this capstone’s scope.</w:t>
      </w:r>
    </w:p>
    <w:p w14:paraId="5420CD8F"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1.14 Assumptions</w:t>
      </w:r>
    </w:p>
    <w:p w14:paraId="097ABB19" w14:textId="5C84192B"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The project assumes that targeted pilot schools will have minimum baseline access to digital devices (smartphones, tablets, or computers), that connectivity even if intermittent will be sufficient for periodic telemetry sync, and that teachers will be willing to integrate digital platforms into their pedagogical routines.</w:t>
      </w:r>
    </w:p>
    <w:p w14:paraId="446860E2"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1.15 Definition of Key Terms</w:t>
      </w:r>
    </w:p>
    <w:p w14:paraId="73599DC8" w14:textId="6AC246B0"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 xml:space="preserve">VirtuLab Kenya: </w:t>
      </w:r>
      <w:r w:rsidRPr="003D30A1">
        <w:rPr>
          <w:rFonts w:ascii="Times New Roman" w:hAnsi="Times New Roman" w:cs="Times New Roman"/>
          <w:color w:val="000000" w:themeColor="text1"/>
          <w:lang w:val="en-GB"/>
        </w:rPr>
        <w:t>A web-based, bilingual, offline</w:t>
      </w:r>
      <w:r w:rsidR="00623D2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 xml:space="preserve">first virtual chemistry laboratory platform. </w:t>
      </w:r>
      <w:r w:rsidRPr="003D30A1">
        <w:rPr>
          <w:rFonts w:ascii="Times New Roman" w:hAnsi="Times New Roman" w:cs="Times New Roman"/>
          <w:b/>
          <w:bCs/>
          <w:color w:val="000000" w:themeColor="text1"/>
          <w:lang w:val="en-GB"/>
        </w:rPr>
        <w:t xml:space="preserve">KCSE: </w:t>
      </w:r>
      <w:r w:rsidRPr="003D30A1">
        <w:rPr>
          <w:rFonts w:ascii="Times New Roman" w:hAnsi="Times New Roman" w:cs="Times New Roman"/>
          <w:color w:val="000000" w:themeColor="text1"/>
          <w:lang w:val="en-GB"/>
        </w:rPr>
        <w:t xml:space="preserve">Kenya Certificate of Secondary Education. </w:t>
      </w:r>
      <w:r w:rsidRPr="003D30A1">
        <w:rPr>
          <w:rFonts w:ascii="Times New Roman" w:hAnsi="Times New Roman" w:cs="Times New Roman"/>
          <w:b/>
          <w:bCs/>
          <w:color w:val="000000" w:themeColor="text1"/>
          <w:lang w:val="en-GB"/>
        </w:rPr>
        <w:t xml:space="preserve">KICD: </w:t>
      </w:r>
      <w:r w:rsidRPr="003D30A1">
        <w:rPr>
          <w:rFonts w:ascii="Times New Roman" w:hAnsi="Times New Roman" w:cs="Times New Roman"/>
          <w:color w:val="000000" w:themeColor="text1"/>
          <w:lang w:val="en-GB"/>
        </w:rPr>
        <w:t xml:space="preserve">Kenya Institute of Curriculum Development. </w:t>
      </w:r>
      <w:r w:rsidRPr="003D30A1">
        <w:rPr>
          <w:rFonts w:ascii="Times New Roman" w:hAnsi="Times New Roman" w:cs="Times New Roman"/>
          <w:b/>
          <w:bCs/>
          <w:color w:val="000000" w:themeColor="text1"/>
          <w:lang w:val="en-GB"/>
        </w:rPr>
        <w:t xml:space="preserve">KNEC: </w:t>
      </w:r>
      <w:r w:rsidRPr="003D30A1">
        <w:rPr>
          <w:rFonts w:ascii="Times New Roman" w:hAnsi="Times New Roman" w:cs="Times New Roman"/>
          <w:color w:val="000000" w:themeColor="text1"/>
          <w:lang w:val="en-GB"/>
        </w:rPr>
        <w:t xml:space="preserve">Kenya National Examinations Council. </w:t>
      </w:r>
      <w:r w:rsidRPr="003D30A1">
        <w:rPr>
          <w:rFonts w:ascii="Times New Roman" w:hAnsi="Times New Roman" w:cs="Times New Roman"/>
          <w:b/>
          <w:bCs/>
          <w:color w:val="000000" w:themeColor="text1"/>
          <w:lang w:val="en-GB"/>
        </w:rPr>
        <w:t xml:space="preserve">CEMASTEA: </w:t>
      </w:r>
      <w:r w:rsidRPr="003D30A1">
        <w:rPr>
          <w:rFonts w:ascii="Times New Roman" w:hAnsi="Times New Roman" w:cs="Times New Roman"/>
          <w:color w:val="000000" w:themeColor="text1"/>
          <w:lang w:val="en-GB"/>
        </w:rPr>
        <w:t xml:space="preserve">Centre for Mathematics, Science and Technology Education in Africa. </w:t>
      </w:r>
      <w:r w:rsidRPr="003D30A1">
        <w:rPr>
          <w:rFonts w:ascii="Times New Roman" w:hAnsi="Times New Roman" w:cs="Times New Roman"/>
          <w:b/>
          <w:bCs/>
          <w:color w:val="000000" w:themeColor="text1"/>
          <w:lang w:val="en-GB"/>
        </w:rPr>
        <w:t xml:space="preserve">CPCAT: </w:t>
      </w:r>
      <w:r w:rsidRPr="003D30A1">
        <w:rPr>
          <w:rFonts w:ascii="Times New Roman" w:hAnsi="Times New Roman" w:cs="Times New Roman"/>
          <w:color w:val="000000" w:themeColor="text1"/>
          <w:lang w:val="en-GB"/>
        </w:rPr>
        <w:t xml:space="preserve">Chemistry Practical Competency Achievement Test the study’s standardised pre-/post-test instrument. </w:t>
      </w:r>
      <w:r w:rsidRPr="003D30A1">
        <w:rPr>
          <w:rFonts w:ascii="Times New Roman" w:hAnsi="Times New Roman" w:cs="Times New Roman"/>
          <w:b/>
          <w:bCs/>
          <w:color w:val="000000" w:themeColor="text1"/>
          <w:lang w:val="en-GB"/>
        </w:rPr>
        <w:t xml:space="preserve">SUS: </w:t>
      </w:r>
      <w:r w:rsidRPr="003D30A1">
        <w:rPr>
          <w:rFonts w:ascii="Times New Roman" w:hAnsi="Times New Roman" w:cs="Times New Roman"/>
          <w:color w:val="000000" w:themeColor="text1"/>
          <w:lang w:val="en-GB"/>
        </w:rPr>
        <w:t xml:space="preserve">System Usability Scale, a validated 10-item usability benchmarking instrument (Brooke, 1996). </w:t>
      </w:r>
      <w:r w:rsidRPr="003D30A1">
        <w:rPr>
          <w:rFonts w:ascii="Times New Roman" w:hAnsi="Times New Roman" w:cs="Times New Roman"/>
          <w:b/>
          <w:bCs/>
          <w:color w:val="000000" w:themeColor="text1"/>
          <w:lang w:val="en-GB"/>
        </w:rPr>
        <w:t xml:space="preserve">TAM: </w:t>
      </w:r>
      <w:r w:rsidRPr="003D30A1">
        <w:rPr>
          <w:rFonts w:ascii="Times New Roman" w:hAnsi="Times New Roman" w:cs="Times New Roman"/>
          <w:color w:val="000000" w:themeColor="text1"/>
          <w:lang w:val="en-GB"/>
        </w:rPr>
        <w:t xml:space="preserve">Technology Acceptance Model, measuring Perceived Usefulness (PU), Perceived Ease of Use (PEOU), Facilitating Conditions (FC), and Behavioural Intention (BI). </w:t>
      </w:r>
      <w:r w:rsidRPr="003D30A1">
        <w:rPr>
          <w:rFonts w:ascii="Times New Roman" w:hAnsi="Times New Roman" w:cs="Times New Roman"/>
          <w:b/>
          <w:bCs/>
          <w:color w:val="000000" w:themeColor="text1"/>
          <w:lang w:val="en-GB"/>
        </w:rPr>
        <w:t xml:space="preserve">Normalised learning gain (g): </w:t>
      </w:r>
      <w:r w:rsidRPr="003D30A1">
        <w:rPr>
          <w:rFonts w:ascii="Times New Roman" w:hAnsi="Times New Roman" w:cs="Times New Roman"/>
          <w:color w:val="000000" w:themeColor="text1"/>
          <w:lang w:val="en-GB"/>
        </w:rPr>
        <w:t xml:space="preserve">Hake’s measure of learning improvement relative to the maximum possible gain from </w:t>
      </w:r>
      <w:r w:rsidRPr="003D30A1">
        <w:rPr>
          <w:rFonts w:ascii="Times New Roman" w:hAnsi="Times New Roman" w:cs="Times New Roman"/>
          <w:color w:val="000000" w:themeColor="text1"/>
          <w:lang w:val="en-GB"/>
        </w:rPr>
        <w:lastRenderedPageBreak/>
        <w:t xml:space="preserve">pre-test to post-test. </w:t>
      </w:r>
      <w:r w:rsidRPr="003D30A1">
        <w:rPr>
          <w:rFonts w:ascii="Times New Roman" w:hAnsi="Times New Roman" w:cs="Times New Roman"/>
          <w:b/>
          <w:bCs/>
          <w:color w:val="000000" w:themeColor="text1"/>
          <w:lang w:val="en-GB"/>
        </w:rPr>
        <w:t xml:space="preserve">NACOSTI: </w:t>
      </w:r>
      <w:r w:rsidRPr="003D30A1">
        <w:rPr>
          <w:rFonts w:ascii="Times New Roman" w:hAnsi="Times New Roman" w:cs="Times New Roman"/>
          <w:color w:val="000000" w:themeColor="text1"/>
          <w:lang w:val="en-GB"/>
        </w:rPr>
        <w:t>National Commission for Science, Technology and Innovation Kenya’s national research permitting body.</w:t>
      </w:r>
    </w:p>
    <w:p w14:paraId="50070022"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1.16 Chapter Summary</w:t>
      </w:r>
    </w:p>
    <w:p w14:paraId="379D0992"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This chapter established the severe lack of physical chemistry laboratories in Kenyan schools, situated the problem within national curriculum and policy context, and introduced VirtuLab Kenya as a tailored, curriculum-aligned digital solution to bridge this educational gap.</w:t>
      </w:r>
    </w:p>
    <w:p w14:paraId="1E84EB20" w14:textId="77777777" w:rsidR="00031E74" w:rsidRPr="003D30A1" w:rsidRDefault="00000000">
      <w:pPr>
        <w:pStyle w:val="Heading1"/>
        <w:pageBreakBefore/>
        <w:spacing w:before="480" w:after="24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lastRenderedPageBreak/>
        <w:t>CHAPTER TWO: RESEARCH AND ANALYSIS</w:t>
      </w:r>
    </w:p>
    <w:p w14:paraId="6C3CF03B"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This chapter reviews the empirical literature and existing virtual laboratory platforms, presents the theoretical and conceptual framework that emerges from this evidence, and outlines the methodology for developing and evaluating VirtuLab Kenya.</w:t>
      </w:r>
    </w:p>
    <w:p w14:paraId="78D8FDD1"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2.1 Conceptualisation of the Problem</w:t>
      </w:r>
    </w:p>
    <w:p w14:paraId="378E3AD4"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The challenge of poor performance in KCSE Paper 3 is deeply rooted in the lack of experiential learning opportunities for students in resource-poor environments, necessitating a digital intervention.</w:t>
      </w:r>
    </w:p>
    <w:p w14:paraId="6673B340"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2.2 Review of Related Literature</w:t>
      </w:r>
    </w:p>
    <w:p w14:paraId="7FB08F17"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t>2.2.1 Educational Inequity in Science Access</w:t>
      </w:r>
    </w:p>
    <w:p w14:paraId="336E5453"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Literature demonstrates structural inequalities in STEM education, highlighting rural and low-income disadvantages. Gitira (2025) found that inadequate science-laboratory infrastructure in sub-county schools in Kakamega County, Kenya, significantly depresses KCSE performance, while Ochieng’ (2023) similarly links irregular laboratory practicals and the absence of trained technicians in Kisumu County schools to candidates’ unfamiliarity with basic apparatus handling and consequent lost marks in Chemistry Paper 3.</w:t>
      </w:r>
    </w:p>
    <w:p w14:paraId="2AA5CE71"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t>2.2.2 Role of Virtual Laboratories</w:t>
      </w:r>
    </w:p>
    <w:p w14:paraId="35ED9A2C" w14:textId="46CC3B4F"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Studies indicate that platforms such as PhET and Labster yield measurable learning gains in science practicals, and recent evidence from resource</w:t>
      </w:r>
      <w:r w:rsidR="00623D2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constrained African contexts reinforces this pattern. Nizeyimana and Musengimana (2026) demonstrate that virtual chemistry laboratory simulations produced significantly higher post-test scores than conventional instruction among Rwandan secondary school learners (Cohen’s d = 1.19), while Hake’s (1998) normalised-gain formulation continues to provide the standard metric for quantifying such learning gains relative to traditional lecture-based instruction.</w:t>
      </w:r>
    </w:p>
    <w:p w14:paraId="77404AA5"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t>2.2.3 Contextualised Technology Integration</w:t>
      </w:r>
    </w:p>
    <w:p w14:paraId="787C92C6"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Effective digital tools in Sub-Saharan Africa must account for language, curriculum alignment, and bandwidth constraints. Commercial platforms such as Labster and PhET present barriers in this context: high recurring subscription costs, heavy 3D WebGL rendering engines that strain entry-level Android devices, dependence on constant high-speed connectivity, and marking-scheme conventions that do not mirror KCSE Paper 3’s specific table formats and concordance penalties.</w:t>
      </w:r>
    </w:p>
    <w:p w14:paraId="5E17B96D"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t>2.2.4 Constructivist Approaches in Digital Pedagogy</w:t>
      </w:r>
    </w:p>
    <w:p w14:paraId="4F318268" w14:textId="19DEF4AC"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Digital scaffolding, such as guided practice modes, heavily influences student mastery of complex scientific procedures. Bybee’s (2009) 5E Instructional Model Engage, Explore, Explain, Elaborate, Evaluate offers an established sequence for structuring inquiry</w:t>
      </w:r>
      <w:r w:rsidR="00623D2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based digital science instruction that directly informs VirtuLab Kenya’s guided</w:t>
      </w:r>
      <w:r w:rsidR="00623D2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to</w:t>
      </w:r>
      <w:r w:rsidR="00623D2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independent practice progression.</w:t>
      </w:r>
    </w:p>
    <w:p w14:paraId="3964BAA1" w14:textId="77777777" w:rsidR="005B1E2F" w:rsidRPr="003D30A1" w:rsidRDefault="005B1E2F">
      <w:pPr>
        <w:pStyle w:val="Heading2"/>
        <w:spacing w:before="320" w:after="160"/>
        <w:rPr>
          <w:rFonts w:ascii="Times New Roman" w:hAnsi="Times New Roman" w:cs="Times New Roman"/>
          <w:b/>
          <w:bCs/>
          <w:color w:val="000000" w:themeColor="text1"/>
          <w:lang w:val="en-GB"/>
        </w:rPr>
      </w:pPr>
    </w:p>
    <w:p w14:paraId="68588D13"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lastRenderedPageBreak/>
        <w:t>2.3 Theoretical / Conceptual Framework</w:t>
      </w:r>
    </w:p>
    <w:p w14:paraId="282902E5"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Having reviewed the empirical evidence on educational inequity and virtual laboratory effectiveness, this section presents the theoretical and conceptual foundations that inform the design of VirtuLab Kenya.</w:t>
      </w:r>
    </w:p>
    <w:p w14:paraId="4860E1BC"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t>2.3.1 Constructivism and Inquiry-Based Science Education (IBSE)</w:t>
      </w:r>
    </w:p>
    <w:p w14:paraId="47C0BB45" w14:textId="7E0AD34D"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Rooted in Piaget’s (1973) constructivism and Bybee’s (2009) 5E Instructional Model, VirtuLab Kenya allows learners to manipulate variables burette flow rate, concentration, indicator choice, temperature observe authentic physical responses (colour transitions, gas evolution, precipitates), and construct conceptual schemas from empirical data. Vygotsky’s Zone of Proximal Development (ZPD) is operationalised through a dual-mode design: Guided Mode provides scaffolding for beginners, while Exam Mode removes it for advanced students under authentic, timed conditions.</w:t>
      </w:r>
    </w:p>
    <w:p w14:paraId="47DD14F7"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t>2.3.2 Cognitive Theory of Multimedia Learning (CTML) and Cognitive Load Theory (CLT)</w:t>
      </w:r>
    </w:p>
    <w:p w14:paraId="077A2BD7" w14:textId="1D4C0750"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 xml:space="preserve">Mayer’s (2009) multimedia-learning principles and Sweller’s (1988) cognitive load theory directly inform the platform’s interface design. </w:t>
      </w:r>
      <w:r w:rsidRPr="003D30A1">
        <w:rPr>
          <w:rFonts w:ascii="Times New Roman" w:hAnsi="Times New Roman" w:cs="Times New Roman"/>
          <w:b/>
          <w:bCs/>
          <w:color w:val="000000" w:themeColor="text1"/>
          <w:lang w:val="en-GB"/>
        </w:rPr>
        <w:t xml:space="preserve">Spatial Contiguity Principle: </w:t>
      </w:r>
      <w:r w:rsidRPr="003D30A1">
        <w:rPr>
          <w:rFonts w:ascii="Times New Roman" w:hAnsi="Times New Roman" w:cs="Times New Roman"/>
          <w:color w:val="000000" w:themeColor="text1"/>
          <w:lang w:val="en-GB"/>
        </w:rPr>
        <w:t xml:space="preserve">Apparatus, readouts, and guidance notes are co-located to minimise the split-attention effect. </w:t>
      </w:r>
      <w:r w:rsidRPr="003D30A1">
        <w:rPr>
          <w:rFonts w:ascii="Times New Roman" w:hAnsi="Times New Roman" w:cs="Times New Roman"/>
          <w:b/>
          <w:bCs/>
          <w:color w:val="000000" w:themeColor="text1"/>
          <w:lang w:val="en-GB"/>
        </w:rPr>
        <w:t xml:space="preserve">Signalling Principle: </w:t>
      </w:r>
      <w:r w:rsidRPr="003D30A1">
        <w:rPr>
          <w:rFonts w:ascii="Times New Roman" w:hAnsi="Times New Roman" w:cs="Times New Roman"/>
          <w:color w:val="000000" w:themeColor="text1"/>
          <w:lang w:val="en-GB"/>
        </w:rPr>
        <w:t xml:space="preserve">Key data points meniscus alignment, end-point flashing are subtly highlighted to guide working memory. </w:t>
      </w:r>
      <w:r w:rsidRPr="003D30A1">
        <w:rPr>
          <w:rFonts w:ascii="Times New Roman" w:hAnsi="Times New Roman" w:cs="Times New Roman"/>
          <w:b/>
          <w:bCs/>
          <w:color w:val="000000" w:themeColor="text1"/>
          <w:lang w:val="en-GB"/>
        </w:rPr>
        <w:t xml:space="preserve">Scaffolding Modality: </w:t>
      </w:r>
      <w:r w:rsidRPr="003D30A1">
        <w:rPr>
          <w:rFonts w:ascii="Times New Roman" w:hAnsi="Times New Roman" w:cs="Times New Roman"/>
          <w:color w:val="000000" w:themeColor="text1"/>
          <w:lang w:val="en-GB"/>
        </w:rPr>
        <w:t>The dual-mode design lets novice learners begin in Guided Mode, with prompts and step validation, before transitioning to unscaffolded, timed Exam Mode.</w:t>
      </w:r>
    </w:p>
    <w:p w14:paraId="74F07DFE"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t>2.3.3 Technology Acceptance Model (TAM 3)</w:t>
      </w:r>
    </w:p>
    <w:p w14:paraId="491E5D87" w14:textId="34ADE85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Proposed by Davis (1989) and extended by Venkatesh and Bala (2008) into TAM 3, this model measures how Perceived Usefulness (PU) and Perceived Ease of Use (PEOU) influence teachers’ and students’ Behavioural Intention (BI) and actual usage of a technology</w:t>
      </w:r>
      <w:r w:rsidR="00623D2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providing the framework for evaluating adoption in this study.</w:t>
      </w:r>
    </w:p>
    <w:p w14:paraId="2CF6DF62"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t>2.3.4 Conceptual Framework</w:t>
      </w:r>
    </w:p>
    <w:p w14:paraId="15E47631"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The conceptual framework links the platform’s intervention features (independent variables) to learning and adoption outcomes (dependent variables) through mediating TAM constructs, with school- and learner-level factors acting as moderators.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031E74" w:rsidRPr="003D30A1" w14:paraId="0AF63597" w14:textId="77777777">
        <w:trPr>
          <w:tblHeader/>
        </w:trPr>
        <w:tc>
          <w:tcPr>
            <w:tcW w:w="3200" w:type="dxa"/>
            <w:shd w:val="clear" w:color="auto" w:fill="1F3864"/>
            <w:tcMar>
              <w:top w:w="100" w:type="dxa"/>
              <w:left w:w="120" w:type="dxa"/>
              <w:bottom w:w="100" w:type="dxa"/>
              <w:right w:w="120" w:type="dxa"/>
            </w:tcMar>
            <w:vAlign w:val="center"/>
          </w:tcPr>
          <w:p w14:paraId="7896E321"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Variable Category</w:t>
            </w:r>
          </w:p>
        </w:tc>
        <w:tc>
          <w:tcPr>
            <w:tcW w:w="6300" w:type="dxa"/>
            <w:shd w:val="clear" w:color="auto" w:fill="1F3864"/>
            <w:tcMar>
              <w:top w:w="100" w:type="dxa"/>
              <w:left w:w="120" w:type="dxa"/>
              <w:bottom w:w="100" w:type="dxa"/>
              <w:right w:w="120" w:type="dxa"/>
            </w:tcMar>
            <w:vAlign w:val="center"/>
          </w:tcPr>
          <w:p w14:paraId="4F946512"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Constructs / Indicators</w:t>
            </w:r>
          </w:p>
        </w:tc>
      </w:tr>
      <w:tr w:rsidR="00031E74" w:rsidRPr="003D30A1" w14:paraId="38E2A168" w14:textId="77777777">
        <w:tc>
          <w:tcPr>
            <w:tcW w:w="3200" w:type="dxa"/>
            <w:shd w:val="clear" w:color="auto" w:fill="F2F2F2"/>
            <w:tcMar>
              <w:top w:w="90" w:type="dxa"/>
              <w:left w:w="120" w:type="dxa"/>
              <w:bottom w:w="90" w:type="dxa"/>
              <w:right w:w="120" w:type="dxa"/>
            </w:tcMar>
            <w:vAlign w:val="center"/>
          </w:tcPr>
          <w:p w14:paraId="2272915D"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Independent Variables (Intervention)</w:t>
            </w:r>
          </w:p>
        </w:tc>
        <w:tc>
          <w:tcPr>
            <w:tcW w:w="6300" w:type="dxa"/>
            <w:shd w:val="clear" w:color="auto" w:fill="F2F2F2"/>
            <w:tcMar>
              <w:top w:w="90" w:type="dxa"/>
              <w:left w:w="120" w:type="dxa"/>
              <w:bottom w:w="90" w:type="dxa"/>
              <w:right w:w="120" w:type="dxa"/>
            </w:tcMar>
            <w:vAlign w:val="center"/>
          </w:tcPr>
          <w:p w14:paraId="203F5668"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VirtuLab interactive simulations · Offline PWA &amp; mobile accessibility · Bilingual UI (English/Kiswahili) · Real-time feedback &amp; scaffolding</w:t>
            </w:r>
          </w:p>
        </w:tc>
      </w:tr>
      <w:tr w:rsidR="00031E74" w:rsidRPr="003D30A1" w14:paraId="7EB4C6A7" w14:textId="77777777">
        <w:tc>
          <w:tcPr>
            <w:tcW w:w="3200" w:type="dxa"/>
            <w:tcMar>
              <w:top w:w="90" w:type="dxa"/>
              <w:left w:w="120" w:type="dxa"/>
              <w:bottom w:w="90" w:type="dxa"/>
              <w:right w:w="120" w:type="dxa"/>
            </w:tcMar>
            <w:vAlign w:val="center"/>
          </w:tcPr>
          <w:p w14:paraId="6956F383"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Moderating Variables</w:t>
            </w:r>
          </w:p>
        </w:tc>
        <w:tc>
          <w:tcPr>
            <w:tcW w:w="6300" w:type="dxa"/>
            <w:tcMar>
              <w:top w:w="90" w:type="dxa"/>
              <w:left w:w="120" w:type="dxa"/>
              <w:bottom w:w="90" w:type="dxa"/>
              <w:right w:w="120" w:type="dxa"/>
            </w:tcMar>
            <w:vAlign w:val="center"/>
          </w:tcPr>
          <w:p w14:paraId="47C8D589"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School category (National / County / Sub-County) · Prior device familiarity · Teacher ICT-integration support</w:t>
            </w:r>
          </w:p>
        </w:tc>
      </w:tr>
      <w:tr w:rsidR="00031E74" w:rsidRPr="003D30A1" w14:paraId="706BD3AB" w14:textId="77777777">
        <w:tc>
          <w:tcPr>
            <w:tcW w:w="3200" w:type="dxa"/>
            <w:shd w:val="clear" w:color="auto" w:fill="F2F2F2"/>
            <w:tcMar>
              <w:top w:w="90" w:type="dxa"/>
              <w:left w:w="120" w:type="dxa"/>
              <w:bottom w:w="90" w:type="dxa"/>
              <w:right w:w="120" w:type="dxa"/>
            </w:tcMar>
            <w:vAlign w:val="center"/>
          </w:tcPr>
          <w:p w14:paraId="7835E55B"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Mediating Variables (TAM constructs)</w:t>
            </w:r>
          </w:p>
        </w:tc>
        <w:tc>
          <w:tcPr>
            <w:tcW w:w="6300" w:type="dxa"/>
            <w:shd w:val="clear" w:color="auto" w:fill="F2F2F2"/>
            <w:tcMar>
              <w:top w:w="90" w:type="dxa"/>
              <w:left w:w="120" w:type="dxa"/>
              <w:bottom w:w="90" w:type="dxa"/>
              <w:right w:w="120" w:type="dxa"/>
            </w:tcMar>
            <w:vAlign w:val="center"/>
          </w:tcPr>
          <w:p w14:paraId="46ACDB74"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Perceived Ease of Use (PEOU) · Perceived Usefulness (PU) · Cognitive engagement &amp; usability (SUS)</w:t>
            </w:r>
          </w:p>
        </w:tc>
      </w:tr>
      <w:tr w:rsidR="00031E74" w:rsidRPr="003D30A1" w14:paraId="4E5761D7" w14:textId="77777777">
        <w:tc>
          <w:tcPr>
            <w:tcW w:w="3200" w:type="dxa"/>
            <w:tcMar>
              <w:top w:w="90" w:type="dxa"/>
              <w:left w:w="120" w:type="dxa"/>
              <w:bottom w:w="90" w:type="dxa"/>
              <w:right w:w="120" w:type="dxa"/>
            </w:tcMar>
            <w:vAlign w:val="center"/>
          </w:tcPr>
          <w:p w14:paraId="73A441DA"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Dependent Variables (Outcomes)</w:t>
            </w:r>
          </w:p>
        </w:tc>
        <w:tc>
          <w:tcPr>
            <w:tcW w:w="6300" w:type="dxa"/>
            <w:tcMar>
              <w:top w:w="90" w:type="dxa"/>
              <w:left w:w="120" w:type="dxa"/>
              <w:bottom w:w="90" w:type="dxa"/>
              <w:right w:w="120" w:type="dxa"/>
            </w:tcMar>
            <w:vAlign w:val="center"/>
          </w:tcPr>
          <w:p w14:paraId="7F7F3669"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KCSE Paper 3 knowledge gains (normalised g) · Practical skill accuracy: concordance &amp; stoichiometry · Reduction in practical-science anxiety · Sustained platform adoption &amp; usage telemetry</w:t>
            </w:r>
          </w:p>
        </w:tc>
      </w:tr>
    </w:tbl>
    <w:p w14:paraId="09514D26" w14:textId="7B6117C6"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lastRenderedPageBreak/>
        <w:t>Independent variables the VirtuLab Kenya intervention features are expected to shape learners’ and teachers’ Perceived Ease of Use, Perceived Usefulness, and Cognitive Engagement (mediating TAM/SUS constructs), which in turn drive the dependent learning and adoption outcomes. School category, prior device familiarity, and teacher ICT-integration support are expected to moderate the strength of these relationships.</w:t>
      </w:r>
    </w:p>
    <w:p w14:paraId="0F096EB1"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2.4 Review of Existing Practices, Policies and Interventions</w:t>
      </w:r>
    </w:p>
    <w:p w14:paraId="77E84581"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Current national interventions include CEMASTEA’s 2023–2024 teacher training initiative, which advocated for virtual laboratories as “game changers.” Internationally, tools such as PhET Interactive Simulations and ChemCollective exist but do not serve the specific needs of the Kenyan context. The KICD Secondary Education Curriculum Designs for Chemistry Forms 1–4 remain the current national syllabus and provide the authoritative reference against which VirtuLab Kenya’s modules are mapped.</w:t>
      </w:r>
    </w:p>
    <w:p w14:paraId="24BF5176"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2.5 Benchmarking and Comparative Analysis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600"/>
        <w:gridCol w:w="1600"/>
        <w:gridCol w:w="1500"/>
      </w:tblGrid>
      <w:tr w:rsidR="00031E74" w:rsidRPr="003D30A1" w14:paraId="20FC656F" w14:textId="77777777">
        <w:trPr>
          <w:tblHeader/>
        </w:trPr>
        <w:tc>
          <w:tcPr>
            <w:tcW w:w="2400" w:type="dxa"/>
            <w:shd w:val="clear" w:color="auto" w:fill="1F3864"/>
            <w:tcMar>
              <w:top w:w="100" w:type="dxa"/>
              <w:left w:w="120" w:type="dxa"/>
              <w:bottom w:w="100" w:type="dxa"/>
              <w:right w:w="120" w:type="dxa"/>
            </w:tcMar>
            <w:vAlign w:val="center"/>
          </w:tcPr>
          <w:p w14:paraId="5AA4EF69"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Platform</w:t>
            </w:r>
          </w:p>
        </w:tc>
        <w:tc>
          <w:tcPr>
            <w:tcW w:w="2400" w:type="dxa"/>
            <w:shd w:val="clear" w:color="auto" w:fill="1F3864"/>
            <w:tcMar>
              <w:top w:w="100" w:type="dxa"/>
              <w:left w:w="120" w:type="dxa"/>
              <w:bottom w:w="100" w:type="dxa"/>
              <w:right w:w="120" w:type="dxa"/>
            </w:tcMar>
            <w:vAlign w:val="center"/>
          </w:tcPr>
          <w:p w14:paraId="04817D4B"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Kenyan Curriculum Alignment</w:t>
            </w:r>
          </w:p>
        </w:tc>
        <w:tc>
          <w:tcPr>
            <w:tcW w:w="1600" w:type="dxa"/>
            <w:shd w:val="clear" w:color="auto" w:fill="1F3864"/>
            <w:tcMar>
              <w:top w:w="100" w:type="dxa"/>
              <w:left w:w="120" w:type="dxa"/>
              <w:bottom w:w="100" w:type="dxa"/>
              <w:right w:w="120" w:type="dxa"/>
            </w:tcMar>
            <w:vAlign w:val="center"/>
          </w:tcPr>
          <w:p w14:paraId="76B05A2B"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Kiswahili Support</w:t>
            </w:r>
          </w:p>
        </w:tc>
        <w:tc>
          <w:tcPr>
            <w:tcW w:w="1600" w:type="dxa"/>
            <w:shd w:val="clear" w:color="auto" w:fill="1F3864"/>
            <w:tcMar>
              <w:top w:w="100" w:type="dxa"/>
              <w:left w:w="120" w:type="dxa"/>
              <w:bottom w:w="100" w:type="dxa"/>
              <w:right w:w="120" w:type="dxa"/>
            </w:tcMar>
            <w:vAlign w:val="center"/>
          </w:tcPr>
          <w:p w14:paraId="66801F1A"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Offline Capability</w:t>
            </w:r>
          </w:p>
        </w:tc>
        <w:tc>
          <w:tcPr>
            <w:tcW w:w="1500" w:type="dxa"/>
            <w:shd w:val="clear" w:color="auto" w:fill="1F3864"/>
            <w:tcMar>
              <w:top w:w="100" w:type="dxa"/>
              <w:left w:w="120" w:type="dxa"/>
              <w:bottom w:w="100" w:type="dxa"/>
              <w:right w:w="120" w:type="dxa"/>
            </w:tcMar>
            <w:vAlign w:val="center"/>
          </w:tcPr>
          <w:p w14:paraId="5C360F78"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Cost</w:t>
            </w:r>
          </w:p>
        </w:tc>
      </w:tr>
      <w:tr w:rsidR="00031E74" w:rsidRPr="003D30A1" w14:paraId="055F869B" w14:textId="77777777">
        <w:tc>
          <w:tcPr>
            <w:tcW w:w="2400" w:type="dxa"/>
            <w:shd w:val="clear" w:color="auto" w:fill="F2F2F2"/>
            <w:tcMar>
              <w:top w:w="90" w:type="dxa"/>
              <w:left w:w="120" w:type="dxa"/>
              <w:bottom w:w="90" w:type="dxa"/>
              <w:right w:w="120" w:type="dxa"/>
            </w:tcMar>
            <w:vAlign w:val="center"/>
          </w:tcPr>
          <w:p w14:paraId="0DCC09F3"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PhET Simulations</w:t>
            </w:r>
          </w:p>
        </w:tc>
        <w:tc>
          <w:tcPr>
            <w:tcW w:w="2400" w:type="dxa"/>
            <w:shd w:val="clear" w:color="auto" w:fill="F2F2F2"/>
            <w:tcMar>
              <w:top w:w="90" w:type="dxa"/>
              <w:left w:w="120" w:type="dxa"/>
              <w:bottom w:w="90" w:type="dxa"/>
              <w:right w:w="120" w:type="dxa"/>
            </w:tcMar>
            <w:vAlign w:val="center"/>
          </w:tcPr>
          <w:p w14:paraId="67A672B6"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No</w:t>
            </w:r>
          </w:p>
        </w:tc>
        <w:tc>
          <w:tcPr>
            <w:tcW w:w="1600" w:type="dxa"/>
            <w:shd w:val="clear" w:color="auto" w:fill="F2F2F2"/>
            <w:tcMar>
              <w:top w:w="90" w:type="dxa"/>
              <w:left w:w="120" w:type="dxa"/>
              <w:bottom w:w="90" w:type="dxa"/>
              <w:right w:w="120" w:type="dxa"/>
            </w:tcMar>
            <w:vAlign w:val="center"/>
          </w:tcPr>
          <w:p w14:paraId="778B9C3C"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No</w:t>
            </w:r>
          </w:p>
        </w:tc>
        <w:tc>
          <w:tcPr>
            <w:tcW w:w="1600" w:type="dxa"/>
            <w:shd w:val="clear" w:color="auto" w:fill="F2F2F2"/>
            <w:tcMar>
              <w:top w:w="90" w:type="dxa"/>
              <w:left w:w="120" w:type="dxa"/>
              <w:bottom w:w="90" w:type="dxa"/>
              <w:right w:w="120" w:type="dxa"/>
            </w:tcMar>
            <w:vAlign w:val="center"/>
          </w:tcPr>
          <w:p w14:paraId="41F5AE1F"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Partial</w:t>
            </w:r>
          </w:p>
        </w:tc>
        <w:tc>
          <w:tcPr>
            <w:tcW w:w="1500" w:type="dxa"/>
            <w:shd w:val="clear" w:color="auto" w:fill="F2F2F2"/>
            <w:tcMar>
              <w:top w:w="90" w:type="dxa"/>
              <w:left w:w="120" w:type="dxa"/>
              <w:bottom w:w="90" w:type="dxa"/>
              <w:right w:w="120" w:type="dxa"/>
            </w:tcMar>
            <w:vAlign w:val="center"/>
          </w:tcPr>
          <w:p w14:paraId="0925ACB6"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Free</w:t>
            </w:r>
          </w:p>
        </w:tc>
      </w:tr>
      <w:tr w:rsidR="00031E74" w:rsidRPr="003D30A1" w14:paraId="1D1526E5" w14:textId="77777777">
        <w:tc>
          <w:tcPr>
            <w:tcW w:w="2400" w:type="dxa"/>
            <w:tcMar>
              <w:top w:w="90" w:type="dxa"/>
              <w:left w:w="120" w:type="dxa"/>
              <w:bottom w:w="90" w:type="dxa"/>
              <w:right w:w="120" w:type="dxa"/>
            </w:tcMar>
            <w:vAlign w:val="center"/>
          </w:tcPr>
          <w:p w14:paraId="3CBB9C89"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Labster</w:t>
            </w:r>
          </w:p>
        </w:tc>
        <w:tc>
          <w:tcPr>
            <w:tcW w:w="2400" w:type="dxa"/>
            <w:tcMar>
              <w:top w:w="90" w:type="dxa"/>
              <w:left w:w="120" w:type="dxa"/>
              <w:bottom w:w="90" w:type="dxa"/>
              <w:right w:w="120" w:type="dxa"/>
            </w:tcMar>
            <w:vAlign w:val="center"/>
          </w:tcPr>
          <w:p w14:paraId="0470FE67"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No</w:t>
            </w:r>
          </w:p>
        </w:tc>
        <w:tc>
          <w:tcPr>
            <w:tcW w:w="1600" w:type="dxa"/>
            <w:tcMar>
              <w:top w:w="90" w:type="dxa"/>
              <w:left w:w="120" w:type="dxa"/>
              <w:bottom w:w="90" w:type="dxa"/>
              <w:right w:w="120" w:type="dxa"/>
            </w:tcMar>
            <w:vAlign w:val="center"/>
          </w:tcPr>
          <w:p w14:paraId="7DDC6598"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No</w:t>
            </w:r>
          </w:p>
        </w:tc>
        <w:tc>
          <w:tcPr>
            <w:tcW w:w="1600" w:type="dxa"/>
            <w:tcMar>
              <w:top w:w="90" w:type="dxa"/>
              <w:left w:w="120" w:type="dxa"/>
              <w:bottom w:w="90" w:type="dxa"/>
              <w:right w:w="120" w:type="dxa"/>
            </w:tcMar>
            <w:vAlign w:val="center"/>
          </w:tcPr>
          <w:p w14:paraId="0B32708F"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No</w:t>
            </w:r>
          </w:p>
        </w:tc>
        <w:tc>
          <w:tcPr>
            <w:tcW w:w="1500" w:type="dxa"/>
            <w:tcMar>
              <w:top w:w="90" w:type="dxa"/>
              <w:left w:w="120" w:type="dxa"/>
              <w:bottom w:w="90" w:type="dxa"/>
              <w:right w:w="120" w:type="dxa"/>
            </w:tcMar>
            <w:vAlign w:val="center"/>
          </w:tcPr>
          <w:p w14:paraId="2914C6A3"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Paid</w:t>
            </w:r>
          </w:p>
        </w:tc>
      </w:tr>
      <w:tr w:rsidR="00031E74" w:rsidRPr="003D30A1" w14:paraId="17FA793D" w14:textId="77777777">
        <w:tc>
          <w:tcPr>
            <w:tcW w:w="2400" w:type="dxa"/>
            <w:shd w:val="clear" w:color="auto" w:fill="F2F2F2"/>
            <w:tcMar>
              <w:top w:w="90" w:type="dxa"/>
              <w:left w:w="120" w:type="dxa"/>
              <w:bottom w:w="90" w:type="dxa"/>
              <w:right w:w="120" w:type="dxa"/>
            </w:tcMar>
            <w:vAlign w:val="center"/>
          </w:tcPr>
          <w:p w14:paraId="4F81E433"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ChemCollective</w:t>
            </w:r>
          </w:p>
        </w:tc>
        <w:tc>
          <w:tcPr>
            <w:tcW w:w="2400" w:type="dxa"/>
            <w:shd w:val="clear" w:color="auto" w:fill="F2F2F2"/>
            <w:tcMar>
              <w:top w:w="90" w:type="dxa"/>
              <w:left w:w="120" w:type="dxa"/>
              <w:bottom w:w="90" w:type="dxa"/>
              <w:right w:w="120" w:type="dxa"/>
            </w:tcMar>
            <w:vAlign w:val="center"/>
          </w:tcPr>
          <w:p w14:paraId="451C5D88"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No</w:t>
            </w:r>
          </w:p>
        </w:tc>
        <w:tc>
          <w:tcPr>
            <w:tcW w:w="1600" w:type="dxa"/>
            <w:shd w:val="clear" w:color="auto" w:fill="F2F2F2"/>
            <w:tcMar>
              <w:top w:w="90" w:type="dxa"/>
              <w:left w:w="120" w:type="dxa"/>
              <w:bottom w:w="90" w:type="dxa"/>
              <w:right w:w="120" w:type="dxa"/>
            </w:tcMar>
            <w:vAlign w:val="center"/>
          </w:tcPr>
          <w:p w14:paraId="6C3CFE8C"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No</w:t>
            </w:r>
          </w:p>
        </w:tc>
        <w:tc>
          <w:tcPr>
            <w:tcW w:w="1600" w:type="dxa"/>
            <w:shd w:val="clear" w:color="auto" w:fill="F2F2F2"/>
            <w:tcMar>
              <w:top w:w="90" w:type="dxa"/>
              <w:left w:w="120" w:type="dxa"/>
              <w:bottom w:w="90" w:type="dxa"/>
              <w:right w:w="120" w:type="dxa"/>
            </w:tcMar>
            <w:vAlign w:val="center"/>
          </w:tcPr>
          <w:p w14:paraId="7AFE4062"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No</w:t>
            </w:r>
          </w:p>
        </w:tc>
        <w:tc>
          <w:tcPr>
            <w:tcW w:w="1500" w:type="dxa"/>
            <w:shd w:val="clear" w:color="auto" w:fill="F2F2F2"/>
            <w:tcMar>
              <w:top w:w="90" w:type="dxa"/>
              <w:left w:w="120" w:type="dxa"/>
              <w:bottom w:w="90" w:type="dxa"/>
              <w:right w:w="120" w:type="dxa"/>
            </w:tcMar>
            <w:vAlign w:val="center"/>
          </w:tcPr>
          <w:p w14:paraId="06F8F5CD"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Free</w:t>
            </w:r>
          </w:p>
        </w:tc>
      </w:tr>
      <w:tr w:rsidR="00031E74" w:rsidRPr="003D30A1" w14:paraId="16A38583" w14:textId="77777777">
        <w:tc>
          <w:tcPr>
            <w:tcW w:w="2400" w:type="dxa"/>
            <w:tcMar>
              <w:top w:w="90" w:type="dxa"/>
              <w:left w:w="120" w:type="dxa"/>
              <w:bottom w:w="90" w:type="dxa"/>
              <w:right w:w="120" w:type="dxa"/>
            </w:tcMar>
            <w:vAlign w:val="center"/>
          </w:tcPr>
          <w:p w14:paraId="7F09E2BC"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VirtuLab Kenya</w:t>
            </w:r>
          </w:p>
        </w:tc>
        <w:tc>
          <w:tcPr>
            <w:tcW w:w="2400" w:type="dxa"/>
            <w:tcMar>
              <w:top w:w="90" w:type="dxa"/>
              <w:left w:w="120" w:type="dxa"/>
              <w:bottom w:w="90" w:type="dxa"/>
              <w:right w:w="120" w:type="dxa"/>
            </w:tcMar>
            <w:vAlign w:val="center"/>
          </w:tcPr>
          <w:p w14:paraId="394C54BC"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Yes — KICD &amp; KNEC aligned</w:t>
            </w:r>
          </w:p>
        </w:tc>
        <w:tc>
          <w:tcPr>
            <w:tcW w:w="1600" w:type="dxa"/>
            <w:tcMar>
              <w:top w:w="90" w:type="dxa"/>
              <w:left w:w="120" w:type="dxa"/>
              <w:bottom w:w="90" w:type="dxa"/>
              <w:right w:w="120" w:type="dxa"/>
            </w:tcMar>
            <w:vAlign w:val="center"/>
          </w:tcPr>
          <w:p w14:paraId="405B95AD"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Yes</w:t>
            </w:r>
          </w:p>
        </w:tc>
        <w:tc>
          <w:tcPr>
            <w:tcW w:w="1600" w:type="dxa"/>
            <w:tcMar>
              <w:top w:w="90" w:type="dxa"/>
              <w:left w:w="120" w:type="dxa"/>
              <w:bottom w:w="90" w:type="dxa"/>
              <w:right w:w="120" w:type="dxa"/>
            </w:tcMar>
            <w:vAlign w:val="center"/>
          </w:tcPr>
          <w:p w14:paraId="1489DE79"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Yes (PWA)</w:t>
            </w:r>
          </w:p>
        </w:tc>
        <w:tc>
          <w:tcPr>
            <w:tcW w:w="1500" w:type="dxa"/>
            <w:tcMar>
              <w:top w:w="90" w:type="dxa"/>
              <w:left w:w="120" w:type="dxa"/>
              <w:bottom w:w="90" w:type="dxa"/>
              <w:right w:w="120" w:type="dxa"/>
            </w:tcMar>
            <w:vAlign w:val="center"/>
          </w:tcPr>
          <w:p w14:paraId="08288C85"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Free / low-cost</w:t>
            </w:r>
          </w:p>
        </w:tc>
      </w:tr>
    </w:tbl>
    <w:p w14:paraId="1A45B91A"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2.6 Research / Project Methodology</w:t>
      </w:r>
    </w:p>
    <w:p w14:paraId="7FDACAFF"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t>2.6.1 Research Design</w:t>
      </w:r>
    </w:p>
    <w:p w14:paraId="07AA8D74" w14:textId="796FACEE"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Product development follows the Design and Development Research (DDR) methodology, through the Analysis, Design, Development, and Evaluation (ADDE) stages detailed in Chapter Three. For the pilot evaluation itself, the study adopts a Convergent Parallel Mixed-Methods Quasi</w:t>
      </w:r>
      <w:r w:rsidR="00623D2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Experimental Design, featuring a pre-test/post-test non-equivalent control group structure. The Experimental Group receives hybrid instruction utilising VirtuLab Kenya for pre-lab preparation, interactive simulation practice, and homework assignments, while the Control Group receives traditional classroom instruction standard textbooks and teacher chalk</w:t>
      </w:r>
      <w:r w:rsidR="00623D2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and</w:t>
      </w:r>
      <w:r w:rsidR="00623D27">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talk demonstration without access to interactive virtual simulation tools. Potential threats to internal validity (e.g., teacher effect and instructional variation) will be mitigated through standardized topic pacing guides, teacher orientation, and fidelity monitoring, while baseline achievement variations will be statistically controlled using ANCOVA.</w:t>
      </w:r>
    </w:p>
    <w:p w14:paraId="35015583" w14:textId="77777777" w:rsidR="003D30A1" w:rsidRPr="003D30A1" w:rsidRDefault="003D30A1">
      <w:pPr>
        <w:spacing w:after="200" w:line="276" w:lineRule="auto"/>
        <w:jc w:val="both"/>
        <w:rPr>
          <w:rFonts w:ascii="Times New Roman" w:hAnsi="Times New Roman" w:cs="Times New Roman"/>
          <w:color w:val="000000" w:themeColor="text1"/>
          <w:lang w:val="en-GB"/>
        </w:rPr>
      </w:pPr>
    </w:p>
    <w:p w14:paraId="0F3A492D" w14:textId="77777777" w:rsidR="003D30A1" w:rsidRPr="003D30A1" w:rsidRDefault="003D30A1">
      <w:pPr>
        <w:spacing w:after="200" w:line="276" w:lineRule="auto"/>
        <w:jc w:val="both"/>
        <w:rPr>
          <w:rFonts w:ascii="Times New Roman" w:hAnsi="Times New Roman" w:cs="Times New Roman"/>
          <w:color w:val="000000" w:themeColor="text1"/>
          <w:lang w:val="en-GB"/>
        </w:rPr>
      </w:pPr>
    </w:p>
    <w:p w14:paraId="4A15FADF" w14:textId="77777777" w:rsidR="003D30A1" w:rsidRPr="003D30A1" w:rsidRDefault="003D30A1">
      <w:pPr>
        <w:spacing w:after="200" w:line="276" w:lineRule="auto"/>
        <w:jc w:val="both"/>
        <w:rPr>
          <w:rFonts w:ascii="Times New Roman" w:hAnsi="Times New Roman" w:cs="Times New Roman"/>
          <w:color w:val="000000" w:themeColor="text1"/>
          <w:lang w:val="en-GB"/>
        </w:rPr>
      </w:pPr>
    </w:p>
    <w:p w14:paraId="48460757" w14:textId="77777777" w:rsidR="003D30A1" w:rsidRPr="003D30A1" w:rsidRDefault="003D30A1">
      <w:pPr>
        <w:spacing w:after="200" w:line="276" w:lineRule="auto"/>
        <w:jc w:val="both"/>
        <w:rPr>
          <w:rFonts w:ascii="Times New Roman" w:hAnsi="Times New Roman" w:cs="Times New Roman"/>
          <w:color w:val="000000" w:themeColor="text1"/>
          <w:lang w:val="en-GB"/>
        </w:rPr>
      </w:pPr>
    </w:p>
    <w:p w14:paraId="419475A3"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t>2.6.2 Target Population and Sampling Strategy</w:t>
      </w:r>
    </w:p>
    <w:p w14:paraId="7771D0AB"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The sampling frame comprises Form 3 and Form 4 Chemistry students and their respective subject teachers in Kenya. The study uses stratified purposive and multi-stage cluster sampling across three educational tiers:</w:t>
      </w:r>
    </w:p>
    <w:p w14:paraId="645F23E2" w14:textId="77777777" w:rsidR="00B229E7" w:rsidRPr="003D30A1" w:rsidRDefault="00B229E7">
      <w:pPr>
        <w:spacing w:after="200" w:line="276" w:lineRule="auto"/>
        <w:jc w:val="both"/>
        <w:rPr>
          <w:rFonts w:ascii="Times New Roman" w:hAnsi="Times New Roman" w:cs="Times New Roman"/>
          <w:color w:val="000000" w:themeColor="text1"/>
          <w:lang w:val="en-GB"/>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300"/>
        <w:gridCol w:w="1200"/>
        <w:gridCol w:w="1900"/>
      </w:tblGrid>
      <w:tr w:rsidR="00031E74" w:rsidRPr="003D30A1" w14:paraId="30B41ABF" w14:textId="77777777">
        <w:trPr>
          <w:tblHeader/>
        </w:trPr>
        <w:tc>
          <w:tcPr>
            <w:tcW w:w="1100" w:type="dxa"/>
            <w:shd w:val="clear" w:color="auto" w:fill="1F3864"/>
            <w:tcMar>
              <w:top w:w="100" w:type="dxa"/>
              <w:left w:w="120" w:type="dxa"/>
              <w:bottom w:w="100" w:type="dxa"/>
              <w:right w:w="120" w:type="dxa"/>
            </w:tcMar>
            <w:vAlign w:val="center"/>
          </w:tcPr>
          <w:p w14:paraId="30F0875E"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Stratum</w:t>
            </w:r>
          </w:p>
        </w:tc>
        <w:tc>
          <w:tcPr>
            <w:tcW w:w="5300" w:type="dxa"/>
            <w:shd w:val="clear" w:color="auto" w:fill="1F3864"/>
            <w:tcMar>
              <w:top w:w="100" w:type="dxa"/>
              <w:left w:w="120" w:type="dxa"/>
              <w:bottom w:w="100" w:type="dxa"/>
              <w:right w:w="120" w:type="dxa"/>
            </w:tcMar>
            <w:vAlign w:val="center"/>
          </w:tcPr>
          <w:p w14:paraId="1685FB11"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School Category</w:t>
            </w:r>
          </w:p>
        </w:tc>
        <w:tc>
          <w:tcPr>
            <w:tcW w:w="1200" w:type="dxa"/>
            <w:shd w:val="clear" w:color="auto" w:fill="1F3864"/>
            <w:tcMar>
              <w:top w:w="100" w:type="dxa"/>
              <w:left w:w="120" w:type="dxa"/>
              <w:bottom w:w="100" w:type="dxa"/>
              <w:right w:w="120" w:type="dxa"/>
            </w:tcMar>
            <w:vAlign w:val="center"/>
          </w:tcPr>
          <w:p w14:paraId="2CFD6D74"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Schools</w:t>
            </w:r>
          </w:p>
        </w:tc>
        <w:tc>
          <w:tcPr>
            <w:tcW w:w="1900" w:type="dxa"/>
            <w:shd w:val="clear" w:color="auto" w:fill="1F3864"/>
            <w:tcMar>
              <w:top w:w="100" w:type="dxa"/>
              <w:left w:w="120" w:type="dxa"/>
              <w:bottom w:w="100" w:type="dxa"/>
              <w:right w:w="120" w:type="dxa"/>
            </w:tcMar>
            <w:vAlign w:val="center"/>
          </w:tcPr>
          <w:p w14:paraId="115CD06A"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Approx. n (students)</w:t>
            </w:r>
          </w:p>
        </w:tc>
      </w:tr>
      <w:tr w:rsidR="00031E74" w:rsidRPr="003D30A1" w14:paraId="2164FB56" w14:textId="77777777">
        <w:tc>
          <w:tcPr>
            <w:tcW w:w="1100" w:type="dxa"/>
            <w:shd w:val="clear" w:color="auto" w:fill="F2F2F2"/>
            <w:tcMar>
              <w:top w:w="90" w:type="dxa"/>
              <w:left w:w="120" w:type="dxa"/>
              <w:bottom w:w="90" w:type="dxa"/>
              <w:right w:w="120" w:type="dxa"/>
            </w:tcMar>
            <w:vAlign w:val="center"/>
          </w:tcPr>
          <w:p w14:paraId="0872D99F"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1</w:t>
            </w:r>
          </w:p>
        </w:tc>
        <w:tc>
          <w:tcPr>
            <w:tcW w:w="5300" w:type="dxa"/>
            <w:shd w:val="clear" w:color="auto" w:fill="F2F2F2"/>
            <w:tcMar>
              <w:top w:w="90" w:type="dxa"/>
              <w:left w:w="120" w:type="dxa"/>
              <w:bottom w:w="90" w:type="dxa"/>
              <w:right w:w="120" w:type="dxa"/>
            </w:tcMar>
            <w:vAlign w:val="center"/>
          </w:tcPr>
          <w:p w14:paraId="39136022"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National / Extra-County (high lab-infrastructure baseline)</w:t>
            </w:r>
          </w:p>
        </w:tc>
        <w:tc>
          <w:tcPr>
            <w:tcW w:w="1200" w:type="dxa"/>
            <w:shd w:val="clear" w:color="auto" w:fill="F2F2F2"/>
            <w:tcMar>
              <w:top w:w="90" w:type="dxa"/>
              <w:left w:w="120" w:type="dxa"/>
              <w:bottom w:w="90" w:type="dxa"/>
              <w:right w:w="120" w:type="dxa"/>
            </w:tcMar>
            <w:vAlign w:val="center"/>
          </w:tcPr>
          <w:p w14:paraId="375BDB1C"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2</w:t>
            </w:r>
          </w:p>
        </w:tc>
        <w:tc>
          <w:tcPr>
            <w:tcW w:w="1900" w:type="dxa"/>
            <w:shd w:val="clear" w:color="auto" w:fill="F2F2F2"/>
            <w:tcMar>
              <w:top w:w="90" w:type="dxa"/>
              <w:left w:w="120" w:type="dxa"/>
              <w:bottom w:w="90" w:type="dxa"/>
              <w:right w:w="120" w:type="dxa"/>
            </w:tcMar>
            <w:vAlign w:val="center"/>
          </w:tcPr>
          <w:p w14:paraId="59F18415"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≈120</w:t>
            </w:r>
          </w:p>
        </w:tc>
      </w:tr>
      <w:tr w:rsidR="00031E74" w:rsidRPr="003D30A1" w14:paraId="101EEC47" w14:textId="77777777">
        <w:tc>
          <w:tcPr>
            <w:tcW w:w="1100" w:type="dxa"/>
            <w:tcMar>
              <w:top w:w="90" w:type="dxa"/>
              <w:left w:w="120" w:type="dxa"/>
              <w:bottom w:w="90" w:type="dxa"/>
              <w:right w:w="120" w:type="dxa"/>
            </w:tcMar>
            <w:vAlign w:val="center"/>
          </w:tcPr>
          <w:p w14:paraId="3A0AE6B0"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2</w:t>
            </w:r>
          </w:p>
        </w:tc>
        <w:tc>
          <w:tcPr>
            <w:tcW w:w="5300" w:type="dxa"/>
            <w:tcMar>
              <w:top w:w="90" w:type="dxa"/>
              <w:left w:w="120" w:type="dxa"/>
              <w:bottom w:w="90" w:type="dxa"/>
              <w:right w:w="120" w:type="dxa"/>
            </w:tcMar>
            <w:vAlign w:val="center"/>
          </w:tcPr>
          <w:p w14:paraId="4F40BC9D"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County Secondary Schools (moderate lab-infrastructure baseline)</w:t>
            </w:r>
          </w:p>
        </w:tc>
        <w:tc>
          <w:tcPr>
            <w:tcW w:w="1200" w:type="dxa"/>
            <w:tcMar>
              <w:top w:w="90" w:type="dxa"/>
              <w:left w:w="120" w:type="dxa"/>
              <w:bottom w:w="90" w:type="dxa"/>
              <w:right w:w="120" w:type="dxa"/>
            </w:tcMar>
            <w:vAlign w:val="center"/>
          </w:tcPr>
          <w:p w14:paraId="0190A23D"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3</w:t>
            </w:r>
          </w:p>
        </w:tc>
        <w:tc>
          <w:tcPr>
            <w:tcW w:w="1900" w:type="dxa"/>
            <w:tcMar>
              <w:top w:w="90" w:type="dxa"/>
              <w:left w:w="120" w:type="dxa"/>
              <w:bottom w:w="90" w:type="dxa"/>
              <w:right w:w="120" w:type="dxa"/>
            </w:tcMar>
            <w:vAlign w:val="center"/>
          </w:tcPr>
          <w:p w14:paraId="24ACB16A"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≈180</w:t>
            </w:r>
          </w:p>
        </w:tc>
      </w:tr>
      <w:tr w:rsidR="00031E74" w:rsidRPr="003D30A1" w14:paraId="46E823C7" w14:textId="77777777">
        <w:tc>
          <w:tcPr>
            <w:tcW w:w="1100" w:type="dxa"/>
            <w:shd w:val="clear" w:color="auto" w:fill="F2F2F2"/>
            <w:tcMar>
              <w:top w:w="90" w:type="dxa"/>
              <w:left w:w="120" w:type="dxa"/>
              <w:bottom w:w="90" w:type="dxa"/>
              <w:right w:w="120" w:type="dxa"/>
            </w:tcMar>
            <w:vAlign w:val="center"/>
          </w:tcPr>
          <w:p w14:paraId="0D5B2AB0"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3</w:t>
            </w:r>
          </w:p>
        </w:tc>
        <w:tc>
          <w:tcPr>
            <w:tcW w:w="5300" w:type="dxa"/>
            <w:shd w:val="clear" w:color="auto" w:fill="F2F2F2"/>
            <w:tcMar>
              <w:top w:w="90" w:type="dxa"/>
              <w:left w:w="120" w:type="dxa"/>
              <w:bottom w:w="90" w:type="dxa"/>
              <w:right w:w="120" w:type="dxa"/>
            </w:tcMar>
            <w:vAlign w:val="center"/>
          </w:tcPr>
          <w:p w14:paraId="7D815752"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Sub-County Day Secondary Schools (low/zero lab-infrastructure baseline)</w:t>
            </w:r>
          </w:p>
        </w:tc>
        <w:tc>
          <w:tcPr>
            <w:tcW w:w="1200" w:type="dxa"/>
            <w:shd w:val="clear" w:color="auto" w:fill="F2F2F2"/>
            <w:tcMar>
              <w:top w:w="90" w:type="dxa"/>
              <w:left w:w="120" w:type="dxa"/>
              <w:bottom w:w="90" w:type="dxa"/>
              <w:right w:w="120" w:type="dxa"/>
            </w:tcMar>
            <w:vAlign w:val="center"/>
          </w:tcPr>
          <w:p w14:paraId="65FFE1E1"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5</w:t>
            </w:r>
          </w:p>
        </w:tc>
        <w:tc>
          <w:tcPr>
            <w:tcW w:w="1900" w:type="dxa"/>
            <w:shd w:val="clear" w:color="auto" w:fill="F2F2F2"/>
            <w:tcMar>
              <w:top w:w="90" w:type="dxa"/>
              <w:left w:w="120" w:type="dxa"/>
              <w:bottom w:w="90" w:type="dxa"/>
              <w:right w:w="120" w:type="dxa"/>
            </w:tcMar>
            <w:vAlign w:val="center"/>
          </w:tcPr>
          <w:p w14:paraId="24896B5A"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≈300</w:t>
            </w:r>
          </w:p>
        </w:tc>
      </w:tr>
    </w:tbl>
    <w:p w14:paraId="52B15917"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This yields a total sample of approximately 600 secondary students and 20 chemistry educators.</w:t>
      </w:r>
    </w:p>
    <w:p w14:paraId="78B3B25A"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t>2.6.3 Data Collection Instruments</w:t>
      </w:r>
    </w:p>
    <w:p w14:paraId="20CE0F39" w14:textId="19030D95"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 xml:space="preserve">Chemistry Practical Competency Achievement Test (CPCAT): </w:t>
      </w:r>
      <w:r w:rsidRPr="003D30A1">
        <w:rPr>
          <w:rFonts w:ascii="Times New Roman" w:hAnsi="Times New Roman" w:cs="Times New Roman"/>
          <w:color w:val="000000" w:themeColor="text1"/>
          <w:lang w:val="en-GB"/>
        </w:rPr>
        <w:t xml:space="preserve">A 40-mark standardised pre-test and post-test aligned with KCSE Paper 3 marking standards, validated by experienced KCSE national examiners, measuring procedural knowledge, titration accuracy calculation, qualitative inference logic, and kinetic-curve interpretation. </w:t>
      </w:r>
      <w:r w:rsidRPr="003D30A1">
        <w:rPr>
          <w:rFonts w:ascii="Times New Roman" w:hAnsi="Times New Roman" w:cs="Times New Roman"/>
          <w:b/>
          <w:bCs/>
          <w:color w:val="000000" w:themeColor="text1"/>
          <w:lang w:val="en-GB"/>
        </w:rPr>
        <w:t xml:space="preserve">System Usability Scale (SUS): </w:t>
      </w:r>
      <w:r w:rsidRPr="003D30A1">
        <w:rPr>
          <w:rFonts w:ascii="Times New Roman" w:hAnsi="Times New Roman" w:cs="Times New Roman"/>
          <w:color w:val="000000" w:themeColor="text1"/>
          <w:lang w:val="en-GB"/>
        </w:rPr>
        <w:t xml:space="preserve">The standard 10-item international usability instrument (Brooke, 1996), administered to learners to calculate a benchmark usability score (0–100). Target threshold: SUS ≥ 78 (Grade A / Excellent). </w:t>
      </w:r>
      <w:r w:rsidRPr="003D30A1">
        <w:rPr>
          <w:rFonts w:ascii="Times New Roman" w:hAnsi="Times New Roman" w:cs="Times New Roman"/>
          <w:b/>
          <w:bCs/>
          <w:color w:val="000000" w:themeColor="text1"/>
          <w:lang w:val="en-GB"/>
        </w:rPr>
        <w:t xml:space="preserve">Technology Acceptance Model (TAM) Questionnaire: </w:t>
      </w:r>
      <w:r w:rsidRPr="003D30A1">
        <w:rPr>
          <w:rFonts w:ascii="Times New Roman" w:hAnsi="Times New Roman" w:cs="Times New Roman"/>
          <w:color w:val="000000" w:themeColor="text1"/>
          <w:lang w:val="en-GB"/>
        </w:rPr>
        <w:t xml:space="preserve">A 5-point Likert-scale instrument assessing Perceived Usefulness (6 items), Perceived Ease of Use (6 items), Facilitating Conditions (4 items), and Behavioural Intention to Use (4 items). </w:t>
      </w:r>
      <w:r w:rsidRPr="003D30A1">
        <w:rPr>
          <w:rFonts w:ascii="Times New Roman" w:hAnsi="Times New Roman" w:cs="Times New Roman"/>
          <w:b/>
          <w:bCs/>
          <w:color w:val="000000" w:themeColor="text1"/>
          <w:lang w:val="en-GB"/>
        </w:rPr>
        <w:t xml:space="preserve">Automated server-side telemetry logs: </w:t>
      </w:r>
      <w:r w:rsidRPr="003D30A1">
        <w:rPr>
          <w:rFonts w:ascii="Times New Roman" w:hAnsi="Times New Roman" w:cs="Times New Roman"/>
          <w:color w:val="000000" w:themeColor="text1"/>
          <w:lang w:val="en-GB"/>
        </w:rPr>
        <w:t xml:space="preserve">High-precision metrics collected by the platform database mean titration trials per student, percentage of concordant titres achieved (≤ 0.10 cm³ variance), indicator-error rate, and time-on-task per module. </w:t>
      </w:r>
      <w:r w:rsidRPr="003D30A1">
        <w:rPr>
          <w:rFonts w:ascii="Times New Roman" w:hAnsi="Times New Roman" w:cs="Times New Roman"/>
          <w:b/>
          <w:bCs/>
          <w:color w:val="000000" w:themeColor="text1"/>
          <w:lang w:val="en-GB"/>
        </w:rPr>
        <w:t xml:space="preserve">Qualitative semi-structured interviews: </w:t>
      </w:r>
      <w:r w:rsidRPr="003D30A1">
        <w:rPr>
          <w:rFonts w:ascii="Times New Roman" w:hAnsi="Times New Roman" w:cs="Times New Roman"/>
          <w:color w:val="000000" w:themeColor="text1"/>
          <w:lang w:val="en-GB"/>
        </w:rPr>
        <w:t>Focus group discussions and teacher in-depth interviews evaluating perceived pedagogical workload reduction, classroom dynamics, and contextual adoption bottlenecks.</w:t>
      </w:r>
    </w:p>
    <w:p w14:paraId="1C2AC02C"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t>2.6.4 Validity of Instruments</w:t>
      </w:r>
    </w:p>
    <w:p w14:paraId="2F1B0FE2"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Content and construct validity will be confirmed through expert review by KICD chemistry panel specialists and experienced KCSE examiners, ensuring the CPCAT and its marking rubric faithfully mirror the KNEC Paper 3 marking scheme.</w:t>
      </w:r>
    </w:p>
    <w:p w14:paraId="3C3D17E9"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t>2.6.5 Reliability / Trustworthiness</w:t>
      </w:r>
    </w:p>
    <w:p w14:paraId="0ECB1213" w14:textId="77777777" w:rsidR="00031E74"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Internal consistency of the SUS and TAM scales will be calculated using Cronbach’s alpha, with a threshold of α ≥ 0.80 required across all test scales before proceeding to full analysis.</w:t>
      </w:r>
    </w:p>
    <w:p w14:paraId="37D6C6CE" w14:textId="77777777" w:rsidR="003D30A1" w:rsidRPr="003D30A1" w:rsidRDefault="003D30A1">
      <w:pPr>
        <w:spacing w:after="200" w:line="276" w:lineRule="auto"/>
        <w:jc w:val="both"/>
        <w:rPr>
          <w:rFonts w:ascii="Times New Roman" w:hAnsi="Times New Roman" w:cs="Times New Roman"/>
          <w:color w:val="000000" w:themeColor="text1"/>
          <w:lang w:val="en-GB"/>
        </w:rPr>
      </w:pPr>
    </w:p>
    <w:p w14:paraId="4595A4BA"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lastRenderedPageBreak/>
        <w:t>2.6.6 Data Collection Procedures</w:t>
      </w:r>
    </w:p>
    <w:p w14:paraId="18DD4FE2"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The data collection process follows a sequential path: ethical approval → institutional permission → NACOSTI research permit → school and participant recruitment → informed consent/assent → pre-test administration → intervention period → post-test and survey administration → secure data management.</w:t>
      </w:r>
    </w:p>
    <w:p w14:paraId="7D4E628C"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t>2.6.7 Data Analysis Techniques</w:t>
      </w:r>
    </w:p>
    <w:p w14:paraId="43277FB5"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Learning gain will be measured using Hake’s Average Normalised Learning Gain:</w:t>
      </w:r>
    </w:p>
    <w:p w14:paraId="5D5B1D7E" w14:textId="77777777" w:rsidR="00031E74" w:rsidRPr="003D30A1" w:rsidRDefault="00000000">
      <w:pPr>
        <w:spacing w:before="120" w:after="120"/>
        <w:jc w:val="center"/>
        <w:rPr>
          <w:rFonts w:ascii="Times New Roman" w:hAnsi="Times New Roman" w:cs="Times New Roman"/>
          <w:color w:val="000000" w:themeColor="text1"/>
          <w:lang w:val="en-GB"/>
        </w:rPr>
      </w:pPr>
      <w:r w:rsidRPr="003D30A1">
        <w:rPr>
          <w:rFonts w:ascii="Times New Roman" w:eastAsia="Consolas" w:hAnsi="Times New Roman" w:cs="Times New Roman"/>
          <w:i/>
          <w:iCs/>
          <w:color w:val="000000" w:themeColor="text1"/>
          <w:lang w:val="en-GB"/>
        </w:rPr>
        <w:t>g = ( %Post-test − %Pre-test ) / ( 100% − %Pre-test )</w:t>
      </w:r>
    </w:p>
    <w:p w14:paraId="0B874358"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Interpretation: High gain (g ≥ 0.70), medium gain (0.30 ≤ g &lt; 0.70), low gain (g &lt; 0.30). Inferential testing will use paired-sample t-tests to evaluate within-group pre-/post-score improvement, and Analysis of Covariance (ANCOVA) to compare post-test scores between the Experimental and Control groups while controlling for pre-test baseline as a covariate. Diagnostic telemetry logs (RQ4) will be evaluated through longitudinal error-rate trend analysis across iterative attempts, triangulated with qualitative thematic analysis of teacher interview transcripts. Educational significance will be established via Cohen’s d effect size:</w:t>
      </w:r>
    </w:p>
    <w:p w14:paraId="5F2F2EE7" w14:textId="77777777" w:rsidR="00031E74" w:rsidRPr="003D30A1" w:rsidRDefault="00000000">
      <w:pPr>
        <w:spacing w:before="120" w:after="120"/>
        <w:jc w:val="center"/>
        <w:rPr>
          <w:rFonts w:ascii="Times New Roman" w:hAnsi="Times New Roman" w:cs="Times New Roman"/>
          <w:color w:val="000000" w:themeColor="text1"/>
          <w:lang w:val="en-GB"/>
        </w:rPr>
      </w:pPr>
      <w:r w:rsidRPr="003D30A1">
        <w:rPr>
          <w:rFonts w:ascii="Times New Roman" w:eastAsia="Consolas" w:hAnsi="Times New Roman" w:cs="Times New Roman"/>
          <w:i/>
          <w:iCs/>
          <w:color w:val="000000" w:themeColor="text1"/>
          <w:lang w:val="en-GB"/>
        </w:rPr>
        <w:t>d = ( x̄₁ − x̄₂ ) / s(pooled)</w:t>
      </w:r>
    </w:p>
    <w:p w14:paraId="30274D01"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t>2.6.8 Ethical Considerations</w:t>
      </w:r>
    </w:p>
    <w:p w14:paraId="6EC1E738"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A research permit will be obtained from the National Commission for Science, Technology and Innovation (NACOSTI), alongside institutional clearance from the Open University of Kenya Directorate of Research and partner school administrations. Parental/guardian consent and headteacher permissions will be secured for all participating minor students, with participation entirely voluntary and free to withdraw at any stage without academic penalty. In line with the Kenya Data Protection Act (2019), student data will be anonymised using random alphanumeric identifiers (STU-XXXX), passwords cryptographically hashed with bcrypt, and raw records stored in encrypted cloud databases accessible solely by the principal investigator.</w:t>
      </w:r>
    </w:p>
    <w:p w14:paraId="1FD0309A"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2.7 Analysis of the Identified Problem</w:t>
      </w:r>
    </w:p>
    <w:p w14:paraId="10E55519"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The analysis confirms that the inability to access physical labs directly correlates with poor KCSE outcomes and necessitates an immediate, scalable digital solution.</w:t>
      </w:r>
    </w:p>
    <w:p w14:paraId="48FE48B1"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2.8 Root-Cause Analysis</w:t>
      </w:r>
    </w:p>
    <w:p w14:paraId="5E37995F" w14:textId="77777777" w:rsidR="00031E74"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The root causes include underfunding for physical infrastructure, the high cost and short shelf-life of chemical reagents, unsafe student-to-teacher ratios for hazardous wet-chemistry work, and logistical challenges in remote school locations.</w:t>
      </w:r>
    </w:p>
    <w:p w14:paraId="6B78F681" w14:textId="77777777" w:rsidR="00D40711" w:rsidRDefault="00D40711">
      <w:pPr>
        <w:spacing w:after="200" w:line="276" w:lineRule="auto"/>
        <w:jc w:val="both"/>
        <w:rPr>
          <w:rFonts w:ascii="Times New Roman" w:hAnsi="Times New Roman" w:cs="Times New Roman"/>
          <w:color w:val="000000" w:themeColor="text1"/>
          <w:lang w:val="en-GB"/>
        </w:rPr>
      </w:pPr>
    </w:p>
    <w:p w14:paraId="7B9BE993" w14:textId="77777777" w:rsidR="00D40711" w:rsidRDefault="00D40711">
      <w:pPr>
        <w:spacing w:after="200" w:line="276" w:lineRule="auto"/>
        <w:jc w:val="both"/>
        <w:rPr>
          <w:rFonts w:ascii="Times New Roman" w:hAnsi="Times New Roman" w:cs="Times New Roman"/>
          <w:color w:val="000000" w:themeColor="text1"/>
          <w:lang w:val="en-GB"/>
        </w:rPr>
      </w:pPr>
    </w:p>
    <w:p w14:paraId="407890E5" w14:textId="77777777" w:rsidR="000F2B04" w:rsidRPr="003D30A1" w:rsidRDefault="000F2B04">
      <w:pPr>
        <w:spacing w:after="200" w:line="276" w:lineRule="auto"/>
        <w:jc w:val="both"/>
        <w:rPr>
          <w:rFonts w:ascii="Times New Roman" w:hAnsi="Times New Roman" w:cs="Times New Roman"/>
          <w:color w:val="000000" w:themeColor="text1"/>
          <w:lang w:val="en-GB"/>
        </w:rPr>
      </w:pPr>
    </w:p>
    <w:p w14:paraId="1603C102"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lastRenderedPageBreak/>
        <w:t>2.9 Needs and Gap Analysis</w:t>
      </w:r>
    </w:p>
    <w:p w14:paraId="6BDB12F0" w14:textId="685BF25E" w:rsid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While global virtual labs exist, a critical gap remains: the absolute lack of tools aligned with the KICD syllabus and KNEC marking conventions, accessible offline via a lightweight PWA on entry</w:t>
      </w:r>
      <w:r w:rsidR="000F2B04">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level Android devices, and localised with Kiswahili support for the Kenyan demographic.</w:t>
      </w:r>
    </w:p>
    <w:p w14:paraId="55AF154B" w14:textId="77777777" w:rsidR="000F2B04" w:rsidRPr="003D30A1" w:rsidRDefault="000F2B04">
      <w:pPr>
        <w:spacing w:after="200" w:line="276" w:lineRule="auto"/>
        <w:jc w:val="both"/>
        <w:rPr>
          <w:rFonts w:ascii="Times New Roman" w:hAnsi="Times New Roman" w:cs="Times New Roman"/>
          <w:color w:val="000000" w:themeColor="text1"/>
          <w:lang w:val="en-GB"/>
        </w:rPr>
      </w:pPr>
    </w:p>
    <w:p w14:paraId="4E726EF5"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2.10 Analysis of Alternative Solutions</w:t>
      </w:r>
    </w:p>
    <w:p w14:paraId="17178AE4" w14:textId="3C0D4053" w:rsidR="0015551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Alternative solutions such as mobile physical labs or increased government infrastructure funding are highly capital</w:t>
      </w:r>
      <w:r w:rsidR="000F2B04">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intensive and slow to deploy.</w:t>
      </w:r>
    </w:p>
    <w:p w14:paraId="7D381727"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2.11 Selection of the Preferred Intervention</w:t>
      </w:r>
    </w:p>
    <w:p w14:paraId="6BDD3A90"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VirtuLab Kenya is selected as the preferred intervention because it is cost-effective, scalable, instantly deployable via standard web browsers, resilient to connectivity outages, and uniquely aligned to KNEC standards.</w:t>
      </w:r>
    </w:p>
    <w:p w14:paraId="211C88D8"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2.12 Chapter Summary</w:t>
      </w:r>
    </w:p>
    <w:p w14:paraId="5EBA9AE9" w14:textId="1CA3A8F0"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Chapter Two reviewed the empirical evidence on educational inequity and virtual laboratory effectiveness, presented the theoretical and conceptual framework constructivism/IBSE, CTML/CLT, and TAM 3 that emerges from it, compared VirtuLab Kenya favourably against existing tools, and established a rigorous mixed-methods quasi-experimental methodology for its development and evaluation.</w:t>
      </w:r>
    </w:p>
    <w:p w14:paraId="37D5D1AF" w14:textId="77777777" w:rsidR="00031E74" w:rsidRPr="003D30A1" w:rsidRDefault="00000000">
      <w:pPr>
        <w:pStyle w:val="Heading1"/>
        <w:pageBreakBefore/>
        <w:spacing w:before="480" w:after="24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lastRenderedPageBreak/>
        <w:t>CHAPTER THREE: DESIGN AND DEVELOPMENT OF THE CAPSTONE INTERVENTION</w:t>
      </w:r>
    </w:p>
    <w:p w14:paraId="20D9F5C7"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This chapter translates the findings from Chapter Two into the practical design, technological architecture, and development trajectory of VirtuLab Kenya.</w:t>
      </w:r>
    </w:p>
    <w:p w14:paraId="64B6868B"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3.1 Design Principles of the Capstone Intervention</w:t>
      </w:r>
    </w:p>
    <w:p w14:paraId="495465A0" w14:textId="557211DC"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 xml:space="preserve">Context Relevance: </w:t>
      </w:r>
      <w:r w:rsidRPr="003D30A1">
        <w:rPr>
          <w:rFonts w:ascii="Times New Roman" w:hAnsi="Times New Roman" w:cs="Times New Roman"/>
          <w:color w:val="000000" w:themeColor="text1"/>
          <w:lang w:val="en-GB"/>
        </w:rPr>
        <w:t xml:space="preserve">100% alignment with the KICD syllabus and KNEC formats. </w:t>
      </w:r>
      <w:r w:rsidRPr="003D30A1">
        <w:rPr>
          <w:rFonts w:ascii="Times New Roman" w:hAnsi="Times New Roman" w:cs="Times New Roman"/>
          <w:b/>
          <w:bCs/>
          <w:color w:val="000000" w:themeColor="text1"/>
          <w:lang w:val="en-GB"/>
        </w:rPr>
        <w:t xml:space="preserve">Accessibility: </w:t>
      </w:r>
      <w:r w:rsidRPr="003D30A1">
        <w:rPr>
          <w:rFonts w:ascii="Times New Roman" w:hAnsi="Times New Roman" w:cs="Times New Roman"/>
          <w:color w:val="000000" w:themeColor="text1"/>
          <w:lang w:val="en-GB"/>
        </w:rPr>
        <w:t>PWA offline support and low</w:t>
      </w:r>
      <w:r w:rsidR="000F2B04">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 xml:space="preserve">bandwidth functionality via semantic HTML5, responsive vanilla CSS3, and vanilla ECMAScript 2022 avoiding framework bundle overhead so initial load stays under 250 ms on 3G networks. </w:t>
      </w:r>
      <w:r w:rsidRPr="003D30A1">
        <w:rPr>
          <w:rFonts w:ascii="Times New Roman" w:hAnsi="Times New Roman" w:cs="Times New Roman"/>
          <w:b/>
          <w:bCs/>
          <w:color w:val="000000" w:themeColor="text1"/>
          <w:lang w:val="en-GB"/>
        </w:rPr>
        <w:t xml:space="preserve">Inclusivity: </w:t>
      </w:r>
      <w:r w:rsidRPr="003D30A1">
        <w:rPr>
          <w:rFonts w:ascii="Times New Roman" w:hAnsi="Times New Roman" w:cs="Times New Roman"/>
          <w:color w:val="000000" w:themeColor="text1"/>
          <w:lang w:val="en-GB"/>
        </w:rPr>
        <w:t xml:space="preserve">Bilingual interface (English and Kiswahili) to support diverse linguistic contexts. </w:t>
      </w:r>
      <w:r w:rsidRPr="003D30A1">
        <w:rPr>
          <w:rFonts w:ascii="Times New Roman" w:hAnsi="Times New Roman" w:cs="Times New Roman"/>
          <w:b/>
          <w:bCs/>
          <w:color w:val="000000" w:themeColor="text1"/>
          <w:lang w:val="en-GB"/>
        </w:rPr>
        <w:t xml:space="preserve">Cognitive-Load-Aware Design: </w:t>
      </w:r>
      <w:r w:rsidRPr="003D30A1">
        <w:rPr>
          <w:rFonts w:ascii="Times New Roman" w:hAnsi="Times New Roman" w:cs="Times New Roman"/>
          <w:color w:val="000000" w:themeColor="text1"/>
          <w:lang w:val="en-GB"/>
        </w:rPr>
        <w:t xml:space="preserve">Spatial contiguity and signalling principles (Mayer, 2009) keep apparatus, readouts, and guidance notes co-located, minimising split attention. </w:t>
      </w:r>
      <w:r w:rsidRPr="003D30A1">
        <w:rPr>
          <w:rFonts w:ascii="Times New Roman" w:hAnsi="Times New Roman" w:cs="Times New Roman"/>
          <w:b/>
          <w:bCs/>
          <w:color w:val="000000" w:themeColor="text1"/>
          <w:lang w:val="en-GB"/>
        </w:rPr>
        <w:t xml:space="preserve">User-Centred Design: </w:t>
      </w:r>
      <w:r w:rsidRPr="003D30A1">
        <w:rPr>
          <w:rFonts w:ascii="Times New Roman" w:hAnsi="Times New Roman" w:cs="Times New Roman"/>
          <w:color w:val="000000" w:themeColor="text1"/>
          <w:lang w:val="en-GB"/>
        </w:rPr>
        <w:t>Iterative UI improvements, such as the tabbed interface and compact control buttons, based on usability feedback.</w:t>
      </w:r>
    </w:p>
    <w:p w14:paraId="45CB90E1"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3.2 Proposed Capstone Intervention / Innovation</w:t>
      </w:r>
    </w:p>
    <w:p w14:paraId="2D81D4D7" w14:textId="39CD60E5"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VirtuLab Kenya is a fully functional, offline-first, web-based virtual chemistry laboratory delivered as a Progressive Web App. It includes a student platform featuring KCSE past</w:t>
      </w:r>
      <w:r w:rsidR="000F2B04">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paper practice modes (1989–2016), a teacher diagnostic dashboard with real</w:t>
      </w:r>
      <w:r w:rsidR="000F2B04">
        <w:rPr>
          <w:rFonts w:ascii="Times New Roman" w:hAnsi="Times New Roman" w:cs="Times New Roman"/>
          <w:color w:val="000000" w:themeColor="text1"/>
          <w:lang w:val="en-GB"/>
        </w:rPr>
        <w:t xml:space="preserve"> </w:t>
      </w:r>
      <w:r w:rsidRPr="003D30A1">
        <w:rPr>
          <w:rFonts w:ascii="Times New Roman" w:hAnsi="Times New Roman" w:cs="Times New Roman"/>
          <w:color w:val="000000" w:themeColor="text1"/>
          <w:lang w:val="en-GB"/>
        </w:rPr>
        <w:t xml:space="preserve">time analytics, and comprehensive curriculum alignment. The platform is distinguished by four contextual features. </w:t>
      </w:r>
      <w:r w:rsidRPr="003D30A1">
        <w:rPr>
          <w:rFonts w:ascii="Times New Roman" w:hAnsi="Times New Roman" w:cs="Times New Roman"/>
          <w:b/>
          <w:bCs/>
          <w:color w:val="000000" w:themeColor="text1"/>
          <w:lang w:val="en-GB"/>
        </w:rPr>
        <w:t xml:space="preserve">Zero-Bandwidth Resilience: </w:t>
      </w:r>
      <w:r w:rsidRPr="003D30A1">
        <w:rPr>
          <w:rFonts w:ascii="Times New Roman" w:hAnsi="Times New Roman" w:cs="Times New Roman"/>
          <w:color w:val="000000" w:themeColor="text1"/>
          <w:lang w:val="en-GB"/>
        </w:rPr>
        <w:t xml:space="preserve">Full offline execution via service workers and client-side simulation engines, with background telemetry sync once connectivity returns. </w:t>
      </w:r>
      <w:r w:rsidRPr="003D30A1">
        <w:rPr>
          <w:rFonts w:ascii="Times New Roman" w:hAnsi="Times New Roman" w:cs="Times New Roman"/>
          <w:b/>
          <w:bCs/>
          <w:color w:val="000000" w:themeColor="text1"/>
          <w:lang w:val="en-GB"/>
        </w:rPr>
        <w:t xml:space="preserve">Dual-Language Scaffolding: </w:t>
      </w:r>
      <w:r w:rsidRPr="003D30A1">
        <w:rPr>
          <w:rFonts w:ascii="Times New Roman" w:hAnsi="Times New Roman" w:cs="Times New Roman"/>
          <w:color w:val="000000" w:themeColor="text1"/>
          <w:lang w:val="en-GB"/>
        </w:rPr>
        <w:t xml:space="preserve">Native bilingual (English/Kiswahili) support to reinforce conceptual grasp. </w:t>
      </w:r>
      <w:r w:rsidRPr="003D30A1">
        <w:rPr>
          <w:rFonts w:ascii="Times New Roman" w:hAnsi="Times New Roman" w:cs="Times New Roman"/>
          <w:b/>
          <w:bCs/>
          <w:color w:val="000000" w:themeColor="text1"/>
          <w:lang w:val="en-GB"/>
        </w:rPr>
        <w:t xml:space="preserve">Teacher Diagnostic Ecosystem: </w:t>
      </w:r>
      <w:r w:rsidRPr="003D30A1">
        <w:rPr>
          <w:rFonts w:ascii="Times New Roman" w:hAnsi="Times New Roman" w:cs="Times New Roman"/>
          <w:color w:val="000000" w:themeColor="text1"/>
          <w:lang w:val="en-GB"/>
        </w:rPr>
        <w:t xml:space="preserve">Real-time class dashboards providing granular diagnostic telemetry on student titration concordance, calculation errors, and practical proficiency. </w:t>
      </w:r>
      <w:r w:rsidRPr="003D30A1">
        <w:rPr>
          <w:rFonts w:ascii="Times New Roman" w:hAnsi="Times New Roman" w:cs="Times New Roman"/>
          <w:b/>
          <w:bCs/>
          <w:color w:val="000000" w:themeColor="text1"/>
          <w:lang w:val="en-GB"/>
        </w:rPr>
        <w:t xml:space="preserve">Pedagogical Scaffolding: </w:t>
      </w:r>
      <w:r w:rsidRPr="003D30A1">
        <w:rPr>
          <w:rFonts w:ascii="Times New Roman" w:hAnsi="Times New Roman" w:cs="Times New Roman"/>
          <w:color w:val="000000" w:themeColor="text1"/>
          <w:lang w:val="en-GB"/>
        </w:rPr>
        <w:t>Guided-inquiry modes, automated volumetric error feedback, interactive meniscus readings, and adaptive speed challenges.</w:t>
      </w:r>
    </w:p>
    <w:p w14:paraId="68CF126C"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3.3 Intervention Design Framework</w:t>
      </w:r>
    </w:p>
    <w:p w14:paraId="6B029CA9"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The intervention maps constructivist scaffolding directly to technological features: beginner students utilise a “Guided Mode” with step-by-step prompts and validation, while advanced students use an scaffolded, timed “Exam Mode” that replicates authentic KCSE exam conditions.</w:t>
      </w:r>
    </w:p>
    <w:p w14:paraId="5E410105" w14:textId="77777777" w:rsidR="0015551C" w:rsidRPr="003D30A1" w:rsidRDefault="0015551C">
      <w:pPr>
        <w:spacing w:after="200" w:line="276" w:lineRule="auto"/>
        <w:jc w:val="both"/>
        <w:rPr>
          <w:rFonts w:ascii="Times New Roman" w:hAnsi="Times New Roman" w:cs="Times New Roman"/>
          <w:color w:val="000000" w:themeColor="text1"/>
          <w:lang w:val="en-GB"/>
        </w:rPr>
      </w:pPr>
    </w:p>
    <w:p w14:paraId="7ED0FFF1" w14:textId="77777777" w:rsidR="0015551C" w:rsidRDefault="0015551C">
      <w:pPr>
        <w:spacing w:after="200" w:line="276" w:lineRule="auto"/>
        <w:jc w:val="both"/>
        <w:rPr>
          <w:rFonts w:ascii="Times New Roman" w:hAnsi="Times New Roman" w:cs="Times New Roman"/>
          <w:color w:val="000000" w:themeColor="text1"/>
          <w:lang w:val="en-GB"/>
        </w:rPr>
      </w:pPr>
    </w:p>
    <w:p w14:paraId="298D25AD" w14:textId="77777777" w:rsidR="00D40711" w:rsidRDefault="00D40711">
      <w:pPr>
        <w:spacing w:after="200" w:line="276" w:lineRule="auto"/>
        <w:jc w:val="both"/>
        <w:rPr>
          <w:rFonts w:ascii="Times New Roman" w:hAnsi="Times New Roman" w:cs="Times New Roman"/>
          <w:color w:val="000000" w:themeColor="text1"/>
          <w:lang w:val="en-GB"/>
        </w:rPr>
      </w:pPr>
    </w:p>
    <w:p w14:paraId="24CD7A43" w14:textId="77777777" w:rsidR="00D40711" w:rsidRDefault="00D40711">
      <w:pPr>
        <w:spacing w:after="200" w:line="276" w:lineRule="auto"/>
        <w:jc w:val="both"/>
        <w:rPr>
          <w:rFonts w:ascii="Times New Roman" w:hAnsi="Times New Roman" w:cs="Times New Roman"/>
          <w:color w:val="000000" w:themeColor="text1"/>
          <w:lang w:val="en-GB"/>
        </w:rPr>
      </w:pPr>
    </w:p>
    <w:p w14:paraId="761C3A75" w14:textId="77777777" w:rsidR="00D40711" w:rsidRPr="003D30A1" w:rsidRDefault="00D40711">
      <w:pPr>
        <w:spacing w:after="200" w:line="276" w:lineRule="auto"/>
        <w:jc w:val="both"/>
        <w:rPr>
          <w:rFonts w:ascii="Times New Roman" w:hAnsi="Times New Roman" w:cs="Times New Roman"/>
          <w:color w:val="000000" w:themeColor="text1"/>
          <w:lang w:val="en-GB"/>
        </w:rPr>
      </w:pPr>
    </w:p>
    <w:p w14:paraId="32F7CCAB"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3.4 System Architecture</w:t>
      </w:r>
    </w:p>
    <w:p w14:paraId="6773895F"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lastRenderedPageBreak/>
        <w:t>VirtuLab Kenya is engineered around a modern, modular, low-overhead client-server architecture optimised for low-bandwidth, intermittent-connectivity environments, structured across three tiers: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031E74" w:rsidRPr="003D30A1" w14:paraId="2044B758" w14:textId="77777777">
        <w:trPr>
          <w:tblHeader/>
        </w:trPr>
        <w:tc>
          <w:tcPr>
            <w:tcW w:w="2600" w:type="dxa"/>
            <w:shd w:val="clear" w:color="auto" w:fill="1F3864"/>
            <w:tcMar>
              <w:top w:w="100" w:type="dxa"/>
              <w:left w:w="120" w:type="dxa"/>
              <w:bottom w:w="100" w:type="dxa"/>
              <w:right w:w="120" w:type="dxa"/>
            </w:tcMar>
            <w:vAlign w:val="center"/>
          </w:tcPr>
          <w:p w14:paraId="5669E5C4"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Tier</w:t>
            </w:r>
          </w:p>
        </w:tc>
        <w:tc>
          <w:tcPr>
            <w:tcW w:w="6900" w:type="dxa"/>
            <w:shd w:val="clear" w:color="auto" w:fill="1F3864"/>
            <w:tcMar>
              <w:top w:w="100" w:type="dxa"/>
              <w:left w:w="120" w:type="dxa"/>
              <w:bottom w:w="100" w:type="dxa"/>
              <w:right w:w="120" w:type="dxa"/>
            </w:tcMar>
            <w:vAlign w:val="center"/>
          </w:tcPr>
          <w:p w14:paraId="37A06B64"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Key Components</w:t>
            </w:r>
          </w:p>
        </w:tc>
      </w:tr>
      <w:tr w:rsidR="00031E74" w:rsidRPr="003D30A1" w14:paraId="5B247352" w14:textId="77777777">
        <w:tc>
          <w:tcPr>
            <w:tcW w:w="2600" w:type="dxa"/>
            <w:shd w:val="clear" w:color="auto" w:fill="F2F2F2"/>
            <w:tcMar>
              <w:top w:w="90" w:type="dxa"/>
              <w:left w:w="120" w:type="dxa"/>
              <w:bottom w:w="90" w:type="dxa"/>
              <w:right w:w="120" w:type="dxa"/>
            </w:tcMar>
            <w:vAlign w:val="center"/>
          </w:tcPr>
          <w:p w14:paraId="073A608C"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Client Tier (PWA)</w:t>
            </w:r>
          </w:p>
        </w:tc>
        <w:tc>
          <w:tcPr>
            <w:tcW w:w="6900" w:type="dxa"/>
            <w:shd w:val="clear" w:color="auto" w:fill="F2F2F2"/>
            <w:tcMar>
              <w:top w:w="90" w:type="dxa"/>
              <w:left w:w="120" w:type="dxa"/>
              <w:bottom w:w="90" w:type="dxa"/>
              <w:right w:w="120" w:type="dxa"/>
            </w:tcMar>
            <w:vAlign w:val="center"/>
          </w:tcPr>
          <w:p w14:paraId="65968976"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Student dashboard &amp; revision history · Virtual chemistry simulation engine · Teacher analytics dashboard · Service worker &amp; cache storage (offline engine) · LocalStorage/IndexedDB local session cache</w:t>
            </w:r>
          </w:p>
        </w:tc>
      </w:tr>
      <w:tr w:rsidR="00031E74" w:rsidRPr="003D30A1" w14:paraId="7A6C6DEC" w14:textId="77777777">
        <w:tc>
          <w:tcPr>
            <w:tcW w:w="2600" w:type="dxa"/>
            <w:tcMar>
              <w:top w:w="90" w:type="dxa"/>
              <w:left w:w="120" w:type="dxa"/>
              <w:bottom w:w="90" w:type="dxa"/>
              <w:right w:w="120" w:type="dxa"/>
            </w:tcMar>
            <w:vAlign w:val="center"/>
          </w:tcPr>
          <w:p w14:paraId="2068E982"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Server Tier (Node.js)</w:t>
            </w:r>
          </w:p>
        </w:tc>
        <w:tc>
          <w:tcPr>
            <w:tcW w:w="6900" w:type="dxa"/>
            <w:tcMar>
              <w:top w:w="90" w:type="dxa"/>
              <w:left w:w="120" w:type="dxa"/>
              <w:bottom w:w="90" w:type="dxa"/>
              <w:right w:w="120" w:type="dxa"/>
            </w:tcMar>
            <w:vAlign w:val="center"/>
          </w:tcPr>
          <w:p w14:paraId="73D2D619"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Express REST API gateway (/api/auth, /api/sessions, /api/assignments, …) · JWT auth verification, role-based access control, rate limiting · Business logic: telemetry analyzer, leaderboard, badge evaluator, grading</w:t>
            </w:r>
          </w:p>
        </w:tc>
      </w:tr>
      <w:tr w:rsidR="00031E74" w:rsidRPr="003D30A1" w14:paraId="63CB301C" w14:textId="77777777">
        <w:tc>
          <w:tcPr>
            <w:tcW w:w="2600" w:type="dxa"/>
            <w:shd w:val="clear" w:color="auto" w:fill="F2F2F2"/>
            <w:tcMar>
              <w:top w:w="90" w:type="dxa"/>
              <w:left w:w="120" w:type="dxa"/>
              <w:bottom w:w="90" w:type="dxa"/>
              <w:right w:w="120" w:type="dxa"/>
            </w:tcMar>
            <w:vAlign w:val="center"/>
          </w:tcPr>
          <w:p w14:paraId="2CC1E5DB"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Database Tier (PostgreSQL)</w:t>
            </w:r>
          </w:p>
        </w:tc>
        <w:tc>
          <w:tcPr>
            <w:tcW w:w="6900" w:type="dxa"/>
            <w:shd w:val="clear" w:color="auto" w:fill="F2F2F2"/>
            <w:tcMar>
              <w:top w:w="90" w:type="dxa"/>
              <w:left w:w="120" w:type="dxa"/>
              <w:bottom w:w="90" w:type="dxa"/>
              <w:right w:w="120" w:type="dxa"/>
            </w:tcMar>
            <w:vAlign w:val="center"/>
          </w:tcPr>
          <w:p w14:paraId="259BC46C"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users · schools · classes/teachers · lab_sessions · assignments · badges · student_badges · error_telemetry</w:t>
            </w:r>
          </w:p>
        </w:tc>
      </w:tr>
    </w:tbl>
    <w:p w14:paraId="050189F4"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3.5 Laboratory Modules Implemented and Roadmap</w:t>
      </w:r>
    </w:p>
    <w:p w14:paraId="2715F8B5"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Seven core modules cover the major KCSE Paper 3 practical domains: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900"/>
        <w:gridCol w:w="3400"/>
        <w:gridCol w:w="1500"/>
      </w:tblGrid>
      <w:tr w:rsidR="00031E74" w:rsidRPr="003D30A1" w14:paraId="1C5D3145" w14:textId="77777777">
        <w:trPr>
          <w:tblHeader/>
        </w:trPr>
        <w:tc>
          <w:tcPr>
            <w:tcW w:w="1700" w:type="dxa"/>
            <w:shd w:val="clear" w:color="auto" w:fill="1F3864"/>
            <w:tcMar>
              <w:top w:w="100" w:type="dxa"/>
              <w:left w:w="100" w:type="dxa"/>
              <w:bottom w:w="100" w:type="dxa"/>
              <w:right w:w="100" w:type="dxa"/>
            </w:tcMar>
            <w:vAlign w:val="center"/>
          </w:tcPr>
          <w:p w14:paraId="10F311E5"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Module</w:t>
            </w:r>
          </w:p>
        </w:tc>
        <w:tc>
          <w:tcPr>
            <w:tcW w:w="2900" w:type="dxa"/>
            <w:shd w:val="clear" w:color="auto" w:fill="1F3864"/>
            <w:tcMar>
              <w:top w:w="100" w:type="dxa"/>
              <w:left w:w="100" w:type="dxa"/>
              <w:bottom w:w="100" w:type="dxa"/>
              <w:right w:w="100" w:type="dxa"/>
            </w:tcMar>
            <w:vAlign w:val="center"/>
          </w:tcPr>
          <w:p w14:paraId="5802455F"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Simulated Experiment</w:t>
            </w:r>
          </w:p>
        </w:tc>
        <w:tc>
          <w:tcPr>
            <w:tcW w:w="3400" w:type="dxa"/>
            <w:shd w:val="clear" w:color="auto" w:fill="1F3864"/>
            <w:tcMar>
              <w:top w:w="100" w:type="dxa"/>
              <w:left w:w="100" w:type="dxa"/>
              <w:bottom w:w="100" w:type="dxa"/>
              <w:right w:w="100" w:type="dxa"/>
            </w:tcMar>
            <w:vAlign w:val="center"/>
          </w:tcPr>
          <w:p w14:paraId="6A2C3CC7"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Target KCSE Skills</w:t>
            </w:r>
          </w:p>
        </w:tc>
        <w:tc>
          <w:tcPr>
            <w:tcW w:w="1500" w:type="dxa"/>
            <w:shd w:val="clear" w:color="auto" w:fill="1F3864"/>
            <w:tcMar>
              <w:top w:w="100" w:type="dxa"/>
              <w:left w:w="100" w:type="dxa"/>
              <w:bottom w:w="100" w:type="dxa"/>
              <w:right w:w="100" w:type="dxa"/>
            </w:tcMar>
            <w:vAlign w:val="center"/>
          </w:tcPr>
          <w:p w14:paraId="3E249461"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Syllabus Ref.</w:t>
            </w:r>
          </w:p>
        </w:tc>
      </w:tr>
      <w:tr w:rsidR="00031E74" w:rsidRPr="003D30A1" w14:paraId="223774CD" w14:textId="77777777">
        <w:tc>
          <w:tcPr>
            <w:tcW w:w="1700" w:type="dxa"/>
            <w:shd w:val="clear" w:color="auto" w:fill="F2F2F2"/>
            <w:tcMar>
              <w:top w:w="80" w:type="dxa"/>
              <w:left w:w="100" w:type="dxa"/>
              <w:bottom w:w="80" w:type="dxa"/>
              <w:right w:w="100" w:type="dxa"/>
            </w:tcMar>
            <w:vAlign w:val="center"/>
          </w:tcPr>
          <w:p w14:paraId="3E37EA59"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1. Volumetric Analysis</w:t>
            </w:r>
          </w:p>
        </w:tc>
        <w:tc>
          <w:tcPr>
            <w:tcW w:w="2900" w:type="dxa"/>
            <w:shd w:val="clear" w:color="auto" w:fill="F2F2F2"/>
            <w:tcMar>
              <w:top w:w="80" w:type="dxa"/>
              <w:left w:w="100" w:type="dxa"/>
              <w:bottom w:w="80" w:type="dxa"/>
              <w:right w:w="100" w:type="dxa"/>
            </w:tcMar>
            <w:vAlign w:val="center"/>
          </w:tcPr>
          <w:p w14:paraId="022640B6"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Acid–base, redox, precipitation &amp; complexometric titrations</w:t>
            </w:r>
          </w:p>
        </w:tc>
        <w:tc>
          <w:tcPr>
            <w:tcW w:w="3400" w:type="dxa"/>
            <w:shd w:val="clear" w:color="auto" w:fill="F2F2F2"/>
            <w:tcMar>
              <w:top w:w="80" w:type="dxa"/>
              <w:left w:w="100" w:type="dxa"/>
              <w:bottom w:w="80" w:type="dxa"/>
              <w:right w:w="100" w:type="dxa"/>
            </w:tcMar>
            <w:vAlign w:val="center"/>
          </w:tcPr>
          <w:p w14:paraId="108D3A92"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Pipette priming, burette flow control, end-point detection, concordant titres (ΔV ≤ 0.10 cm³), stoichiometric calculation</w:t>
            </w:r>
          </w:p>
        </w:tc>
        <w:tc>
          <w:tcPr>
            <w:tcW w:w="1500" w:type="dxa"/>
            <w:shd w:val="clear" w:color="auto" w:fill="F2F2F2"/>
            <w:tcMar>
              <w:top w:w="80" w:type="dxa"/>
              <w:left w:w="100" w:type="dxa"/>
              <w:bottom w:w="80" w:type="dxa"/>
              <w:right w:w="100" w:type="dxa"/>
            </w:tcMar>
            <w:vAlign w:val="center"/>
          </w:tcPr>
          <w:p w14:paraId="150CAC37"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Form 3/4, Paper 3 Q1</w:t>
            </w:r>
          </w:p>
        </w:tc>
      </w:tr>
      <w:tr w:rsidR="00031E74" w:rsidRPr="003D30A1" w14:paraId="10B9D328" w14:textId="77777777">
        <w:tc>
          <w:tcPr>
            <w:tcW w:w="1700" w:type="dxa"/>
            <w:tcMar>
              <w:top w:w="80" w:type="dxa"/>
              <w:left w:w="100" w:type="dxa"/>
              <w:bottom w:w="80" w:type="dxa"/>
              <w:right w:w="100" w:type="dxa"/>
            </w:tcMar>
            <w:vAlign w:val="center"/>
          </w:tcPr>
          <w:p w14:paraId="4488A680"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2. Qualitative Inorganic Analysis</w:t>
            </w:r>
          </w:p>
        </w:tc>
        <w:tc>
          <w:tcPr>
            <w:tcW w:w="2900" w:type="dxa"/>
            <w:tcMar>
              <w:top w:w="80" w:type="dxa"/>
              <w:left w:w="100" w:type="dxa"/>
              <w:bottom w:w="80" w:type="dxa"/>
              <w:right w:w="100" w:type="dxa"/>
            </w:tcMar>
            <w:vAlign w:val="center"/>
          </w:tcPr>
          <w:p w14:paraId="49686806"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Cation tests (Fe²⁺, Fe³⁺, Cu²⁺, Al³⁺, Pb²⁺, Zn²⁺, Ca²⁺, NH₄⁺); anion &amp; gas identification; flame tests</w:t>
            </w:r>
          </w:p>
        </w:tc>
        <w:tc>
          <w:tcPr>
            <w:tcW w:w="3400" w:type="dxa"/>
            <w:tcMar>
              <w:top w:w="80" w:type="dxa"/>
              <w:left w:w="100" w:type="dxa"/>
              <w:bottom w:w="80" w:type="dxa"/>
              <w:right w:w="100" w:type="dxa"/>
            </w:tcMar>
            <w:vAlign w:val="center"/>
          </w:tcPr>
          <w:p w14:paraId="456B7AC2"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Dropwise reagent addition to excess, precipitate-dissolution observation, systematic inference logic</w:t>
            </w:r>
          </w:p>
        </w:tc>
        <w:tc>
          <w:tcPr>
            <w:tcW w:w="1500" w:type="dxa"/>
            <w:tcMar>
              <w:top w:w="80" w:type="dxa"/>
              <w:left w:w="100" w:type="dxa"/>
              <w:bottom w:w="80" w:type="dxa"/>
              <w:right w:w="100" w:type="dxa"/>
            </w:tcMar>
            <w:vAlign w:val="center"/>
          </w:tcPr>
          <w:p w14:paraId="47513061"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Form 4, Paper 3 Q2</w:t>
            </w:r>
          </w:p>
        </w:tc>
      </w:tr>
      <w:tr w:rsidR="00031E74" w:rsidRPr="003D30A1" w14:paraId="2468314D" w14:textId="77777777">
        <w:tc>
          <w:tcPr>
            <w:tcW w:w="1700" w:type="dxa"/>
            <w:shd w:val="clear" w:color="auto" w:fill="F2F2F2"/>
            <w:tcMar>
              <w:top w:w="80" w:type="dxa"/>
              <w:left w:w="100" w:type="dxa"/>
              <w:bottom w:w="80" w:type="dxa"/>
              <w:right w:w="100" w:type="dxa"/>
            </w:tcMar>
            <w:vAlign w:val="center"/>
          </w:tcPr>
          <w:p w14:paraId="43E657CF"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3. Chemical Kinetics</w:t>
            </w:r>
          </w:p>
        </w:tc>
        <w:tc>
          <w:tcPr>
            <w:tcW w:w="2900" w:type="dxa"/>
            <w:shd w:val="clear" w:color="auto" w:fill="F2F2F2"/>
            <w:tcMar>
              <w:top w:w="80" w:type="dxa"/>
              <w:left w:w="100" w:type="dxa"/>
              <w:bottom w:w="80" w:type="dxa"/>
              <w:right w:w="100" w:type="dxa"/>
            </w:tcMar>
            <w:vAlign w:val="center"/>
          </w:tcPr>
          <w:p w14:paraId="76C37577"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Thiosulphate + HCl (disappearing cross); Mg ribbon + acid (gas-syringe volume)</w:t>
            </w:r>
          </w:p>
        </w:tc>
        <w:tc>
          <w:tcPr>
            <w:tcW w:w="3400" w:type="dxa"/>
            <w:shd w:val="clear" w:color="auto" w:fill="F2F2F2"/>
            <w:tcMar>
              <w:top w:w="80" w:type="dxa"/>
              <w:left w:w="100" w:type="dxa"/>
              <w:bottom w:w="80" w:type="dxa"/>
              <w:right w:w="100" w:type="dxa"/>
            </w:tcMar>
            <w:vAlign w:val="center"/>
          </w:tcPr>
          <w:p w14:paraId="437E4B32"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Rate-curve plotting, gradient calculation, collision-theory interpretation</w:t>
            </w:r>
          </w:p>
        </w:tc>
        <w:tc>
          <w:tcPr>
            <w:tcW w:w="1500" w:type="dxa"/>
            <w:shd w:val="clear" w:color="auto" w:fill="F2F2F2"/>
            <w:tcMar>
              <w:top w:w="80" w:type="dxa"/>
              <w:left w:w="100" w:type="dxa"/>
              <w:bottom w:w="80" w:type="dxa"/>
              <w:right w:w="100" w:type="dxa"/>
            </w:tcMar>
            <w:vAlign w:val="center"/>
          </w:tcPr>
          <w:p w14:paraId="5F178578"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Form 4, Paper 3 Q3</w:t>
            </w:r>
          </w:p>
        </w:tc>
      </w:tr>
      <w:tr w:rsidR="00031E74" w:rsidRPr="003D30A1" w14:paraId="5E5EF333" w14:textId="77777777">
        <w:tc>
          <w:tcPr>
            <w:tcW w:w="1700" w:type="dxa"/>
            <w:tcMar>
              <w:top w:w="80" w:type="dxa"/>
              <w:left w:w="100" w:type="dxa"/>
              <w:bottom w:w="80" w:type="dxa"/>
              <w:right w:w="100" w:type="dxa"/>
            </w:tcMar>
            <w:vAlign w:val="center"/>
          </w:tcPr>
          <w:p w14:paraId="4C380F3E"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4. Chemical Energetics</w:t>
            </w:r>
          </w:p>
        </w:tc>
        <w:tc>
          <w:tcPr>
            <w:tcW w:w="2900" w:type="dxa"/>
            <w:tcMar>
              <w:top w:w="80" w:type="dxa"/>
              <w:left w:w="100" w:type="dxa"/>
              <w:bottom w:w="80" w:type="dxa"/>
              <w:right w:w="100" w:type="dxa"/>
            </w:tcMar>
            <w:vAlign w:val="center"/>
          </w:tcPr>
          <w:p w14:paraId="1DADA72D"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Enthalpy of neutralisation; enthalpy of solution &amp; displacement</w:t>
            </w:r>
          </w:p>
        </w:tc>
        <w:tc>
          <w:tcPr>
            <w:tcW w:w="3400" w:type="dxa"/>
            <w:tcMar>
              <w:top w:w="80" w:type="dxa"/>
              <w:left w:w="100" w:type="dxa"/>
              <w:bottom w:w="80" w:type="dxa"/>
              <w:right w:w="100" w:type="dxa"/>
            </w:tcMar>
            <w:vAlign w:val="center"/>
          </w:tcPr>
          <w:p w14:paraId="29F3212C"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Temperature–time extrapolation, specific heat capacity (ΔH = mcΔT)</w:t>
            </w:r>
          </w:p>
        </w:tc>
        <w:tc>
          <w:tcPr>
            <w:tcW w:w="1500" w:type="dxa"/>
            <w:tcMar>
              <w:top w:w="80" w:type="dxa"/>
              <w:left w:w="100" w:type="dxa"/>
              <w:bottom w:w="80" w:type="dxa"/>
              <w:right w:w="100" w:type="dxa"/>
            </w:tcMar>
            <w:vAlign w:val="center"/>
          </w:tcPr>
          <w:p w14:paraId="6F4C54D2"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Form 4, Paper 3 Q3</w:t>
            </w:r>
          </w:p>
        </w:tc>
      </w:tr>
      <w:tr w:rsidR="00031E74" w:rsidRPr="003D30A1" w14:paraId="6A046046" w14:textId="77777777">
        <w:tc>
          <w:tcPr>
            <w:tcW w:w="1700" w:type="dxa"/>
            <w:shd w:val="clear" w:color="auto" w:fill="F2F2F2"/>
            <w:tcMar>
              <w:top w:w="80" w:type="dxa"/>
              <w:left w:w="100" w:type="dxa"/>
              <w:bottom w:w="80" w:type="dxa"/>
              <w:right w:w="100" w:type="dxa"/>
            </w:tcMar>
            <w:vAlign w:val="center"/>
          </w:tcPr>
          <w:p w14:paraId="7BA4CF8E"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5. Solubility Curves</w:t>
            </w:r>
          </w:p>
        </w:tc>
        <w:tc>
          <w:tcPr>
            <w:tcW w:w="2900" w:type="dxa"/>
            <w:shd w:val="clear" w:color="auto" w:fill="F2F2F2"/>
            <w:tcMar>
              <w:top w:w="80" w:type="dxa"/>
              <w:left w:w="100" w:type="dxa"/>
              <w:bottom w:w="80" w:type="dxa"/>
              <w:right w:w="100" w:type="dxa"/>
            </w:tcMar>
            <w:vAlign w:val="center"/>
          </w:tcPr>
          <w:p w14:paraId="7CBB673B"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KClO₃ crystallisation-temperature measurement across dilutions</w:t>
            </w:r>
          </w:p>
        </w:tc>
        <w:tc>
          <w:tcPr>
            <w:tcW w:w="3400" w:type="dxa"/>
            <w:shd w:val="clear" w:color="auto" w:fill="F2F2F2"/>
            <w:tcMar>
              <w:top w:w="80" w:type="dxa"/>
              <w:left w:w="100" w:type="dxa"/>
              <w:bottom w:w="80" w:type="dxa"/>
              <w:right w:w="100" w:type="dxa"/>
            </w:tcMar>
            <w:vAlign w:val="center"/>
          </w:tcPr>
          <w:p w14:paraId="3C742AF6"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Cooling-curve determination, solubility-curve generation</w:t>
            </w:r>
          </w:p>
        </w:tc>
        <w:tc>
          <w:tcPr>
            <w:tcW w:w="1500" w:type="dxa"/>
            <w:shd w:val="clear" w:color="auto" w:fill="F2F2F2"/>
            <w:tcMar>
              <w:top w:w="80" w:type="dxa"/>
              <w:left w:w="100" w:type="dxa"/>
              <w:bottom w:w="80" w:type="dxa"/>
              <w:right w:w="100" w:type="dxa"/>
            </w:tcMar>
            <w:vAlign w:val="center"/>
          </w:tcPr>
          <w:p w14:paraId="4FA0E1D4"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Form 3, Topic 4</w:t>
            </w:r>
          </w:p>
        </w:tc>
      </w:tr>
      <w:tr w:rsidR="00031E74" w:rsidRPr="003D30A1" w14:paraId="70453E3A" w14:textId="77777777">
        <w:tc>
          <w:tcPr>
            <w:tcW w:w="1700" w:type="dxa"/>
            <w:tcMar>
              <w:top w:w="80" w:type="dxa"/>
              <w:left w:w="100" w:type="dxa"/>
              <w:bottom w:w="80" w:type="dxa"/>
              <w:right w:w="100" w:type="dxa"/>
            </w:tcMar>
            <w:vAlign w:val="center"/>
          </w:tcPr>
          <w:p w14:paraId="44EE4A9A"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6. Qualitative Organic Chemistry</w:t>
            </w:r>
          </w:p>
        </w:tc>
        <w:tc>
          <w:tcPr>
            <w:tcW w:w="2900" w:type="dxa"/>
            <w:tcMar>
              <w:top w:w="80" w:type="dxa"/>
              <w:left w:w="100" w:type="dxa"/>
              <w:bottom w:w="80" w:type="dxa"/>
              <w:right w:w="100" w:type="dxa"/>
            </w:tcMar>
            <w:vAlign w:val="center"/>
          </w:tcPr>
          <w:p w14:paraId="04B0C260"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Saturated vs. unsaturated hydrocarbons; carboxylic acids; alkanols</w:t>
            </w:r>
          </w:p>
        </w:tc>
        <w:tc>
          <w:tcPr>
            <w:tcW w:w="3400" w:type="dxa"/>
            <w:tcMar>
              <w:top w:w="80" w:type="dxa"/>
              <w:left w:w="100" w:type="dxa"/>
              <w:bottom w:w="80" w:type="dxa"/>
              <w:right w:w="100" w:type="dxa"/>
            </w:tcMar>
            <w:vAlign w:val="center"/>
          </w:tcPr>
          <w:p w14:paraId="0C1D9AD8"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Organic observation-table recording, functional-group inference</w:t>
            </w:r>
          </w:p>
        </w:tc>
        <w:tc>
          <w:tcPr>
            <w:tcW w:w="1500" w:type="dxa"/>
            <w:tcMar>
              <w:top w:w="80" w:type="dxa"/>
              <w:left w:w="100" w:type="dxa"/>
              <w:bottom w:w="80" w:type="dxa"/>
              <w:right w:w="100" w:type="dxa"/>
            </w:tcMar>
            <w:vAlign w:val="center"/>
          </w:tcPr>
          <w:p w14:paraId="66CA0C42"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Form 4, Organic Chem II</w:t>
            </w:r>
          </w:p>
        </w:tc>
      </w:tr>
      <w:tr w:rsidR="00031E74" w:rsidRPr="003D30A1" w14:paraId="1B7B5C07" w14:textId="77777777">
        <w:tc>
          <w:tcPr>
            <w:tcW w:w="1700" w:type="dxa"/>
            <w:shd w:val="clear" w:color="auto" w:fill="F2F2F2"/>
            <w:tcMar>
              <w:top w:w="80" w:type="dxa"/>
              <w:left w:w="100" w:type="dxa"/>
              <w:bottom w:w="80" w:type="dxa"/>
              <w:right w:w="100" w:type="dxa"/>
            </w:tcMar>
            <w:vAlign w:val="center"/>
          </w:tcPr>
          <w:p w14:paraId="2B7139BF"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7. Composite Mock Examination</w:t>
            </w:r>
          </w:p>
        </w:tc>
        <w:tc>
          <w:tcPr>
            <w:tcW w:w="2900" w:type="dxa"/>
            <w:shd w:val="clear" w:color="auto" w:fill="F2F2F2"/>
            <w:tcMar>
              <w:top w:w="80" w:type="dxa"/>
              <w:left w:w="100" w:type="dxa"/>
              <w:bottom w:w="80" w:type="dxa"/>
              <w:right w:w="100" w:type="dxa"/>
            </w:tcMar>
            <w:vAlign w:val="center"/>
          </w:tcPr>
          <w:p w14:paraId="31C125D6"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Full 3-question timed composite practical replicating KCSE Paper 3</w:t>
            </w:r>
          </w:p>
        </w:tc>
        <w:tc>
          <w:tcPr>
            <w:tcW w:w="3400" w:type="dxa"/>
            <w:shd w:val="clear" w:color="auto" w:fill="F2F2F2"/>
            <w:tcMar>
              <w:top w:w="80" w:type="dxa"/>
              <w:left w:w="100" w:type="dxa"/>
              <w:bottom w:w="80" w:type="dxa"/>
              <w:right w:w="100" w:type="dxa"/>
            </w:tcMar>
            <w:vAlign w:val="center"/>
          </w:tcPr>
          <w:p w14:paraId="59D5473A"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Exam pacing, data transcription, comprehensive mark-scheme grading</w:t>
            </w:r>
          </w:p>
        </w:tc>
        <w:tc>
          <w:tcPr>
            <w:tcW w:w="1500" w:type="dxa"/>
            <w:shd w:val="clear" w:color="auto" w:fill="F2F2F2"/>
            <w:tcMar>
              <w:top w:w="80" w:type="dxa"/>
              <w:left w:w="100" w:type="dxa"/>
              <w:bottom w:w="80" w:type="dxa"/>
              <w:right w:w="100" w:type="dxa"/>
            </w:tcMar>
            <w:vAlign w:val="center"/>
          </w:tcPr>
          <w:p w14:paraId="661A56A8"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All Forms</w:t>
            </w:r>
          </w:p>
        </w:tc>
      </w:tr>
    </w:tbl>
    <w:p w14:paraId="668628B8"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3.6 Technical Specifications</w:t>
      </w:r>
    </w:p>
    <w:p w14:paraId="43D5132E"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 xml:space="preserve">Frontend: </w:t>
      </w:r>
      <w:r w:rsidRPr="003D30A1">
        <w:rPr>
          <w:rFonts w:ascii="Times New Roman" w:hAnsi="Times New Roman" w:cs="Times New Roman"/>
          <w:color w:val="000000" w:themeColor="text1"/>
          <w:lang w:val="en-GB"/>
        </w:rPr>
        <w:t xml:space="preserve">Semantic HTML5, responsive vanilla CSS3 design tokens, vanilla ECMAScript 2022 — no React/Vue bundle overhead. </w:t>
      </w:r>
      <w:r w:rsidRPr="003D30A1">
        <w:rPr>
          <w:rFonts w:ascii="Times New Roman" w:hAnsi="Times New Roman" w:cs="Times New Roman"/>
          <w:b/>
          <w:bCs/>
          <w:color w:val="000000" w:themeColor="text1"/>
          <w:lang w:val="en-GB"/>
        </w:rPr>
        <w:t xml:space="preserve">Offline &amp; Storage: </w:t>
      </w:r>
      <w:r w:rsidRPr="003D30A1">
        <w:rPr>
          <w:rFonts w:ascii="Times New Roman" w:hAnsi="Times New Roman" w:cs="Times New Roman"/>
          <w:color w:val="000000" w:themeColor="text1"/>
          <w:lang w:val="en-GB"/>
        </w:rPr>
        <w:t xml:space="preserve">Progressive Web App with service-worker Cache-First / Stale-While-Revalidate strategies; complete local simulation execution with a background sync queue for telemetry. </w:t>
      </w:r>
      <w:r w:rsidRPr="003D30A1">
        <w:rPr>
          <w:rFonts w:ascii="Times New Roman" w:hAnsi="Times New Roman" w:cs="Times New Roman"/>
          <w:b/>
          <w:bCs/>
          <w:color w:val="000000" w:themeColor="text1"/>
          <w:lang w:val="en-GB"/>
        </w:rPr>
        <w:t xml:space="preserve">Backend API: </w:t>
      </w:r>
      <w:r w:rsidRPr="003D30A1">
        <w:rPr>
          <w:rFonts w:ascii="Times New Roman" w:hAnsi="Times New Roman" w:cs="Times New Roman"/>
          <w:color w:val="000000" w:themeColor="text1"/>
          <w:lang w:val="en-GB"/>
        </w:rPr>
        <w:t xml:space="preserve">Node.js (v18+) with Express, helmet security headers, CORS protection, and express-rate-limit. </w:t>
      </w:r>
      <w:r w:rsidRPr="003D30A1">
        <w:rPr>
          <w:rFonts w:ascii="Times New Roman" w:hAnsi="Times New Roman" w:cs="Times New Roman"/>
          <w:b/>
          <w:bCs/>
          <w:color w:val="000000" w:themeColor="text1"/>
          <w:lang w:val="en-GB"/>
        </w:rPr>
        <w:t xml:space="preserve">Database: </w:t>
      </w:r>
      <w:r w:rsidRPr="003D30A1">
        <w:rPr>
          <w:rFonts w:ascii="Times New Roman" w:hAnsi="Times New Roman" w:cs="Times New Roman"/>
          <w:color w:val="000000" w:themeColor="text1"/>
          <w:lang w:val="en-GB"/>
        </w:rPr>
        <w:t xml:space="preserve">PostgreSQL with relational integrity, foreign keys, B-tree indexes on session queries, and versioned migrations. </w:t>
      </w:r>
      <w:r w:rsidRPr="003D30A1">
        <w:rPr>
          <w:rFonts w:ascii="Times New Roman" w:hAnsi="Times New Roman" w:cs="Times New Roman"/>
          <w:b/>
          <w:bCs/>
          <w:color w:val="000000" w:themeColor="text1"/>
          <w:lang w:val="en-GB"/>
        </w:rPr>
        <w:t xml:space="preserve">Authentication &amp; Authorization: </w:t>
      </w:r>
      <w:r w:rsidRPr="003D30A1">
        <w:rPr>
          <w:rFonts w:ascii="Times New Roman" w:hAnsi="Times New Roman" w:cs="Times New Roman"/>
          <w:color w:val="000000" w:themeColor="text1"/>
          <w:lang w:val="en-GB"/>
        </w:rPr>
        <w:t xml:space="preserve">Stateless JSON Web Tokens signed </w:t>
      </w:r>
      <w:r w:rsidRPr="003D30A1">
        <w:rPr>
          <w:rFonts w:ascii="Times New Roman" w:hAnsi="Times New Roman" w:cs="Times New Roman"/>
          <w:color w:val="000000" w:themeColor="text1"/>
          <w:lang w:val="en-GB"/>
        </w:rPr>
        <w:lastRenderedPageBreak/>
        <w:t xml:space="preserve">with HMAC-SHA256, bcrypt password hashing (work factor 10), and strict role-based access control (student, teacher, admin). </w:t>
      </w:r>
      <w:r w:rsidRPr="003D30A1">
        <w:rPr>
          <w:rFonts w:ascii="Times New Roman" w:hAnsi="Times New Roman" w:cs="Times New Roman"/>
          <w:b/>
          <w:bCs/>
          <w:color w:val="000000" w:themeColor="text1"/>
          <w:lang w:val="en-GB"/>
        </w:rPr>
        <w:t xml:space="preserve">Telemetry &amp; Diagnostic Logging: </w:t>
      </w:r>
      <w:r w:rsidRPr="003D30A1">
        <w:rPr>
          <w:rFonts w:ascii="Times New Roman" w:hAnsi="Times New Roman" w:cs="Times New Roman"/>
          <w:color w:val="000000" w:themeColor="text1"/>
          <w:lang w:val="en-GB"/>
        </w:rPr>
        <w:t>Automated logging of step timestamps, trial counts, titre discrepancy, calculation errors, and hint utilisation.</w:t>
      </w:r>
    </w:p>
    <w:p w14:paraId="604D9A9C"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3.7 Development Process</w:t>
      </w:r>
    </w:p>
    <w:p w14:paraId="1C3136C7"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The development follows a 12-month plan structured in ADDE phases: Needs Assessment (completed prototype scoping), Design &amp; Development (Phases 1–5, building the frontend, backend, and specific titration modules), and Validation &amp; Piloting (Phase 6, testing with target users).</w:t>
      </w:r>
    </w:p>
    <w:p w14:paraId="270F3D8C"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3.8 Prototype / Product / Programme Development</w:t>
      </w:r>
    </w:p>
    <w:p w14:paraId="0EB8E1C1"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A working prototype of VirtuLab Kenya has been successfully developed as a single-file application. Completed features include four titration types (acid–base, redox, precipitation, complexometric), an interactive indicator dropper and magnified burette view (reading to 0.05 cm³), a KNEC-format results table and on-demand pH curve visualisations, 17 real KCSE past paper questions (1989–2013) with full text and answer checking, and three visual UI themes (Clean White, Slate Blue Dark, Lab Green).</w:t>
      </w:r>
    </w:p>
    <w:p w14:paraId="65B95DF0"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3.9 Stakeholder Engagement and Validation</w:t>
      </w:r>
    </w:p>
    <w:p w14:paraId="13559C34"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Relevant stakeholders, including CEMASTEA, KICD, and KNEC, will be engaged for platform demonstrations, alignment mapping, and feedback. The CPCAT instrument and simulation content will additionally be validated by experienced KCSE national examiners. Academic oversight will be provided by Open University of Kenya supervisors.</w:t>
      </w:r>
    </w:p>
    <w:p w14:paraId="56562C77"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3.10 Pilot Testing / Pre-Testing</w:t>
      </w:r>
    </w:p>
    <w:p w14:paraId="42F4A633"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 xml:space="preserve">Participants: </w:t>
      </w:r>
      <w:r w:rsidRPr="003D30A1">
        <w:rPr>
          <w:rFonts w:ascii="Times New Roman" w:hAnsi="Times New Roman" w:cs="Times New Roman"/>
          <w:color w:val="000000" w:themeColor="text1"/>
          <w:lang w:val="en-GB"/>
        </w:rPr>
        <w:t xml:space="preserve">Approximately 600 Form 3 and 4 students and 20 chemistry teachers, stratified across 10 schools (National/Extra-County, County, and Sub-County categories). </w:t>
      </w:r>
      <w:r w:rsidRPr="003D30A1">
        <w:rPr>
          <w:rFonts w:ascii="Times New Roman" w:hAnsi="Times New Roman" w:cs="Times New Roman"/>
          <w:b/>
          <w:bCs/>
          <w:color w:val="000000" w:themeColor="text1"/>
          <w:lang w:val="en-GB"/>
        </w:rPr>
        <w:t xml:space="preserve">Setting: </w:t>
      </w:r>
      <w:r w:rsidRPr="003D30A1">
        <w:rPr>
          <w:rFonts w:ascii="Times New Roman" w:hAnsi="Times New Roman" w:cs="Times New Roman"/>
          <w:color w:val="000000" w:themeColor="text1"/>
          <w:lang w:val="en-GB"/>
        </w:rPr>
        <w:t xml:space="preserve">Partner schools spanning Nairobi, Machakos, and Kiambu counties. </w:t>
      </w:r>
      <w:r w:rsidRPr="003D30A1">
        <w:rPr>
          <w:rFonts w:ascii="Times New Roman" w:hAnsi="Times New Roman" w:cs="Times New Roman"/>
          <w:b/>
          <w:bCs/>
          <w:color w:val="000000" w:themeColor="text1"/>
          <w:lang w:val="en-GB"/>
        </w:rPr>
        <w:t xml:space="preserve">Procedures: </w:t>
      </w:r>
      <w:r w:rsidRPr="003D30A1">
        <w:rPr>
          <w:rFonts w:ascii="Times New Roman" w:hAnsi="Times New Roman" w:cs="Times New Roman"/>
          <w:color w:val="000000" w:themeColor="text1"/>
          <w:lang w:val="en-GB"/>
        </w:rPr>
        <w:t xml:space="preserve">An 8-week intervention period of independent and assigned student use, following pre-testing. </w:t>
      </w:r>
      <w:r w:rsidRPr="003D30A1">
        <w:rPr>
          <w:rFonts w:ascii="Times New Roman" w:hAnsi="Times New Roman" w:cs="Times New Roman"/>
          <w:b/>
          <w:bCs/>
          <w:color w:val="000000" w:themeColor="text1"/>
          <w:lang w:val="en-GB"/>
        </w:rPr>
        <w:t xml:space="preserve">Feedback: </w:t>
      </w:r>
      <w:r w:rsidRPr="003D30A1">
        <w:rPr>
          <w:rFonts w:ascii="Times New Roman" w:hAnsi="Times New Roman" w:cs="Times New Roman"/>
          <w:color w:val="000000" w:themeColor="text1"/>
          <w:lang w:val="en-GB"/>
        </w:rPr>
        <w:t>Gathered via CPCAT pre-/post-tests, SUS, TAM questionnaires, and qualitative interviews.</w:t>
      </w:r>
    </w:p>
    <w:p w14:paraId="3E98CB9E"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3.11 Revision and Refinement of the Intervention</w:t>
      </w:r>
    </w:p>
    <w:p w14:paraId="06C8451E"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Three iterations have already been completed based on early testing: adding an indicator dropper mechanic, organising the UI into five distinct tabs (Experiment, Results Table, Calculation, Past Papers, Help) to prevent information overload, and redesigning control buttons for better screen utilisation. Further refinements will follow the pilot.</w:t>
      </w:r>
    </w:p>
    <w:p w14:paraId="4C1045C5" w14:textId="77777777" w:rsidR="00941884" w:rsidRPr="003D30A1" w:rsidRDefault="00941884">
      <w:pPr>
        <w:spacing w:after="200" w:line="276" w:lineRule="auto"/>
        <w:jc w:val="both"/>
        <w:rPr>
          <w:rFonts w:ascii="Times New Roman" w:hAnsi="Times New Roman" w:cs="Times New Roman"/>
          <w:color w:val="000000" w:themeColor="text1"/>
          <w:lang w:val="en-GB"/>
        </w:rPr>
      </w:pPr>
    </w:p>
    <w:p w14:paraId="27518769" w14:textId="77777777" w:rsidR="00941884" w:rsidRPr="003D30A1" w:rsidRDefault="00941884">
      <w:pPr>
        <w:spacing w:after="200" w:line="276" w:lineRule="auto"/>
        <w:jc w:val="both"/>
        <w:rPr>
          <w:rFonts w:ascii="Times New Roman" w:hAnsi="Times New Roman" w:cs="Times New Roman"/>
          <w:color w:val="000000" w:themeColor="text1"/>
          <w:lang w:val="en-GB"/>
        </w:rPr>
      </w:pPr>
    </w:p>
    <w:p w14:paraId="71ED31F5" w14:textId="77777777" w:rsidR="00941884" w:rsidRPr="003D30A1" w:rsidRDefault="00941884">
      <w:pPr>
        <w:spacing w:after="200" w:line="276" w:lineRule="auto"/>
        <w:jc w:val="both"/>
        <w:rPr>
          <w:rFonts w:ascii="Times New Roman" w:hAnsi="Times New Roman" w:cs="Times New Roman"/>
          <w:color w:val="000000" w:themeColor="text1"/>
          <w:lang w:val="en-GB"/>
        </w:rPr>
      </w:pPr>
    </w:p>
    <w:p w14:paraId="33A2816F"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lastRenderedPageBreak/>
        <w:t>3.12 Implementation Plan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000"/>
        <w:gridCol w:w="1400"/>
        <w:gridCol w:w="3400"/>
      </w:tblGrid>
      <w:tr w:rsidR="00031E74" w:rsidRPr="003D30A1" w14:paraId="47F41D0D" w14:textId="77777777">
        <w:trPr>
          <w:tblHeader/>
        </w:trPr>
        <w:tc>
          <w:tcPr>
            <w:tcW w:w="700" w:type="dxa"/>
            <w:shd w:val="clear" w:color="auto" w:fill="1F3864"/>
            <w:tcMar>
              <w:top w:w="100" w:type="dxa"/>
              <w:left w:w="100" w:type="dxa"/>
              <w:bottom w:w="100" w:type="dxa"/>
              <w:right w:w="100" w:type="dxa"/>
            </w:tcMar>
            <w:vAlign w:val="center"/>
          </w:tcPr>
          <w:p w14:paraId="7C4C5BDB"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Phase</w:t>
            </w:r>
          </w:p>
        </w:tc>
        <w:tc>
          <w:tcPr>
            <w:tcW w:w="4000" w:type="dxa"/>
            <w:shd w:val="clear" w:color="auto" w:fill="1F3864"/>
            <w:tcMar>
              <w:top w:w="100" w:type="dxa"/>
              <w:left w:w="100" w:type="dxa"/>
              <w:bottom w:w="100" w:type="dxa"/>
              <w:right w:w="100" w:type="dxa"/>
            </w:tcMar>
            <w:vAlign w:val="center"/>
          </w:tcPr>
          <w:p w14:paraId="186CED47"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Milestone / Key Deliverables</w:t>
            </w:r>
          </w:p>
        </w:tc>
        <w:tc>
          <w:tcPr>
            <w:tcW w:w="1400" w:type="dxa"/>
            <w:shd w:val="clear" w:color="auto" w:fill="1F3864"/>
            <w:tcMar>
              <w:top w:w="100" w:type="dxa"/>
              <w:left w:w="100" w:type="dxa"/>
              <w:bottom w:w="100" w:type="dxa"/>
              <w:right w:w="100" w:type="dxa"/>
            </w:tcMar>
            <w:vAlign w:val="center"/>
          </w:tcPr>
          <w:p w14:paraId="25D77511"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Timeline</w:t>
            </w:r>
          </w:p>
        </w:tc>
        <w:tc>
          <w:tcPr>
            <w:tcW w:w="3400" w:type="dxa"/>
            <w:shd w:val="clear" w:color="auto" w:fill="1F3864"/>
            <w:tcMar>
              <w:top w:w="100" w:type="dxa"/>
              <w:left w:w="100" w:type="dxa"/>
              <w:bottom w:w="100" w:type="dxa"/>
              <w:right w:w="100" w:type="dxa"/>
            </w:tcMar>
            <w:vAlign w:val="center"/>
          </w:tcPr>
          <w:p w14:paraId="55B2D076"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Verification Criterion</w:t>
            </w:r>
          </w:p>
        </w:tc>
      </w:tr>
      <w:tr w:rsidR="00031E74" w:rsidRPr="003D30A1" w14:paraId="51F632E8" w14:textId="77777777">
        <w:tc>
          <w:tcPr>
            <w:tcW w:w="700" w:type="dxa"/>
            <w:shd w:val="clear" w:color="auto" w:fill="F2F2F2"/>
            <w:tcMar>
              <w:top w:w="80" w:type="dxa"/>
              <w:left w:w="100" w:type="dxa"/>
              <w:bottom w:w="80" w:type="dxa"/>
              <w:right w:w="100" w:type="dxa"/>
            </w:tcMar>
            <w:vAlign w:val="center"/>
          </w:tcPr>
          <w:p w14:paraId="7B0B61EC"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1</w:t>
            </w:r>
          </w:p>
        </w:tc>
        <w:tc>
          <w:tcPr>
            <w:tcW w:w="4000" w:type="dxa"/>
            <w:shd w:val="clear" w:color="auto" w:fill="F2F2F2"/>
            <w:tcMar>
              <w:top w:w="80" w:type="dxa"/>
              <w:left w:w="100" w:type="dxa"/>
              <w:bottom w:w="80" w:type="dxa"/>
              <w:right w:w="100" w:type="dxa"/>
            </w:tcMar>
            <w:vAlign w:val="center"/>
          </w:tcPr>
          <w:p w14:paraId="7EB891A4"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Requirements specification &amp; KICD alignment matrix; Node.js/PostgreSQL backend &amp; PWA service-worker scaffolding</w:t>
            </w:r>
          </w:p>
        </w:tc>
        <w:tc>
          <w:tcPr>
            <w:tcW w:w="1400" w:type="dxa"/>
            <w:shd w:val="clear" w:color="auto" w:fill="F2F2F2"/>
            <w:tcMar>
              <w:top w:w="80" w:type="dxa"/>
              <w:left w:w="100" w:type="dxa"/>
              <w:bottom w:w="80" w:type="dxa"/>
              <w:right w:w="100" w:type="dxa"/>
            </w:tcMar>
            <w:vAlign w:val="center"/>
          </w:tcPr>
          <w:p w14:paraId="09B84AF9"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Months 1–2</w:t>
            </w:r>
          </w:p>
        </w:tc>
        <w:tc>
          <w:tcPr>
            <w:tcW w:w="3400" w:type="dxa"/>
            <w:shd w:val="clear" w:color="auto" w:fill="F2F2F2"/>
            <w:tcMar>
              <w:top w:w="80" w:type="dxa"/>
              <w:left w:w="100" w:type="dxa"/>
              <w:bottom w:w="80" w:type="dxa"/>
              <w:right w:w="100" w:type="dxa"/>
            </w:tcMar>
            <w:vAlign w:val="center"/>
          </w:tcPr>
          <w:p w14:paraId="7E20F8D0"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Working auth API; database schema migrations passed.</w:t>
            </w:r>
          </w:p>
        </w:tc>
      </w:tr>
      <w:tr w:rsidR="00031E74" w:rsidRPr="003D30A1" w14:paraId="334535E6" w14:textId="77777777">
        <w:tc>
          <w:tcPr>
            <w:tcW w:w="700" w:type="dxa"/>
            <w:tcMar>
              <w:top w:w="80" w:type="dxa"/>
              <w:left w:w="100" w:type="dxa"/>
              <w:bottom w:w="80" w:type="dxa"/>
              <w:right w:w="100" w:type="dxa"/>
            </w:tcMar>
            <w:vAlign w:val="center"/>
          </w:tcPr>
          <w:p w14:paraId="6D0BC51F"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2</w:t>
            </w:r>
          </w:p>
        </w:tc>
        <w:tc>
          <w:tcPr>
            <w:tcW w:w="4000" w:type="dxa"/>
            <w:tcMar>
              <w:top w:w="80" w:type="dxa"/>
              <w:left w:w="100" w:type="dxa"/>
              <w:bottom w:w="80" w:type="dxa"/>
              <w:right w:w="100" w:type="dxa"/>
            </w:tcMar>
            <w:vAlign w:val="center"/>
          </w:tcPr>
          <w:p w14:paraId="7796241B"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Volumetric titration engine (acid-base, redox, precipitation, complexometric); kinetics &amp; equilibria engine</w:t>
            </w:r>
          </w:p>
        </w:tc>
        <w:tc>
          <w:tcPr>
            <w:tcW w:w="1400" w:type="dxa"/>
            <w:tcMar>
              <w:top w:w="80" w:type="dxa"/>
              <w:left w:w="100" w:type="dxa"/>
              <w:bottom w:w="80" w:type="dxa"/>
              <w:right w:w="100" w:type="dxa"/>
            </w:tcMar>
            <w:vAlign w:val="center"/>
          </w:tcPr>
          <w:p w14:paraId="55F404BC"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Months 3–4</w:t>
            </w:r>
          </w:p>
        </w:tc>
        <w:tc>
          <w:tcPr>
            <w:tcW w:w="3400" w:type="dxa"/>
            <w:tcMar>
              <w:top w:w="80" w:type="dxa"/>
              <w:left w:w="100" w:type="dxa"/>
              <w:bottom w:w="80" w:type="dxa"/>
              <w:right w:w="100" w:type="dxa"/>
            </w:tcMar>
            <w:vAlign w:val="center"/>
          </w:tcPr>
          <w:p w14:paraId="0D6693EA"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Precision burette simulation with concordance checks verified.</w:t>
            </w:r>
          </w:p>
        </w:tc>
      </w:tr>
      <w:tr w:rsidR="00031E74" w:rsidRPr="003D30A1" w14:paraId="7BDA6702" w14:textId="77777777">
        <w:tc>
          <w:tcPr>
            <w:tcW w:w="700" w:type="dxa"/>
            <w:shd w:val="clear" w:color="auto" w:fill="F2F2F2"/>
            <w:tcMar>
              <w:top w:w="80" w:type="dxa"/>
              <w:left w:w="100" w:type="dxa"/>
              <w:bottom w:w="80" w:type="dxa"/>
              <w:right w:w="100" w:type="dxa"/>
            </w:tcMar>
            <w:vAlign w:val="center"/>
          </w:tcPr>
          <w:p w14:paraId="013193BF"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3</w:t>
            </w:r>
          </w:p>
        </w:tc>
        <w:tc>
          <w:tcPr>
            <w:tcW w:w="4000" w:type="dxa"/>
            <w:shd w:val="clear" w:color="auto" w:fill="F2F2F2"/>
            <w:tcMar>
              <w:top w:w="80" w:type="dxa"/>
              <w:left w:w="100" w:type="dxa"/>
              <w:bottom w:w="80" w:type="dxa"/>
              <w:right w:w="100" w:type="dxa"/>
            </w:tcMar>
            <w:vAlign w:val="center"/>
          </w:tcPr>
          <w:p w14:paraId="65FDBC09"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Qualitative inorganic analysis, energetics, solubility &amp; organic tests; student dashboard, badges &amp; certificates</w:t>
            </w:r>
          </w:p>
        </w:tc>
        <w:tc>
          <w:tcPr>
            <w:tcW w:w="1400" w:type="dxa"/>
            <w:shd w:val="clear" w:color="auto" w:fill="F2F2F2"/>
            <w:tcMar>
              <w:top w:w="80" w:type="dxa"/>
              <w:left w:w="100" w:type="dxa"/>
              <w:bottom w:w="80" w:type="dxa"/>
              <w:right w:w="100" w:type="dxa"/>
            </w:tcMar>
            <w:vAlign w:val="center"/>
          </w:tcPr>
          <w:p w14:paraId="52238135"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Months 5–6</w:t>
            </w:r>
          </w:p>
        </w:tc>
        <w:tc>
          <w:tcPr>
            <w:tcW w:w="3400" w:type="dxa"/>
            <w:shd w:val="clear" w:color="auto" w:fill="F2F2F2"/>
            <w:tcMar>
              <w:top w:w="80" w:type="dxa"/>
              <w:left w:w="100" w:type="dxa"/>
              <w:bottom w:w="80" w:type="dxa"/>
              <w:right w:w="100" w:type="dxa"/>
            </w:tcMar>
            <w:vAlign w:val="center"/>
          </w:tcPr>
          <w:p w14:paraId="3720AEB0"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7 complete simulation modules functioning fully offline.</w:t>
            </w:r>
          </w:p>
        </w:tc>
      </w:tr>
      <w:tr w:rsidR="00031E74" w:rsidRPr="003D30A1" w14:paraId="5D7D5062" w14:textId="77777777">
        <w:tc>
          <w:tcPr>
            <w:tcW w:w="700" w:type="dxa"/>
            <w:tcMar>
              <w:top w:w="80" w:type="dxa"/>
              <w:left w:w="100" w:type="dxa"/>
              <w:bottom w:w="80" w:type="dxa"/>
              <w:right w:w="100" w:type="dxa"/>
            </w:tcMar>
            <w:vAlign w:val="center"/>
          </w:tcPr>
          <w:p w14:paraId="04AEA61A"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4</w:t>
            </w:r>
          </w:p>
        </w:tc>
        <w:tc>
          <w:tcPr>
            <w:tcW w:w="4000" w:type="dxa"/>
            <w:tcMar>
              <w:top w:w="80" w:type="dxa"/>
              <w:left w:w="100" w:type="dxa"/>
              <w:bottom w:w="80" w:type="dxa"/>
              <w:right w:w="100" w:type="dxa"/>
            </w:tcMar>
            <w:vAlign w:val="center"/>
          </w:tcPr>
          <w:p w14:paraId="3B26D5FD"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Teacher dashboard with telemetry analytics &amp; assignment broadcasting; timed composite mock exam module</w:t>
            </w:r>
          </w:p>
        </w:tc>
        <w:tc>
          <w:tcPr>
            <w:tcW w:w="1400" w:type="dxa"/>
            <w:tcMar>
              <w:top w:w="80" w:type="dxa"/>
              <w:left w:w="100" w:type="dxa"/>
              <w:bottom w:w="80" w:type="dxa"/>
              <w:right w:w="100" w:type="dxa"/>
            </w:tcMar>
            <w:vAlign w:val="center"/>
          </w:tcPr>
          <w:p w14:paraId="5BEC1AA2"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Months 7–8</w:t>
            </w:r>
          </w:p>
        </w:tc>
        <w:tc>
          <w:tcPr>
            <w:tcW w:w="3400" w:type="dxa"/>
            <w:tcMar>
              <w:top w:w="80" w:type="dxa"/>
              <w:left w:w="100" w:type="dxa"/>
              <w:bottom w:w="80" w:type="dxa"/>
              <w:right w:w="100" w:type="dxa"/>
            </w:tcMar>
            <w:vAlign w:val="center"/>
          </w:tcPr>
          <w:p w14:paraId="0BC69CE2"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Multi-school teacher/student role access successfully tested.</w:t>
            </w:r>
          </w:p>
        </w:tc>
      </w:tr>
      <w:tr w:rsidR="00031E74" w:rsidRPr="003D30A1" w14:paraId="4E6240B0" w14:textId="77777777">
        <w:tc>
          <w:tcPr>
            <w:tcW w:w="700" w:type="dxa"/>
            <w:shd w:val="clear" w:color="auto" w:fill="F2F2F2"/>
            <w:tcMar>
              <w:top w:w="80" w:type="dxa"/>
              <w:left w:w="100" w:type="dxa"/>
              <w:bottom w:w="80" w:type="dxa"/>
              <w:right w:w="100" w:type="dxa"/>
            </w:tcMar>
            <w:vAlign w:val="center"/>
          </w:tcPr>
          <w:p w14:paraId="2B81A7FA"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5</w:t>
            </w:r>
          </w:p>
        </w:tc>
        <w:tc>
          <w:tcPr>
            <w:tcW w:w="4000" w:type="dxa"/>
            <w:shd w:val="clear" w:color="auto" w:fill="F2F2F2"/>
            <w:tcMar>
              <w:top w:w="80" w:type="dxa"/>
              <w:left w:w="100" w:type="dxa"/>
              <w:bottom w:w="80" w:type="dxa"/>
              <w:right w:w="100" w:type="dxa"/>
            </w:tcMar>
            <w:vAlign w:val="center"/>
          </w:tcPr>
          <w:p w14:paraId="2815FCA3"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NACOSTI research ethics clearance obtained; 10 pilot schools onboarded, pre-tests administered, 8-week intervention begins</w:t>
            </w:r>
          </w:p>
        </w:tc>
        <w:tc>
          <w:tcPr>
            <w:tcW w:w="1400" w:type="dxa"/>
            <w:shd w:val="clear" w:color="auto" w:fill="F2F2F2"/>
            <w:tcMar>
              <w:top w:w="80" w:type="dxa"/>
              <w:left w:w="100" w:type="dxa"/>
              <w:bottom w:w="80" w:type="dxa"/>
              <w:right w:w="100" w:type="dxa"/>
            </w:tcMar>
            <w:vAlign w:val="center"/>
          </w:tcPr>
          <w:p w14:paraId="6E89B262"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Months 9–10</w:t>
            </w:r>
          </w:p>
        </w:tc>
        <w:tc>
          <w:tcPr>
            <w:tcW w:w="3400" w:type="dxa"/>
            <w:shd w:val="clear" w:color="auto" w:fill="F2F2F2"/>
            <w:tcMar>
              <w:top w:w="80" w:type="dxa"/>
              <w:left w:w="100" w:type="dxa"/>
              <w:bottom w:w="80" w:type="dxa"/>
              <w:right w:w="100" w:type="dxa"/>
            </w:tcMar>
            <w:vAlign w:val="center"/>
          </w:tcPr>
          <w:p w14:paraId="338D4A25"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Active student usage logs recorded across ≥600 learners.</w:t>
            </w:r>
          </w:p>
        </w:tc>
      </w:tr>
      <w:tr w:rsidR="00031E74" w:rsidRPr="003D30A1" w14:paraId="7279D2E4" w14:textId="77777777">
        <w:tc>
          <w:tcPr>
            <w:tcW w:w="700" w:type="dxa"/>
            <w:tcMar>
              <w:top w:w="80" w:type="dxa"/>
              <w:left w:w="100" w:type="dxa"/>
              <w:bottom w:w="80" w:type="dxa"/>
              <w:right w:w="100" w:type="dxa"/>
            </w:tcMar>
            <w:vAlign w:val="center"/>
          </w:tcPr>
          <w:p w14:paraId="2A587236"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6</w:t>
            </w:r>
          </w:p>
        </w:tc>
        <w:tc>
          <w:tcPr>
            <w:tcW w:w="4000" w:type="dxa"/>
            <w:tcMar>
              <w:top w:w="80" w:type="dxa"/>
              <w:left w:w="100" w:type="dxa"/>
              <w:bottom w:w="80" w:type="dxa"/>
              <w:right w:w="100" w:type="dxa"/>
            </w:tcMar>
            <w:vAlign w:val="center"/>
          </w:tcPr>
          <w:p w14:paraId="1E224607"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Post-tests, TAM &amp; SUS questionnaires administered; statistical analysis (ANCOVA, Cohen’s d, TAM regression); dissertation submission &amp; KICD policy brief</w:t>
            </w:r>
          </w:p>
        </w:tc>
        <w:tc>
          <w:tcPr>
            <w:tcW w:w="1400" w:type="dxa"/>
            <w:tcMar>
              <w:top w:w="80" w:type="dxa"/>
              <w:left w:w="100" w:type="dxa"/>
              <w:bottom w:w="80" w:type="dxa"/>
              <w:right w:w="100" w:type="dxa"/>
            </w:tcMar>
            <w:vAlign w:val="center"/>
          </w:tcPr>
          <w:p w14:paraId="23E54E2A"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Months 11–12</w:t>
            </w:r>
          </w:p>
        </w:tc>
        <w:tc>
          <w:tcPr>
            <w:tcW w:w="3400" w:type="dxa"/>
            <w:tcMar>
              <w:top w:w="80" w:type="dxa"/>
              <w:left w:w="100" w:type="dxa"/>
              <w:bottom w:w="80" w:type="dxa"/>
              <w:right w:w="100" w:type="dxa"/>
            </w:tcMar>
            <w:vAlign w:val="center"/>
          </w:tcPr>
          <w:p w14:paraId="2EF47002"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Final dissertation defended; open-source codebase published.</w:t>
            </w:r>
          </w:p>
        </w:tc>
      </w:tr>
    </w:tbl>
    <w:p w14:paraId="469C70AF"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3.13 Resource Requirements and Budget</w:t>
      </w:r>
    </w:p>
    <w:p w14:paraId="7A9BCD27"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The project budget reflects lean, sustainable resource allocation for pilot development, cloud hosting, field testing across sub-county schools, and research dissemination.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1400"/>
        <w:gridCol w:w="1300"/>
      </w:tblGrid>
      <w:tr w:rsidR="00031E74" w:rsidRPr="003D30A1" w14:paraId="43116FB7" w14:textId="77777777">
        <w:trPr>
          <w:tblHeader/>
        </w:trPr>
        <w:tc>
          <w:tcPr>
            <w:tcW w:w="2600" w:type="dxa"/>
            <w:shd w:val="clear" w:color="auto" w:fill="1F3864"/>
            <w:tcMar>
              <w:top w:w="100" w:type="dxa"/>
              <w:left w:w="100" w:type="dxa"/>
              <w:bottom w:w="100" w:type="dxa"/>
              <w:right w:w="100" w:type="dxa"/>
            </w:tcMar>
            <w:vAlign w:val="center"/>
          </w:tcPr>
          <w:p w14:paraId="461A3A5E"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Item Category</w:t>
            </w:r>
          </w:p>
        </w:tc>
        <w:tc>
          <w:tcPr>
            <w:tcW w:w="4200" w:type="dxa"/>
            <w:shd w:val="clear" w:color="auto" w:fill="1F3864"/>
            <w:tcMar>
              <w:top w:w="100" w:type="dxa"/>
              <w:left w:w="100" w:type="dxa"/>
              <w:bottom w:w="100" w:type="dxa"/>
              <w:right w:w="100" w:type="dxa"/>
            </w:tcMar>
            <w:vAlign w:val="center"/>
          </w:tcPr>
          <w:p w14:paraId="773E02E2"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Description</w:t>
            </w:r>
          </w:p>
        </w:tc>
        <w:tc>
          <w:tcPr>
            <w:tcW w:w="1400" w:type="dxa"/>
            <w:shd w:val="clear" w:color="auto" w:fill="1F3864"/>
            <w:tcMar>
              <w:top w:w="100" w:type="dxa"/>
              <w:left w:w="100" w:type="dxa"/>
              <w:bottom w:w="100" w:type="dxa"/>
              <w:right w:w="100" w:type="dxa"/>
            </w:tcMar>
            <w:vAlign w:val="center"/>
          </w:tcPr>
          <w:p w14:paraId="21019708"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Total (KES)</w:t>
            </w:r>
          </w:p>
        </w:tc>
        <w:tc>
          <w:tcPr>
            <w:tcW w:w="1300" w:type="dxa"/>
            <w:shd w:val="clear" w:color="auto" w:fill="1F3864"/>
            <w:tcMar>
              <w:top w:w="100" w:type="dxa"/>
              <w:left w:w="100" w:type="dxa"/>
              <w:bottom w:w="100" w:type="dxa"/>
              <w:right w:w="100" w:type="dxa"/>
            </w:tcMar>
            <w:vAlign w:val="center"/>
          </w:tcPr>
          <w:p w14:paraId="550BDC5B"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Approx. (USD)</w:t>
            </w:r>
          </w:p>
        </w:tc>
      </w:tr>
      <w:tr w:rsidR="00031E74" w:rsidRPr="003D30A1" w14:paraId="2C30C26C" w14:textId="77777777">
        <w:tc>
          <w:tcPr>
            <w:tcW w:w="2600" w:type="dxa"/>
            <w:shd w:val="clear" w:color="auto" w:fill="F2F2F2"/>
            <w:tcMar>
              <w:top w:w="80" w:type="dxa"/>
              <w:left w:w="100" w:type="dxa"/>
              <w:bottom w:w="80" w:type="dxa"/>
              <w:right w:w="100" w:type="dxa"/>
            </w:tcMar>
            <w:vAlign w:val="center"/>
          </w:tcPr>
          <w:p w14:paraId="0EF7A576"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1. Cloud Infrastructure &amp; Hosting</w:t>
            </w:r>
          </w:p>
        </w:tc>
        <w:tc>
          <w:tcPr>
            <w:tcW w:w="4200" w:type="dxa"/>
            <w:shd w:val="clear" w:color="auto" w:fill="F2F2F2"/>
            <w:tcMar>
              <w:top w:w="80" w:type="dxa"/>
              <w:left w:w="100" w:type="dxa"/>
              <w:bottom w:w="80" w:type="dxa"/>
              <w:right w:w="100" w:type="dxa"/>
            </w:tcMar>
            <w:vAlign w:val="center"/>
          </w:tcPr>
          <w:p w14:paraId="4D935B82"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Managed server &amp; PostgreSQL DB, domain name &amp; SSL (12 months)</w:t>
            </w:r>
          </w:p>
        </w:tc>
        <w:tc>
          <w:tcPr>
            <w:tcW w:w="1400" w:type="dxa"/>
            <w:shd w:val="clear" w:color="auto" w:fill="F2F2F2"/>
            <w:tcMar>
              <w:top w:w="80" w:type="dxa"/>
              <w:left w:w="100" w:type="dxa"/>
              <w:bottom w:w="80" w:type="dxa"/>
              <w:right w:w="100" w:type="dxa"/>
            </w:tcMar>
            <w:vAlign w:val="center"/>
          </w:tcPr>
          <w:p w14:paraId="292A7A8C"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54,000</w:t>
            </w:r>
          </w:p>
        </w:tc>
        <w:tc>
          <w:tcPr>
            <w:tcW w:w="1300" w:type="dxa"/>
            <w:shd w:val="clear" w:color="auto" w:fill="F2F2F2"/>
            <w:tcMar>
              <w:top w:w="80" w:type="dxa"/>
              <w:left w:w="100" w:type="dxa"/>
              <w:bottom w:w="80" w:type="dxa"/>
              <w:right w:w="100" w:type="dxa"/>
            </w:tcMar>
            <w:vAlign w:val="center"/>
          </w:tcPr>
          <w:p w14:paraId="5DAC0B0C"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~$415</w:t>
            </w:r>
          </w:p>
        </w:tc>
      </w:tr>
      <w:tr w:rsidR="00031E74" w:rsidRPr="003D30A1" w14:paraId="072A46BC" w14:textId="77777777">
        <w:tc>
          <w:tcPr>
            <w:tcW w:w="2600" w:type="dxa"/>
            <w:tcMar>
              <w:top w:w="80" w:type="dxa"/>
              <w:left w:w="100" w:type="dxa"/>
              <w:bottom w:w="80" w:type="dxa"/>
              <w:right w:w="100" w:type="dxa"/>
            </w:tcMar>
            <w:vAlign w:val="center"/>
          </w:tcPr>
          <w:p w14:paraId="659F74C3"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2. Pilot Hardware Support</w:t>
            </w:r>
          </w:p>
        </w:tc>
        <w:tc>
          <w:tcPr>
            <w:tcW w:w="4200" w:type="dxa"/>
            <w:tcMar>
              <w:top w:w="80" w:type="dxa"/>
              <w:left w:w="100" w:type="dxa"/>
              <w:bottom w:w="80" w:type="dxa"/>
              <w:right w:w="100" w:type="dxa"/>
            </w:tcMar>
            <w:vAlign w:val="center"/>
          </w:tcPr>
          <w:p w14:paraId="314F3A47"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10 refurbished Android tablets for under-resourced schools</w:t>
            </w:r>
          </w:p>
        </w:tc>
        <w:tc>
          <w:tcPr>
            <w:tcW w:w="1400" w:type="dxa"/>
            <w:tcMar>
              <w:top w:w="80" w:type="dxa"/>
              <w:left w:w="100" w:type="dxa"/>
              <w:bottom w:w="80" w:type="dxa"/>
              <w:right w:w="100" w:type="dxa"/>
            </w:tcMar>
            <w:vAlign w:val="center"/>
          </w:tcPr>
          <w:p w14:paraId="477B7CAD"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120,000</w:t>
            </w:r>
          </w:p>
        </w:tc>
        <w:tc>
          <w:tcPr>
            <w:tcW w:w="1300" w:type="dxa"/>
            <w:tcMar>
              <w:top w:w="80" w:type="dxa"/>
              <w:left w:w="100" w:type="dxa"/>
              <w:bottom w:w="80" w:type="dxa"/>
              <w:right w:w="100" w:type="dxa"/>
            </w:tcMar>
            <w:vAlign w:val="center"/>
          </w:tcPr>
          <w:p w14:paraId="676ACC3E"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~$920</w:t>
            </w:r>
          </w:p>
        </w:tc>
      </w:tr>
      <w:tr w:rsidR="00031E74" w:rsidRPr="003D30A1" w14:paraId="4974E215" w14:textId="77777777">
        <w:tc>
          <w:tcPr>
            <w:tcW w:w="2600" w:type="dxa"/>
            <w:shd w:val="clear" w:color="auto" w:fill="F2F2F2"/>
            <w:tcMar>
              <w:top w:w="80" w:type="dxa"/>
              <w:left w:w="100" w:type="dxa"/>
              <w:bottom w:w="80" w:type="dxa"/>
              <w:right w:w="100" w:type="dxa"/>
            </w:tcMar>
            <w:vAlign w:val="center"/>
          </w:tcPr>
          <w:p w14:paraId="7BE85676"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3. Field Research &amp; Travel</w:t>
            </w:r>
          </w:p>
        </w:tc>
        <w:tc>
          <w:tcPr>
            <w:tcW w:w="4200" w:type="dxa"/>
            <w:shd w:val="clear" w:color="auto" w:fill="F2F2F2"/>
            <w:tcMar>
              <w:top w:w="80" w:type="dxa"/>
              <w:left w:w="100" w:type="dxa"/>
              <w:bottom w:w="80" w:type="dxa"/>
              <w:right w:w="100" w:type="dxa"/>
            </w:tcMar>
            <w:vAlign w:val="center"/>
          </w:tcPr>
          <w:p w14:paraId="1B49E79A"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Travel to 10 pilot schools; teacher orientation workshops</w:t>
            </w:r>
          </w:p>
        </w:tc>
        <w:tc>
          <w:tcPr>
            <w:tcW w:w="1400" w:type="dxa"/>
            <w:shd w:val="clear" w:color="auto" w:fill="F2F2F2"/>
            <w:tcMar>
              <w:top w:w="80" w:type="dxa"/>
              <w:left w:w="100" w:type="dxa"/>
              <w:bottom w:w="80" w:type="dxa"/>
              <w:right w:w="100" w:type="dxa"/>
            </w:tcMar>
            <w:vAlign w:val="center"/>
          </w:tcPr>
          <w:p w14:paraId="7D46C6CC"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60,000</w:t>
            </w:r>
          </w:p>
        </w:tc>
        <w:tc>
          <w:tcPr>
            <w:tcW w:w="1300" w:type="dxa"/>
            <w:shd w:val="clear" w:color="auto" w:fill="F2F2F2"/>
            <w:tcMar>
              <w:top w:w="80" w:type="dxa"/>
              <w:left w:w="100" w:type="dxa"/>
              <w:bottom w:w="80" w:type="dxa"/>
              <w:right w:w="100" w:type="dxa"/>
            </w:tcMar>
            <w:vAlign w:val="center"/>
          </w:tcPr>
          <w:p w14:paraId="1F4587BB"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~$460</w:t>
            </w:r>
          </w:p>
        </w:tc>
      </w:tr>
      <w:tr w:rsidR="00031E74" w:rsidRPr="003D30A1" w14:paraId="4540652A" w14:textId="77777777">
        <w:tc>
          <w:tcPr>
            <w:tcW w:w="2600" w:type="dxa"/>
            <w:tcMar>
              <w:top w:w="80" w:type="dxa"/>
              <w:left w:w="100" w:type="dxa"/>
              <w:bottom w:w="80" w:type="dxa"/>
              <w:right w:w="100" w:type="dxa"/>
            </w:tcMar>
            <w:vAlign w:val="center"/>
          </w:tcPr>
          <w:p w14:paraId="24120E9B"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4. Printing &amp; Materials</w:t>
            </w:r>
          </w:p>
        </w:tc>
        <w:tc>
          <w:tcPr>
            <w:tcW w:w="4200" w:type="dxa"/>
            <w:tcMar>
              <w:top w:w="80" w:type="dxa"/>
              <w:left w:w="100" w:type="dxa"/>
              <w:bottom w:w="80" w:type="dxa"/>
              <w:right w:w="100" w:type="dxa"/>
            </w:tcMar>
            <w:vAlign w:val="center"/>
          </w:tcPr>
          <w:p w14:paraId="63C71504"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600 sets of pre-/post-test booklets, consent forms, certificates</w:t>
            </w:r>
          </w:p>
        </w:tc>
        <w:tc>
          <w:tcPr>
            <w:tcW w:w="1400" w:type="dxa"/>
            <w:tcMar>
              <w:top w:w="80" w:type="dxa"/>
              <w:left w:w="100" w:type="dxa"/>
              <w:bottom w:w="80" w:type="dxa"/>
              <w:right w:w="100" w:type="dxa"/>
            </w:tcMar>
            <w:vAlign w:val="center"/>
          </w:tcPr>
          <w:p w14:paraId="677E29F2"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30,000</w:t>
            </w:r>
          </w:p>
        </w:tc>
        <w:tc>
          <w:tcPr>
            <w:tcW w:w="1300" w:type="dxa"/>
            <w:tcMar>
              <w:top w:w="80" w:type="dxa"/>
              <w:left w:w="100" w:type="dxa"/>
              <w:bottom w:w="80" w:type="dxa"/>
              <w:right w:w="100" w:type="dxa"/>
            </w:tcMar>
            <w:vAlign w:val="center"/>
          </w:tcPr>
          <w:p w14:paraId="6E1C0D8A"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~$230</w:t>
            </w:r>
          </w:p>
        </w:tc>
      </w:tr>
      <w:tr w:rsidR="00031E74" w:rsidRPr="003D30A1" w14:paraId="31FEE213" w14:textId="77777777">
        <w:tc>
          <w:tcPr>
            <w:tcW w:w="2600" w:type="dxa"/>
            <w:shd w:val="clear" w:color="auto" w:fill="F2F2F2"/>
            <w:tcMar>
              <w:top w:w="80" w:type="dxa"/>
              <w:left w:w="100" w:type="dxa"/>
              <w:bottom w:w="80" w:type="dxa"/>
              <w:right w:w="100" w:type="dxa"/>
            </w:tcMar>
            <w:vAlign w:val="center"/>
          </w:tcPr>
          <w:p w14:paraId="5275C3D0"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5. Research Licensing &amp; Ethics</w:t>
            </w:r>
          </w:p>
        </w:tc>
        <w:tc>
          <w:tcPr>
            <w:tcW w:w="4200" w:type="dxa"/>
            <w:shd w:val="clear" w:color="auto" w:fill="F2F2F2"/>
            <w:tcMar>
              <w:top w:w="80" w:type="dxa"/>
              <w:left w:w="100" w:type="dxa"/>
              <w:bottom w:w="80" w:type="dxa"/>
              <w:right w:w="100" w:type="dxa"/>
            </w:tcMar>
            <w:vAlign w:val="center"/>
          </w:tcPr>
          <w:p w14:paraId="0AE5EE50"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NACOSTI research permit &amp; IRB clearance</w:t>
            </w:r>
          </w:p>
        </w:tc>
        <w:tc>
          <w:tcPr>
            <w:tcW w:w="1400" w:type="dxa"/>
            <w:shd w:val="clear" w:color="auto" w:fill="F2F2F2"/>
            <w:tcMar>
              <w:top w:w="80" w:type="dxa"/>
              <w:left w:w="100" w:type="dxa"/>
              <w:bottom w:w="80" w:type="dxa"/>
              <w:right w:w="100" w:type="dxa"/>
            </w:tcMar>
            <w:vAlign w:val="center"/>
          </w:tcPr>
          <w:p w14:paraId="31F42E2F"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10,000</w:t>
            </w:r>
          </w:p>
        </w:tc>
        <w:tc>
          <w:tcPr>
            <w:tcW w:w="1300" w:type="dxa"/>
            <w:shd w:val="clear" w:color="auto" w:fill="F2F2F2"/>
            <w:tcMar>
              <w:top w:w="80" w:type="dxa"/>
              <w:left w:w="100" w:type="dxa"/>
              <w:bottom w:w="80" w:type="dxa"/>
              <w:right w:w="100" w:type="dxa"/>
            </w:tcMar>
            <w:vAlign w:val="center"/>
          </w:tcPr>
          <w:p w14:paraId="7F9C809C"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~$80</w:t>
            </w:r>
          </w:p>
        </w:tc>
      </w:tr>
      <w:tr w:rsidR="00031E74" w:rsidRPr="003D30A1" w14:paraId="18BBAA41" w14:textId="77777777">
        <w:tc>
          <w:tcPr>
            <w:tcW w:w="2600" w:type="dxa"/>
            <w:tcMar>
              <w:top w:w="80" w:type="dxa"/>
              <w:left w:w="100" w:type="dxa"/>
              <w:bottom w:w="80" w:type="dxa"/>
              <w:right w:w="100" w:type="dxa"/>
            </w:tcMar>
            <w:vAlign w:val="center"/>
          </w:tcPr>
          <w:p w14:paraId="1A33C10E"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6. Dissemination &amp; Publishing</w:t>
            </w:r>
          </w:p>
        </w:tc>
        <w:tc>
          <w:tcPr>
            <w:tcW w:w="4200" w:type="dxa"/>
            <w:tcMar>
              <w:top w:w="80" w:type="dxa"/>
              <w:left w:w="100" w:type="dxa"/>
              <w:bottom w:w="80" w:type="dxa"/>
              <w:right w:w="100" w:type="dxa"/>
            </w:tcMar>
            <w:vAlign w:val="center"/>
          </w:tcPr>
          <w:p w14:paraId="4E81FADF"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Open-access journal fee &amp; stakeholder symposium</w:t>
            </w:r>
          </w:p>
        </w:tc>
        <w:tc>
          <w:tcPr>
            <w:tcW w:w="1400" w:type="dxa"/>
            <w:tcMar>
              <w:top w:w="80" w:type="dxa"/>
              <w:left w:w="100" w:type="dxa"/>
              <w:bottom w:w="80" w:type="dxa"/>
              <w:right w:w="100" w:type="dxa"/>
            </w:tcMar>
            <w:vAlign w:val="center"/>
          </w:tcPr>
          <w:p w14:paraId="6B820D1C"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25,000</w:t>
            </w:r>
          </w:p>
        </w:tc>
        <w:tc>
          <w:tcPr>
            <w:tcW w:w="1300" w:type="dxa"/>
            <w:tcMar>
              <w:top w:w="80" w:type="dxa"/>
              <w:left w:w="100" w:type="dxa"/>
              <w:bottom w:w="80" w:type="dxa"/>
              <w:right w:w="100" w:type="dxa"/>
            </w:tcMar>
            <w:vAlign w:val="center"/>
          </w:tcPr>
          <w:p w14:paraId="773DCBAD"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~$195</w:t>
            </w:r>
          </w:p>
        </w:tc>
      </w:tr>
      <w:tr w:rsidR="00031E74" w:rsidRPr="003D30A1" w14:paraId="6CE12E95" w14:textId="77777777">
        <w:tc>
          <w:tcPr>
            <w:tcW w:w="2600" w:type="dxa"/>
            <w:shd w:val="clear" w:color="auto" w:fill="F2F2F2"/>
            <w:tcMar>
              <w:top w:w="80" w:type="dxa"/>
              <w:left w:w="100" w:type="dxa"/>
              <w:bottom w:w="80" w:type="dxa"/>
              <w:right w:w="100" w:type="dxa"/>
            </w:tcMar>
            <w:vAlign w:val="center"/>
          </w:tcPr>
          <w:p w14:paraId="727F4392"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7. Contingency Reserve</w:t>
            </w:r>
          </w:p>
        </w:tc>
        <w:tc>
          <w:tcPr>
            <w:tcW w:w="4200" w:type="dxa"/>
            <w:shd w:val="clear" w:color="auto" w:fill="F2F2F2"/>
            <w:tcMar>
              <w:top w:w="80" w:type="dxa"/>
              <w:left w:w="100" w:type="dxa"/>
              <w:bottom w:w="80" w:type="dxa"/>
              <w:right w:w="100" w:type="dxa"/>
            </w:tcMar>
            <w:vAlign w:val="center"/>
          </w:tcPr>
          <w:p w14:paraId="17502E94"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10% operational contingency (repairs / data bundles)</w:t>
            </w:r>
          </w:p>
        </w:tc>
        <w:tc>
          <w:tcPr>
            <w:tcW w:w="1400" w:type="dxa"/>
            <w:shd w:val="clear" w:color="auto" w:fill="F2F2F2"/>
            <w:tcMar>
              <w:top w:w="80" w:type="dxa"/>
              <w:left w:w="100" w:type="dxa"/>
              <w:bottom w:w="80" w:type="dxa"/>
              <w:right w:w="100" w:type="dxa"/>
            </w:tcMar>
            <w:vAlign w:val="center"/>
          </w:tcPr>
          <w:p w14:paraId="7A17A506"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29,900</w:t>
            </w:r>
          </w:p>
        </w:tc>
        <w:tc>
          <w:tcPr>
            <w:tcW w:w="1300" w:type="dxa"/>
            <w:shd w:val="clear" w:color="auto" w:fill="F2F2F2"/>
            <w:tcMar>
              <w:top w:w="80" w:type="dxa"/>
              <w:left w:w="100" w:type="dxa"/>
              <w:bottom w:w="80" w:type="dxa"/>
              <w:right w:w="100" w:type="dxa"/>
            </w:tcMar>
            <w:vAlign w:val="center"/>
          </w:tcPr>
          <w:p w14:paraId="7822DF65"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~$230</w:t>
            </w:r>
          </w:p>
        </w:tc>
      </w:tr>
      <w:tr w:rsidR="00031E74" w:rsidRPr="003D30A1" w14:paraId="4089AEBA" w14:textId="77777777">
        <w:tc>
          <w:tcPr>
            <w:tcW w:w="2600" w:type="dxa"/>
            <w:shd w:val="clear" w:color="auto" w:fill="E7ECF5"/>
            <w:tcMar>
              <w:top w:w="80" w:type="dxa"/>
              <w:left w:w="100" w:type="dxa"/>
              <w:bottom w:w="80" w:type="dxa"/>
              <w:right w:w="100" w:type="dxa"/>
            </w:tcMar>
            <w:vAlign w:val="center"/>
          </w:tcPr>
          <w:p w14:paraId="15C504F0"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TOTAL</w:t>
            </w:r>
          </w:p>
        </w:tc>
        <w:tc>
          <w:tcPr>
            <w:tcW w:w="4200" w:type="dxa"/>
            <w:shd w:val="clear" w:color="auto" w:fill="E7ECF5"/>
            <w:tcMar>
              <w:top w:w="80" w:type="dxa"/>
              <w:left w:w="100" w:type="dxa"/>
              <w:bottom w:w="80" w:type="dxa"/>
              <w:right w:w="100" w:type="dxa"/>
            </w:tcMar>
            <w:vAlign w:val="center"/>
          </w:tcPr>
          <w:p w14:paraId="425B39F0" w14:textId="77777777" w:rsidR="00031E74" w:rsidRPr="003D30A1" w:rsidRDefault="00031E74">
            <w:pPr>
              <w:rPr>
                <w:rFonts w:ascii="Times New Roman" w:hAnsi="Times New Roman" w:cs="Times New Roman"/>
                <w:color w:val="000000" w:themeColor="text1"/>
                <w:lang w:val="en-GB"/>
              </w:rPr>
            </w:pPr>
          </w:p>
        </w:tc>
        <w:tc>
          <w:tcPr>
            <w:tcW w:w="1400" w:type="dxa"/>
            <w:shd w:val="clear" w:color="auto" w:fill="E7ECF5"/>
            <w:tcMar>
              <w:top w:w="80" w:type="dxa"/>
              <w:left w:w="100" w:type="dxa"/>
              <w:bottom w:w="80" w:type="dxa"/>
              <w:right w:w="100" w:type="dxa"/>
            </w:tcMar>
            <w:vAlign w:val="center"/>
          </w:tcPr>
          <w:p w14:paraId="40CA825B"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328,900</w:t>
            </w:r>
          </w:p>
        </w:tc>
        <w:tc>
          <w:tcPr>
            <w:tcW w:w="1300" w:type="dxa"/>
            <w:shd w:val="clear" w:color="auto" w:fill="E7ECF5"/>
            <w:tcMar>
              <w:top w:w="80" w:type="dxa"/>
              <w:left w:w="100" w:type="dxa"/>
              <w:bottom w:w="80" w:type="dxa"/>
              <w:right w:w="100" w:type="dxa"/>
            </w:tcMar>
            <w:vAlign w:val="center"/>
          </w:tcPr>
          <w:p w14:paraId="33F7B28E"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~$2,530</w:t>
            </w:r>
          </w:p>
        </w:tc>
      </w:tr>
    </w:tbl>
    <w:p w14:paraId="7D00F7CC" w14:textId="77777777" w:rsidR="00941884" w:rsidRPr="003D30A1" w:rsidRDefault="00941884">
      <w:pPr>
        <w:pStyle w:val="Heading2"/>
        <w:spacing w:before="320" w:after="160"/>
        <w:rPr>
          <w:rFonts w:ascii="Times New Roman" w:hAnsi="Times New Roman" w:cs="Times New Roman"/>
          <w:b/>
          <w:bCs/>
          <w:color w:val="000000" w:themeColor="text1"/>
          <w:lang w:val="en-GB"/>
        </w:rPr>
      </w:pPr>
    </w:p>
    <w:p w14:paraId="292F5255"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lastRenderedPageBreak/>
        <w:t>3.14 Risk Management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000"/>
        <w:gridCol w:w="1100"/>
        <w:gridCol w:w="4900"/>
      </w:tblGrid>
      <w:tr w:rsidR="00031E74" w:rsidRPr="003D30A1" w14:paraId="1752798A" w14:textId="77777777">
        <w:trPr>
          <w:tblHeader/>
        </w:trPr>
        <w:tc>
          <w:tcPr>
            <w:tcW w:w="2500" w:type="dxa"/>
            <w:shd w:val="clear" w:color="auto" w:fill="1F3864"/>
            <w:tcMar>
              <w:top w:w="100" w:type="dxa"/>
              <w:left w:w="100" w:type="dxa"/>
              <w:bottom w:w="100" w:type="dxa"/>
              <w:right w:w="100" w:type="dxa"/>
            </w:tcMar>
            <w:vAlign w:val="center"/>
          </w:tcPr>
          <w:p w14:paraId="17765F39"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Identified Risk</w:t>
            </w:r>
          </w:p>
        </w:tc>
        <w:tc>
          <w:tcPr>
            <w:tcW w:w="1000" w:type="dxa"/>
            <w:shd w:val="clear" w:color="auto" w:fill="1F3864"/>
            <w:tcMar>
              <w:top w:w="100" w:type="dxa"/>
              <w:left w:w="100" w:type="dxa"/>
              <w:bottom w:w="100" w:type="dxa"/>
              <w:right w:w="100" w:type="dxa"/>
            </w:tcMar>
            <w:vAlign w:val="center"/>
          </w:tcPr>
          <w:p w14:paraId="332FC71A"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Severity</w:t>
            </w:r>
          </w:p>
        </w:tc>
        <w:tc>
          <w:tcPr>
            <w:tcW w:w="1100" w:type="dxa"/>
            <w:shd w:val="clear" w:color="auto" w:fill="1F3864"/>
            <w:tcMar>
              <w:top w:w="100" w:type="dxa"/>
              <w:left w:w="100" w:type="dxa"/>
              <w:bottom w:w="100" w:type="dxa"/>
              <w:right w:w="100" w:type="dxa"/>
            </w:tcMar>
            <w:vAlign w:val="center"/>
          </w:tcPr>
          <w:p w14:paraId="4AF60F87"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Likelihood</w:t>
            </w:r>
          </w:p>
        </w:tc>
        <w:tc>
          <w:tcPr>
            <w:tcW w:w="4900" w:type="dxa"/>
            <w:shd w:val="clear" w:color="auto" w:fill="1F3864"/>
            <w:tcMar>
              <w:top w:w="100" w:type="dxa"/>
              <w:left w:w="100" w:type="dxa"/>
              <w:bottom w:w="100" w:type="dxa"/>
              <w:right w:w="100" w:type="dxa"/>
            </w:tcMar>
            <w:vAlign w:val="center"/>
          </w:tcPr>
          <w:p w14:paraId="5CBE9B23"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Mitigation Strategy</w:t>
            </w:r>
          </w:p>
        </w:tc>
      </w:tr>
      <w:tr w:rsidR="00031E74" w:rsidRPr="003D30A1" w14:paraId="4914D503" w14:textId="77777777">
        <w:tc>
          <w:tcPr>
            <w:tcW w:w="2500" w:type="dxa"/>
            <w:shd w:val="clear" w:color="auto" w:fill="F2F2F2"/>
            <w:tcMar>
              <w:top w:w="80" w:type="dxa"/>
              <w:left w:w="100" w:type="dxa"/>
              <w:bottom w:w="80" w:type="dxa"/>
              <w:right w:w="100" w:type="dxa"/>
            </w:tcMar>
            <w:vAlign w:val="center"/>
          </w:tcPr>
          <w:p w14:paraId="520D6538"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Intermittent / zero internet in rural schools</w:t>
            </w:r>
          </w:p>
        </w:tc>
        <w:tc>
          <w:tcPr>
            <w:tcW w:w="1000" w:type="dxa"/>
            <w:shd w:val="clear" w:color="auto" w:fill="F2F2F2"/>
            <w:tcMar>
              <w:top w:w="80" w:type="dxa"/>
              <w:left w:w="100" w:type="dxa"/>
              <w:bottom w:w="80" w:type="dxa"/>
              <w:right w:w="100" w:type="dxa"/>
            </w:tcMar>
            <w:vAlign w:val="center"/>
          </w:tcPr>
          <w:p w14:paraId="66F0F720"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High</w:t>
            </w:r>
          </w:p>
        </w:tc>
        <w:tc>
          <w:tcPr>
            <w:tcW w:w="1100" w:type="dxa"/>
            <w:shd w:val="clear" w:color="auto" w:fill="F2F2F2"/>
            <w:tcMar>
              <w:top w:w="80" w:type="dxa"/>
              <w:left w:w="100" w:type="dxa"/>
              <w:bottom w:w="80" w:type="dxa"/>
              <w:right w:w="100" w:type="dxa"/>
            </w:tcMar>
            <w:vAlign w:val="center"/>
          </w:tcPr>
          <w:p w14:paraId="4545620A"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High</w:t>
            </w:r>
          </w:p>
        </w:tc>
        <w:tc>
          <w:tcPr>
            <w:tcW w:w="4900" w:type="dxa"/>
            <w:shd w:val="clear" w:color="auto" w:fill="F2F2F2"/>
            <w:tcMar>
              <w:top w:w="80" w:type="dxa"/>
              <w:left w:w="100" w:type="dxa"/>
              <w:bottom w:w="80" w:type="dxa"/>
              <w:right w:w="100" w:type="dxa"/>
            </w:tcMar>
            <w:vAlign w:val="center"/>
          </w:tcPr>
          <w:p w14:paraId="11CEE431"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Offline-first PWA with service-worker pre-caching; LocalStorage caching for full offline simulations; telemetry queued and auto-synced on reconnect.</w:t>
            </w:r>
          </w:p>
        </w:tc>
      </w:tr>
      <w:tr w:rsidR="00031E74" w:rsidRPr="003D30A1" w14:paraId="642EFF8D" w14:textId="77777777">
        <w:tc>
          <w:tcPr>
            <w:tcW w:w="2500" w:type="dxa"/>
            <w:tcMar>
              <w:top w:w="80" w:type="dxa"/>
              <w:left w:w="100" w:type="dxa"/>
              <w:bottom w:w="80" w:type="dxa"/>
              <w:right w:w="100" w:type="dxa"/>
            </w:tcMar>
            <w:vAlign w:val="center"/>
          </w:tcPr>
          <w:p w14:paraId="3F3CAA2F"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Limited computer / smartphone access</w:t>
            </w:r>
          </w:p>
        </w:tc>
        <w:tc>
          <w:tcPr>
            <w:tcW w:w="1000" w:type="dxa"/>
            <w:tcMar>
              <w:top w:w="80" w:type="dxa"/>
              <w:left w:w="100" w:type="dxa"/>
              <w:bottom w:w="80" w:type="dxa"/>
              <w:right w:w="100" w:type="dxa"/>
            </w:tcMar>
            <w:vAlign w:val="center"/>
          </w:tcPr>
          <w:p w14:paraId="15599B9A"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High</w:t>
            </w:r>
          </w:p>
        </w:tc>
        <w:tc>
          <w:tcPr>
            <w:tcW w:w="1100" w:type="dxa"/>
            <w:tcMar>
              <w:top w:w="80" w:type="dxa"/>
              <w:left w:w="100" w:type="dxa"/>
              <w:bottom w:w="80" w:type="dxa"/>
              <w:right w:w="100" w:type="dxa"/>
            </w:tcMar>
            <w:vAlign w:val="center"/>
          </w:tcPr>
          <w:p w14:paraId="29B32436"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Medium</w:t>
            </w:r>
          </w:p>
        </w:tc>
        <w:tc>
          <w:tcPr>
            <w:tcW w:w="4900" w:type="dxa"/>
            <w:tcMar>
              <w:top w:w="80" w:type="dxa"/>
              <w:left w:w="100" w:type="dxa"/>
              <w:bottom w:w="80" w:type="dxa"/>
              <w:right w:w="100" w:type="dxa"/>
            </w:tcMar>
            <w:vAlign w:val="center"/>
          </w:tcPr>
          <w:p w14:paraId="5880E71C"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Extreme responsive optimisation for budget Android smartphones; touch-friendly controls for shared single-device rotation; 10 pilot tablets provided to under-resourced schools.</w:t>
            </w:r>
          </w:p>
        </w:tc>
      </w:tr>
      <w:tr w:rsidR="00031E74" w:rsidRPr="003D30A1" w14:paraId="6D170C01" w14:textId="77777777">
        <w:tc>
          <w:tcPr>
            <w:tcW w:w="2500" w:type="dxa"/>
            <w:shd w:val="clear" w:color="auto" w:fill="F2F2F2"/>
            <w:tcMar>
              <w:top w:w="80" w:type="dxa"/>
              <w:left w:w="100" w:type="dxa"/>
              <w:bottom w:w="80" w:type="dxa"/>
              <w:right w:w="100" w:type="dxa"/>
            </w:tcMar>
            <w:vAlign w:val="center"/>
          </w:tcPr>
          <w:p w14:paraId="7A0EB104"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Teacher resistance or low ICT literacy</w:t>
            </w:r>
          </w:p>
        </w:tc>
        <w:tc>
          <w:tcPr>
            <w:tcW w:w="1000" w:type="dxa"/>
            <w:shd w:val="clear" w:color="auto" w:fill="F2F2F2"/>
            <w:tcMar>
              <w:top w:w="80" w:type="dxa"/>
              <w:left w:w="100" w:type="dxa"/>
              <w:bottom w:w="80" w:type="dxa"/>
              <w:right w:w="100" w:type="dxa"/>
            </w:tcMar>
            <w:vAlign w:val="center"/>
          </w:tcPr>
          <w:p w14:paraId="20A9DCC4"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Medium</w:t>
            </w:r>
          </w:p>
        </w:tc>
        <w:tc>
          <w:tcPr>
            <w:tcW w:w="1100" w:type="dxa"/>
            <w:shd w:val="clear" w:color="auto" w:fill="F2F2F2"/>
            <w:tcMar>
              <w:top w:w="80" w:type="dxa"/>
              <w:left w:w="100" w:type="dxa"/>
              <w:bottom w:w="80" w:type="dxa"/>
              <w:right w:w="100" w:type="dxa"/>
            </w:tcMar>
            <w:vAlign w:val="center"/>
          </w:tcPr>
          <w:p w14:paraId="2F871DDA"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Medium</w:t>
            </w:r>
          </w:p>
        </w:tc>
        <w:tc>
          <w:tcPr>
            <w:tcW w:w="4900" w:type="dxa"/>
            <w:shd w:val="clear" w:color="auto" w:fill="F2F2F2"/>
            <w:tcMar>
              <w:top w:w="80" w:type="dxa"/>
              <w:left w:w="100" w:type="dxa"/>
              <w:bottom w:w="80" w:type="dxa"/>
              <w:right w:w="100" w:type="dxa"/>
            </w:tcMar>
            <w:vAlign w:val="center"/>
          </w:tcPr>
          <w:p w14:paraId="6D90F515"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Zero-installation requirement (opens in standard mobile browser); intuitive two-click assignment dispatch; teacher training workshops and Swahili/English quick-start guides.</w:t>
            </w:r>
          </w:p>
        </w:tc>
      </w:tr>
      <w:tr w:rsidR="00031E74" w:rsidRPr="003D30A1" w14:paraId="2100F9A7" w14:textId="77777777">
        <w:tc>
          <w:tcPr>
            <w:tcW w:w="2500" w:type="dxa"/>
            <w:tcMar>
              <w:top w:w="80" w:type="dxa"/>
              <w:left w:w="100" w:type="dxa"/>
              <w:bottom w:w="80" w:type="dxa"/>
              <w:right w:w="100" w:type="dxa"/>
            </w:tcMar>
            <w:vAlign w:val="center"/>
          </w:tcPr>
          <w:p w14:paraId="2834796D"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Curriculum or examination format drift</w:t>
            </w:r>
          </w:p>
        </w:tc>
        <w:tc>
          <w:tcPr>
            <w:tcW w:w="1000" w:type="dxa"/>
            <w:tcMar>
              <w:top w:w="80" w:type="dxa"/>
              <w:left w:w="100" w:type="dxa"/>
              <w:bottom w:w="80" w:type="dxa"/>
              <w:right w:w="100" w:type="dxa"/>
            </w:tcMar>
            <w:vAlign w:val="center"/>
          </w:tcPr>
          <w:p w14:paraId="00231634"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Low</w:t>
            </w:r>
          </w:p>
        </w:tc>
        <w:tc>
          <w:tcPr>
            <w:tcW w:w="1100" w:type="dxa"/>
            <w:tcMar>
              <w:top w:w="80" w:type="dxa"/>
              <w:left w:w="100" w:type="dxa"/>
              <w:bottom w:w="80" w:type="dxa"/>
              <w:right w:w="100" w:type="dxa"/>
            </w:tcMar>
            <w:vAlign w:val="center"/>
          </w:tcPr>
          <w:p w14:paraId="5D1786EE"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Low</w:t>
            </w:r>
          </w:p>
        </w:tc>
        <w:tc>
          <w:tcPr>
            <w:tcW w:w="4900" w:type="dxa"/>
            <w:tcMar>
              <w:top w:w="80" w:type="dxa"/>
              <w:left w:w="100" w:type="dxa"/>
              <w:bottom w:w="80" w:type="dxa"/>
              <w:right w:w="100" w:type="dxa"/>
            </w:tcMar>
            <w:vAlign w:val="center"/>
          </w:tcPr>
          <w:p w14:paraId="6AA04196"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Direct collaboration with certified KCSE chemistry examiners; modular simulation architecture allowing rapid parameter updates.</w:t>
            </w:r>
          </w:p>
        </w:tc>
      </w:tr>
      <w:tr w:rsidR="00031E74" w:rsidRPr="003D30A1" w14:paraId="1D95AF2F" w14:textId="77777777">
        <w:tc>
          <w:tcPr>
            <w:tcW w:w="2500" w:type="dxa"/>
            <w:shd w:val="clear" w:color="auto" w:fill="F2F2F2"/>
            <w:tcMar>
              <w:top w:w="80" w:type="dxa"/>
              <w:left w:w="100" w:type="dxa"/>
              <w:bottom w:w="80" w:type="dxa"/>
              <w:right w:w="100" w:type="dxa"/>
            </w:tcMar>
            <w:vAlign w:val="center"/>
          </w:tcPr>
          <w:p w14:paraId="3D762D32"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Student data privacy &amp; protection</w:t>
            </w:r>
          </w:p>
        </w:tc>
        <w:tc>
          <w:tcPr>
            <w:tcW w:w="1000" w:type="dxa"/>
            <w:shd w:val="clear" w:color="auto" w:fill="F2F2F2"/>
            <w:tcMar>
              <w:top w:w="80" w:type="dxa"/>
              <w:left w:w="100" w:type="dxa"/>
              <w:bottom w:w="80" w:type="dxa"/>
              <w:right w:w="100" w:type="dxa"/>
            </w:tcMar>
            <w:vAlign w:val="center"/>
          </w:tcPr>
          <w:p w14:paraId="79B0B379"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Medium</w:t>
            </w:r>
          </w:p>
        </w:tc>
        <w:tc>
          <w:tcPr>
            <w:tcW w:w="1100" w:type="dxa"/>
            <w:shd w:val="clear" w:color="auto" w:fill="F2F2F2"/>
            <w:tcMar>
              <w:top w:w="80" w:type="dxa"/>
              <w:left w:w="100" w:type="dxa"/>
              <w:bottom w:w="80" w:type="dxa"/>
              <w:right w:w="100" w:type="dxa"/>
            </w:tcMar>
            <w:vAlign w:val="center"/>
          </w:tcPr>
          <w:p w14:paraId="0AE220C5"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Low</w:t>
            </w:r>
          </w:p>
        </w:tc>
        <w:tc>
          <w:tcPr>
            <w:tcW w:w="4900" w:type="dxa"/>
            <w:shd w:val="clear" w:color="auto" w:fill="F2F2F2"/>
            <w:tcMar>
              <w:top w:w="80" w:type="dxa"/>
              <w:left w:w="100" w:type="dxa"/>
              <w:bottom w:w="80" w:type="dxa"/>
              <w:right w:w="100" w:type="dxa"/>
            </w:tcMar>
            <w:vAlign w:val="center"/>
          </w:tcPr>
          <w:p w14:paraId="200FEA21"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Strict compliance with the Kenya Data Protection Act (2019); bcrypt password encryption, JWT authorisation tokens, and anonymised research reporting.</w:t>
            </w:r>
          </w:p>
        </w:tc>
      </w:tr>
    </w:tbl>
    <w:p w14:paraId="126E6496"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3.15 Sustainability and Scalability</w:t>
      </w:r>
    </w:p>
    <w:p w14:paraId="30157F0C"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The platform is built using free, open-source technologies (HTML/JS, Node.js, PostgreSQL), keeping operational costs minimal. It is architected for extensible multi-disciplinary scale, with a planned Phase 7 expansion adding Physics practicals (electrical circuits, ray optics, Hooke’s law, mechanics) and Biology practicals (enzyme kinetics, osmosis, food tests, respiration). Institutional integration is envisaged through partnerships with County Education Directorates and national teacher networks such as CEMASTEA, embedding VirtuLab Kenya into national in-service teacher professional development programmes.</w:t>
      </w:r>
    </w:p>
    <w:p w14:paraId="43B7BDCF" w14:textId="77777777" w:rsidR="00B61BB5" w:rsidRPr="003D30A1" w:rsidRDefault="00B61BB5">
      <w:pPr>
        <w:spacing w:after="200" w:line="276" w:lineRule="auto"/>
        <w:jc w:val="both"/>
        <w:rPr>
          <w:rFonts w:ascii="Times New Roman" w:hAnsi="Times New Roman" w:cs="Times New Roman"/>
          <w:color w:val="000000" w:themeColor="text1"/>
          <w:lang w:val="en-GB"/>
        </w:rPr>
      </w:pPr>
    </w:p>
    <w:p w14:paraId="7AF98EDA"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3.16 Monitoring and Evaluation Framework</w:t>
      </w:r>
    </w:p>
    <w:p w14:paraId="52EA4D89"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Success indicators include a statistically significant learning gain (p &lt; 0.05, normalised gain g ≥ 0.40), a System Usability Scale score of ≥78 (Grade A/Excellent), a TAM mean score of ≥4.0 out of 5.0 for teacher acceptance, and internal-consistency reliability of α ≥ 0.80 (Cronbach’s alpha) across all instruments. Curriculum alignment will be measured by 100% successful mapping to syllabus references.</w:t>
      </w:r>
    </w:p>
    <w:p w14:paraId="01AD62DB"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3.17 Chapter Summary</w:t>
      </w:r>
    </w:p>
    <w:p w14:paraId="73B6161D"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This chapter provided a comprehensive blueprint for VirtuLab Kenya, detailing its pedagogical design, three-tier technical architecture, seven laboratory modules, agile development phases, budget, risk mitigation strategy, and structured rollout plan for the upcoming pilot study.</w:t>
      </w:r>
    </w:p>
    <w:p w14:paraId="2B7B5D56" w14:textId="77777777" w:rsidR="00031E74" w:rsidRPr="003D30A1" w:rsidRDefault="00000000">
      <w:pPr>
        <w:pStyle w:val="Heading1"/>
        <w:pageBreakBefore/>
        <w:spacing w:before="480" w:after="24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lastRenderedPageBreak/>
        <w:t>CHAPTER FOUR: IMPLEMENTATION, EVALUATION AND REFLECTION</w:t>
      </w:r>
    </w:p>
    <w:p w14:paraId="36B86DF5" w14:textId="77777777" w:rsidR="00031E74" w:rsidRPr="003D30A1" w:rsidRDefault="00000000">
      <w:pPr>
        <w:spacing w:after="240"/>
        <w:rPr>
          <w:rFonts w:ascii="Times New Roman" w:hAnsi="Times New Roman" w:cs="Times New Roman"/>
          <w:color w:val="000000" w:themeColor="text1"/>
          <w:lang w:val="en-GB"/>
        </w:rPr>
      </w:pPr>
      <w:r w:rsidRPr="003D30A1">
        <w:rPr>
          <w:rFonts w:ascii="Times New Roman" w:hAnsi="Times New Roman" w:cs="Times New Roman"/>
          <w:i/>
          <w:iCs/>
          <w:color w:val="000000" w:themeColor="text1"/>
          <w:lang w:val="en-GB"/>
        </w:rPr>
        <w:t>Note: As this document is a capstone proposal, Chapter Four outlines the projected framework and planned presentation of outcomes once the pilot study and development are executed.</w:t>
      </w:r>
    </w:p>
    <w:p w14:paraId="5C5F0EF1"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4.1 Implementation of the Capstone Intervention</w:t>
      </w:r>
    </w:p>
    <w:p w14:paraId="45CD2392"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This chapter will document the execution of the VirtuLab Kenya pilot, present evaluation findings from stakeholder interactions, and reflect on the project’s overall impact on chemistry pedagogy. The implementation phase will record the specific schools engaged, the exact timelines of the 8-week pilot duration, and the demographic details of the Form 3 and Form 4 student participants and chemistry teachers.</w:t>
      </w:r>
    </w:p>
    <w:p w14:paraId="69DA60B8"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4.2 Implementation Process</w:t>
      </w:r>
    </w:p>
    <w:p w14:paraId="79BD5406"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Activities will be presented chronologically, detailing the deployment of the PWA offline system, student onboarding to the platform, and the induction of teachers onto the analytics dashboard.</w:t>
      </w:r>
    </w:p>
    <w:p w14:paraId="6F4D5A92"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4.3 Participation and Stakeholder Engagement</w:t>
      </w:r>
    </w:p>
    <w:p w14:paraId="05987E91"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This section will describe how actively students utilised the Guided vs. Free Practice modes and how frequently teachers engaged with the live performance data and CSV/PDF export tools.</w:t>
      </w:r>
    </w:p>
    <w:p w14:paraId="463C26F7"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4.4 Evaluation of the Intervention</w:t>
      </w:r>
    </w:p>
    <w:p w14:paraId="0CAFA49B"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VirtuLab Kenya will be assessed against its primary success metrics: achieving a statistically significant learning gain, securing an SUS score of ≥78 (Grade A / Excellent), and verifying comprehensive curriculum alignment.</w:t>
      </w:r>
    </w:p>
    <w:p w14:paraId="494A7DBD"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4.5 Presentation of Evaluation Findings</w:t>
      </w:r>
    </w:p>
    <w:p w14:paraId="49C694AD"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Evidence will be synthesised using tables displaying pre-test and post-test mean score differentials, charts illustrating TAM questionnaire Likert-scale distributions (perceived usefulness and ease of use), and database export figures showing average session times and attempt accuracy.</w:t>
      </w:r>
    </w:p>
    <w:p w14:paraId="62428298"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4.6 Assessment of Outcomes</w:t>
      </w:r>
    </w:p>
    <w:p w14:paraId="2C98E194"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The evaluation will determine whether VirtuLab Kenya successfully allowed students in underequipped schools to practice KCSE Paper 3 titration types effectively, and whether teachers gained previously unavailable visibility into student practical skills.</w:t>
      </w:r>
    </w:p>
    <w:p w14:paraId="0012B4E0" w14:textId="77777777" w:rsidR="00881ABE" w:rsidRPr="003D30A1" w:rsidRDefault="00881ABE">
      <w:pPr>
        <w:spacing w:after="200" w:line="276" w:lineRule="auto"/>
        <w:jc w:val="both"/>
        <w:rPr>
          <w:rFonts w:ascii="Times New Roman" w:hAnsi="Times New Roman" w:cs="Times New Roman"/>
          <w:color w:val="000000" w:themeColor="text1"/>
          <w:lang w:val="en-GB"/>
        </w:rPr>
      </w:pPr>
    </w:p>
    <w:p w14:paraId="68B19B23" w14:textId="77777777" w:rsidR="00881ABE" w:rsidRPr="003D30A1" w:rsidRDefault="00881ABE">
      <w:pPr>
        <w:spacing w:after="200" w:line="276" w:lineRule="auto"/>
        <w:jc w:val="both"/>
        <w:rPr>
          <w:rFonts w:ascii="Times New Roman" w:hAnsi="Times New Roman" w:cs="Times New Roman"/>
          <w:color w:val="000000" w:themeColor="text1"/>
          <w:lang w:val="en-GB"/>
        </w:rPr>
      </w:pPr>
    </w:p>
    <w:p w14:paraId="00997C8A" w14:textId="77777777" w:rsidR="00941884" w:rsidRPr="003D30A1" w:rsidRDefault="00941884">
      <w:pPr>
        <w:spacing w:after="200" w:line="276" w:lineRule="auto"/>
        <w:jc w:val="both"/>
        <w:rPr>
          <w:rFonts w:ascii="Times New Roman" w:hAnsi="Times New Roman" w:cs="Times New Roman"/>
          <w:color w:val="000000" w:themeColor="text1"/>
          <w:lang w:val="en-GB"/>
        </w:rPr>
      </w:pPr>
    </w:p>
    <w:p w14:paraId="1B4B6DB0" w14:textId="77777777" w:rsidR="00941884" w:rsidRPr="003D30A1" w:rsidRDefault="00941884">
      <w:pPr>
        <w:spacing w:after="200" w:line="276" w:lineRule="auto"/>
        <w:jc w:val="both"/>
        <w:rPr>
          <w:rFonts w:ascii="Times New Roman" w:hAnsi="Times New Roman" w:cs="Times New Roman"/>
          <w:color w:val="000000" w:themeColor="text1"/>
          <w:lang w:val="en-GB"/>
        </w:rPr>
      </w:pPr>
    </w:p>
    <w:p w14:paraId="37BBAB37"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4.7 User / Stakeholder Feedback</w:t>
      </w:r>
    </w:p>
    <w:p w14:paraId="35A43DC0"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Feedback on usability, relevance, and accessibility will be derived directly from the SUS and TAM surveys. Specific focus will be placed on the bilingual interface (English/Kiswahili) and the usability of the offline capabilities on low-end Android devices.</w:t>
      </w:r>
    </w:p>
    <w:p w14:paraId="78E1CBF5"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4.8 Comparison of Intended and Actual Outcomes</w:t>
      </w:r>
    </w:p>
    <w:p w14:paraId="095A74B6"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A detailed matrix will compare planned objectives (e.g., executing the pilot with approximately 600 students and 20 chemistry teachers across 10 schools, achieving p &lt; 0.05 on learning gains) against the actual developmental and statistical achievements captured at the end of Month 12.</w:t>
      </w:r>
    </w:p>
    <w:p w14:paraId="6E3C2396"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4.9 Challenges Encountered During Implementation</w:t>
      </w:r>
    </w:p>
    <w:p w14:paraId="142E178C"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Anticipated and realised challenges will be documented, particularly regarding low-bandwidth digital deployment in remote schools, hardware limitations during the pilot, and the logistical intricacies of executing pre-experimental testing.</w:t>
      </w:r>
    </w:p>
    <w:p w14:paraId="474A189F"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4.10 Mitigation Measures</w:t>
      </w:r>
    </w:p>
    <w:p w14:paraId="009F5F89"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This section will evaluate the effectiveness of the risk management strategies deployed, such as utilising the Progressive Web App architecture to circumvent internet outages.</w:t>
      </w:r>
    </w:p>
    <w:p w14:paraId="7D20C117"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4.11 Reflection on the Capstone Process</w:t>
      </w:r>
    </w:p>
    <w:p w14:paraId="6C9C83A5"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A critical reflection will be provided detailing professional growth in instructional design and full-stack development (Node.js/PostgreSQL), as well as lessons learned regarding the intersection of open-source technology and the Kenyan curriculum.</w:t>
      </w:r>
    </w:p>
    <w:p w14:paraId="4B7332B9"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4.12 Lessons Learned and Best Practices</w:t>
      </w:r>
    </w:p>
    <w:p w14:paraId="1D6DBEB2"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The project will identify best practices for designing localised, offline-first educational technologies that can be replicated for other African curricula or STEM disciplines.</w:t>
      </w:r>
    </w:p>
    <w:p w14:paraId="16398430"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4.13 Recommendations for Improvement and Scale-Up</w:t>
      </w:r>
    </w:p>
    <w:p w14:paraId="3790F0E4"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Evidence-based recommendations will be submitted to the Open University of Kenya, KICD policy makers, and CEMASTEA regarding the national integration of VirtuLab Kenya. Recommendations will also address the execution of the Phase 7 expansion (Physics and Biology practicals) and wider institutional adoption.</w:t>
      </w:r>
    </w:p>
    <w:p w14:paraId="4E76314B"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4.14 Expected Academic and Practical Deliverables</w:t>
      </w:r>
    </w:p>
    <w:p w14:paraId="274DFB9D"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 xml:space="preserve">Fully Operational, Open-Access Platform: </w:t>
      </w:r>
      <w:r w:rsidRPr="003D30A1">
        <w:rPr>
          <w:rFonts w:ascii="Times New Roman" w:hAnsi="Times New Roman" w:cs="Times New Roman"/>
          <w:color w:val="000000" w:themeColor="text1"/>
          <w:lang w:val="en-GB"/>
        </w:rPr>
        <w:t xml:space="preserve">A production-ready, open-source virtual chemistry laboratory PWA hosted and accessible at zero cost to Kenyan learners and educators. </w:t>
      </w:r>
      <w:r w:rsidRPr="003D30A1">
        <w:rPr>
          <w:rFonts w:ascii="Times New Roman" w:hAnsi="Times New Roman" w:cs="Times New Roman"/>
          <w:b/>
          <w:bCs/>
          <w:color w:val="000000" w:themeColor="text1"/>
          <w:lang w:val="en-GB"/>
        </w:rPr>
        <w:t xml:space="preserve">Empirical Master’s </w:t>
      </w:r>
      <w:r w:rsidRPr="003D30A1">
        <w:rPr>
          <w:rFonts w:ascii="Times New Roman" w:hAnsi="Times New Roman" w:cs="Times New Roman"/>
          <w:b/>
          <w:bCs/>
          <w:color w:val="000000" w:themeColor="text1"/>
          <w:lang w:val="en-GB"/>
        </w:rPr>
        <w:lastRenderedPageBreak/>
        <w:t xml:space="preserve">Dissertation: </w:t>
      </w:r>
      <w:r w:rsidRPr="003D30A1">
        <w:rPr>
          <w:rFonts w:ascii="Times New Roman" w:hAnsi="Times New Roman" w:cs="Times New Roman"/>
          <w:color w:val="000000" w:themeColor="text1"/>
          <w:lang w:val="en-GB"/>
        </w:rPr>
        <w:t xml:space="preserve">A rigorous research thesis documenting the pedagogical efficacy, normalised learning gains, and adoption factors of virtual science labs in Sub-Saharan Africa. </w:t>
      </w:r>
      <w:r w:rsidRPr="003D30A1">
        <w:rPr>
          <w:rFonts w:ascii="Times New Roman" w:hAnsi="Times New Roman" w:cs="Times New Roman"/>
          <w:b/>
          <w:bCs/>
          <w:color w:val="000000" w:themeColor="text1"/>
          <w:lang w:val="en-GB"/>
        </w:rPr>
        <w:t xml:space="preserve">Policy Brief for KICD &amp; the Ministry of Education: </w:t>
      </w:r>
      <w:r w:rsidRPr="003D30A1">
        <w:rPr>
          <w:rFonts w:ascii="Times New Roman" w:hAnsi="Times New Roman" w:cs="Times New Roman"/>
          <w:color w:val="000000" w:themeColor="text1"/>
          <w:lang w:val="en-GB"/>
        </w:rPr>
        <w:t xml:space="preserve">An actionable policy white paper outlining strategic frameworks for scaling virtual STEM laboratories under the CBC Senior Secondary Pathways. </w:t>
      </w:r>
      <w:r w:rsidRPr="003D30A1">
        <w:rPr>
          <w:rFonts w:ascii="Times New Roman" w:hAnsi="Times New Roman" w:cs="Times New Roman"/>
          <w:b/>
          <w:bCs/>
          <w:color w:val="000000" w:themeColor="text1"/>
          <w:lang w:val="en-GB"/>
        </w:rPr>
        <w:t xml:space="preserve">Peer-Reviewed Scholarly Publication: </w:t>
      </w:r>
      <w:r w:rsidRPr="003D30A1">
        <w:rPr>
          <w:rFonts w:ascii="Times New Roman" w:hAnsi="Times New Roman" w:cs="Times New Roman"/>
          <w:color w:val="000000" w:themeColor="text1"/>
          <w:lang w:val="en-GB"/>
        </w:rPr>
        <w:t>Submission of empirical findings to high-impact educational technology journals (e.g. Computers &amp; Education, Journal of Science Education and Technology, or African Journal of Educational and Information Opportunities).</w:t>
      </w:r>
    </w:p>
    <w:p w14:paraId="75BA890E"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4.15 Sustainability and Future Directions</w:t>
      </w:r>
    </w:p>
    <w:p w14:paraId="1028C1D2"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Future directions will highlight maintaining the open-source codebase to allow researchers to adapt the software, and scaling the infrastructure through a Phase 7 expansion to encompass Physics practicals (electrical circuits, ray optics, Hooke’s law, mechanics) and Biology practicals (enzyme kinetics, osmosis, food tests, respiration). Institutional integration will be pursued through partnerships with County Education Directorates and national teacher networks such as CEMASTEA, embedding VirtuLab Kenya into national in-service teacher professional development programmes.</w:t>
      </w:r>
    </w:p>
    <w:p w14:paraId="06A03FC7"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4.16 Conclusion</w:t>
      </w:r>
    </w:p>
    <w:p w14:paraId="4CBB6865"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A comprehensive summary will demonstrate how the capstone transitioned from identifying a critical structural inequality to delivering VirtuLab Kenya — a rigorous, solution-oriented digital product that democratises chemistry education for KCSE candidates.</w:t>
      </w:r>
    </w:p>
    <w:p w14:paraId="4CA0BFE2"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4.17 Chapter Summary</w:t>
      </w:r>
    </w:p>
    <w:p w14:paraId="4DEE2F19"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This final chapter outlines the framework for validating VirtuLab Kenya’s pedagogical efficacy, ensuring that the final capstone deliverable proves its intended change in the targeted learning environments.</w:t>
      </w:r>
    </w:p>
    <w:p w14:paraId="45919E6F" w14:textId="77777777" w:rsidR="00031E74" w:rsidRPr="003D30A1" w:rsidRDefault="00000000">
      <w:pPr>
        <w:pStyle w:val="Heading1"/>
        <w:pageBreakBefore/>
        <w:spacing w:before="480" w:after="24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lastRenderedPageBreak/>
        <w:t>REFERENCES</w:t>
      </w:r>
    </w:p>
    <w:p w14:paraId="7E77E5AE" w14:textId="77777777" w:rsidR="00031E74" w:rsidRPr="003D30A1" w:rsidRDefault="00000000">
      <w:pPr>
        <w:spacing w:after="180" w:line="276" w:lineRule="auto"/>
        <w:ind w:left="360" w:hanging="360"/>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Brooke, J. (1996). SUS-A quick and dirty usability scale. Usability Evaluation in Industry, 189(194), 4–7.</w:t>
      </w:r>
    </w:p>
    <w:p w14:paraId="58B350DA" w14:textId="77777777" w:rsidR="00031E74" w:rsidRPr="003D30A1" w:rsidRDefault="00000000">
      <w:pPr>
        <w:spacing w:after="180" w:line="276" w:lineRule="auto"/>
        <w:ind w:left="360" w:hanging="360"/>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Bybee, R. W. (2009). The BSCS 5E instructional model and 21st century skills. National Academies Board on Science Education, Washington, DC.</w:t>
      </w:r>
    </w:p>
    <w:p w14:paraId="723192C9" w14:textId="77777777" w:rsidR="00031E74" w:rsidRPr="003D30A1" w:rsidRDefault="00000000">
      <w:pPr>
        <w:spacing w:after="180" w:line="276" w:lineRule="auto"/>
        <w:ind w:left="360" w:hanging="360"/>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Davis, F. D. (1989). Perceived usefulness, perceived ease of use, and user acceptance of information technology. MIS Quarterly, 319–340.</w:t>
      </w:r>
    </w:p>
    <w:p w14:paraId="72D90FD2" w14:textId="77777777" w:rsidR="00E1705C" w:rsidRPr="003D30A1" w:rsidRDefault="00000000">
      <w:pPr>
        <w:spacing w:after="180" w:line="276" w:lineRule="auto"/>
        <w:ind w:left="360" w:hanging="360"/>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Gitira, C. B. (2025). School-based variables’ influence on performance in the Kenya Certificate of Secondary Education in sub-county schools in Kakamega County, Kenya. East African Journal of Education Studies, 8(3), 180–192.</w:t>
      </w:r>
    </w:p>
    <w:p w14:paraId="0C40CD39" w14:textId="77777777" w:rsidR="00031E74" w:rsidRPr="003D30A1" w:rsidRDefault="00000000">
      <w:pPr>
        <w:spacing w:after="180" w:line="276" w:lineRule="auto"/>
        <w:ind w:left="360" w:hanging="360"/>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Hake, R. R. (1998). Interactive-engagement versus traditional methods: A six-thousand-student survey of mechanics test data for introductory physics courses. American Journal of Physics, 66(1), 64–74.</w:t>
      </w:r>
    </w:p>
    <w:p w14:paraId="2D0DC6C5" w14:textId="77777777" w:rsidR="00031E74" w:rsidRPr="003D30A1" w:rsidRDefault="00000000">
      <w:pPr>
        <w:spacing w:after="180" w:line="276" w:lineRule="auto"/>
        <w:ind w:left="360" w:hanging="360"/>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Mayer, R. E. (2009). Multimedia Learning (2nd ed.). Cambridge University Press.</w:t>
      </w:r>
    </w:p>
    <w:p w14:paraId="048F3CDA" w14:textId="77777777" w:rsidR="00E1705C" w:rsidRPr="003D30A1" w:rsidRDefault="00000000">
      <w:pPr>
        <w:spacing w:after="180" w:line="276" w:lineRule="auto"/>
        <w:ind w:left="360" w:hanging="360"/>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Nizeyimana, T., &amp; Musengimana, J. (2026). Enhancing conceptual understanding of chemistry among ordinary level students through virtual laboratories in Rulindo District, Rwanda [Preprint]. Research Square.</w:t>
      </w:r>
    </w:p>
    <w:p w14:paraId="061E1D0A" w14:textId="77777777" w:rsidR="00E1705C" w:rsidRPr="003D30A1" w:rsidRDefault="00000000">
      <w:pPr>
        <w:spacing w:after="180" w:line="276" w:lineRule="auto"/>
        <w:ind w:left="360" w:hanging="360"/>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Ochieng’, M. A. (2023). Influence of laboratory utilisation on students’ academic achievement in chemistry among public secondary schools in Kisumu County, Kenya (Master’s thesis). Kenyatta University.</w:t>
      </w:r>
    </w:p>
    <w:p w14:paraId="4C4CB1B1" w14:textId="77777777" w:rsidR="00E1705C" w:rsidRPr="003D30A1" w:rsidRDefault="00000000">
      <w:pPr>
        <w:spacing w:after="180" w:line="276" w:lineRule="auto"/>
        <w:ind w:left="360" w:hanging="360"/>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Piaget, J. (1973). To Understand Is to Invent: The Future of Education. Grossman Publishers.</w:t>
      </w:r>
    </w:p>
    <w:p w14:paraId="3549C1D2" w14:textId="77777777" w:rsidR="00031E74" w:rsidRPr="003D30A1" w:rsidRDefault="00000000">
      <w:pPr>
        <w:spacing w:after="180" w:line="276" w:lineRule="auto"/>
        <w:ind w:left="360" w:hanging="360"/>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Sweller, J. (1988). Cognitive load during problem solving: Effects on learning. Cognitive Science, 12(2), 257–285.</w:t>
      </w:r>
    </w:p>
    <w:p w14:paraId="699D6C0E" w14:textId="77777777" w:rsidR="00031E74" w:rsidRPr="003D30A1" w:rsidRDefault="00000000">
      <w:pPr>
        <w:spacing w:after="180" w:line="276" w:lineRule="auto"/>
        <w:ind w:left="360" w:hanging="360"/>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Venkatesh, V., &amp; Bala, H. (2008). Technology acceptance model 3 and a research agenda on interventions. Decision Sciences, 39(2), 273–315.</w:t>
      </w:r>
    </w:p>
    <w:p w14:paraId="57473BF6" w14:textId="77777777" w:rsidR="00E1705C" w:rsidRPr="003D30A1" w:rsidRDefault="00000000">
      <w:pPr>
        <w:spacing w:after="180" w:line="276" w:lineRule="auto"/>
        <w:ind w:left="360" w:hanging="360"/>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Vygotsky, L. S. (1978). Mind in Society: The Development of Higher Psychological Processes. Harvard University Press.</w:t>
      </w:r>
    </w:p>
    <w:sectPr w:rsidR="00E1705C" w:rsidRPr="003D30A1">
      <w:headerReference w:type="default" r:id="rId8"/>
      <w:footerReference w:type="default" r:id="rId9"/>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0FADE" w14:textId="77777777" w:rsidR="00A30E50" w:rsidRDefault="00A30E50">
      <w:r>
        <w:separator/>
      </w:r>
    </w:p>
  </w:endnote>
  <w:endnote w:type="continuationSeparator" w:id="0">
    <w:p w14:paraId="2976B4B2" w14:textId="77777777" w:rsidR="00A30E50" w:rsidRDefault="00A30E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7A647" w14:textId="77777777" w:rsidR="004F7E23" w:rsidRDefault="00000000">
    <w:pPr>
      <w:jc w:val="center"/>
    </w:pPr>
    <w:r>
      <w:rPr>
        <w:rFonts w:ascii="Times New Roman" w:hAnsi="Times New Roman" w:cs="Times New Roman"/>
        <w:color w:val="555555"/>
        <w:sz w:val="20"/>
        <w:szCs w:val="20"/>
      </w:rPr>
      <w:fldChar w:fldCharType="begin"/>
    </w:r>
    <w:r>
      <w:rPr>
        <w:rFonts w:ascii="Times New Roman" w:hAnsi="Times New Roman" w:cs="Times New Roman"/>
        <w:color w:val="555555"/>
        <w:sz w:val="20"/>
        <w:szCs w:val="20"/>
      </w:rPr>
      <w:instrText>PAGE</w:instrText>
    </w:r>
    <w:r>
      <w:rPr>
        <w:rFonts w:ascii="Times New Roman" w:hAnsi="Times New Roman" w:cs="Times New Roman"/>
        <w:color w:val="555555"/>
        <w:sz w:val="20"/>
        <w:szCs w:val="20"/>
      </w:rPr>
      <w:fldChar w:fldCharType="separate"/>
    </w:r>
    <w:r>
      <w:rPr>
        <w:rFonts w:ascii="Times New Roman" w:hAnsi="Times New Roman" w:cs="Times New Roman"/>
        <w:color w:val="555555"/>
        <w:sz w:val="20"/>
        <w:szCs w:val="20"/>
      </w:rPr>
      <w:t>1</w:t>
    </w:r>
    <w:r>
      <w:rPr>
        <w:rFonts w:ascii="Times New Roman" w:hAnsi="Times New Roman" w:cs="Times New Roman"/>
        <w:color w:val="555555"/>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000FD" w14:textId="77777777" w:rsidR="004F7E23" w:rsidRDefault="00000000">
    <w:pPr>
      <w:jc w:val="center"/>
    </w:pPr>
    <w:r>
      <w:rPr>
        <w:rFonts w:ascii="Times New Roman" w:hAnsi="Times New Roman" w:cs="Times New Roman"/>
        <w:color w:val="555555"/>
        <w:sz w:val="20"/>
        <w:szCs w:val="20"/>
      </w:rPr>
      <w:fldChar w:fldCharType="begin"/>
    </w:r>
    <w:r>
      <w:rPr>
        <w:rFonts w:ascii="Times New Roman" w:hAnsi="Times New Roman" w:cs="Times New Roman"/>
        <w:color w:val="555555"/>
        <w:sz w:val="20"/>
        <w:szCs w:val="20"/>
      </w:rPr>
      <w:instrText>PAGE</w:instrText>
    </w:r>
    <w:r>
      <w:rPr>
        <w:rFonts w:ascii="Times New Roman" w:hAnsi="Times New Roman" w:cs="Times New Roman"/>
        <w:color w:val="555555"/>
        <w:sz w:val="20"/>
        <w:szCs w:val="20"/>
      </w:rPr>
      <w:fldChar w:fldCharType="separate"/>
    </w:r>
    <w:r>
      <w:rPr>
        <w:rFonts w:ascii="Times New Roman" w:hAnsi="Times New Roman" w:cs="Times New Roman"/>
        <w:color w:val="555555"/>
        <w:sz w:val="20"/>
        <w:szCs w:val="20"/>
      </w:rPr>
      <w:t>1</w:t>
    </w:r>
    <w:r>
      <w:rPr>
        <w:rFonts w:ascii="Times New Roman" w:hAnsi="Times New Roman" w:cs="Times New Roman"/>
        <w:color w:val="555555"/>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B78E1" w14:textId="77777777" w:rsidR="00A30E50" w:rsidRDefault="00A30E50">
      <w:r>
        <w:separator/>
      </w:r>
    </w:p>
  </w:footnote>
  <w:footnote w:type="continuationSeparator" w:id="0">
    <w:p w14:paraId="38E12F0B" w14:textId="77777777" w:rsidR="00A30E50" w:rsidRDefault="00A30E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5478B" w14:textId="77777777" w:rsidR="00031E74" w:rsidRDefault="00000000">
    <w:pPr>
      <w:pBdr>
        <w:bottom w:val="single" w:sz="4" w:space="0" w:color="BFBFBF"/>
      </w:pBdr>
      <w:jc w:val="right"/>
    </w:pPr>
    <w:r>
      <w:rPr>
        <w:i/>
        <w:iCs/>
        <w:color w:val="777777"/>
        <w:sz w:val="16"/>
        <w:szCs w:val="16"/>
      </w:rPr>
      <w:t>VirtuLab Kenya — Capstone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038B0"/>
    <w:multiLevelType w:val="hybridMultilevel"/>
    <w:tmpl w:val="A6E2DAB8"/>
    <w:lvl w:ilvl="0" w:tplc="4C409F70">
      <w:start w:val="1"/>
      <w:numFmt w:val="bullet"/>
      <w:lvlText w:val="●"/>
      <w:lvlJc w:val="left"/>
      <w:pPr>
        <w:ind w:left="720" w:hanging="360"/>
      </w:pPr>
    </w:lvl>
    <w:lvl w:ilvl="1" w:tplc="1EDC23A4">
      <w:start w:val="1"/>
      <w:numFmt w:val="bullet"/>
      <w:lvlText w:val="○"/>
      <w:lvlJc w:val="left"/>
      <w:pPr>
        <w:ind w:left="1440" w:hanging="360"/>
      </w:pPr>
    </w:lvl>
    <w:lvl w:ilvl="2" w:tplc="C2363120">
      <w:start w:val="1"/>
      <w:numFmt w:val="bullet"/>
      <w:lvlText w:val="■"/>
      <w:lvlJc w:val="left"/>
      <w:pPr>
        <w:ind w:left="2160" w:hanging="360"/>
      </w:pPr>
    </w:lvl>
    <w:lvl w:ilvl="3" w:tplc="05CE0BEA">
      <w:start w:val="1"/>
      <w:numFmt w:val="bullet"/>
      <w:lvlText w:val="●"/>
      <w:lvlJc w:val="left"/>
      <w:pPr>
        <w:ind w:left="2880" w:hanging="360"/>
      </w:pPr>
    </w:lvl>
    <w:lvl w:ilvl="4" w:tplc="623AC786">
      <w:start w:val="1"/>
      <w:numFmt w:val="bullet"/>
      <w:lvlText w:val="○"/>
      <w:lvlJc w:val="left"/>
      <w:pPr>
        <w:ind w:left="3600" w:hanging="360"/>
      </w:pPr>
    </w:lvl>
    <w:lvl w:ilvl="5" w:tplc="D9E4A9A6">
      <w:start w:val="1"/>
      <w:numFmt w:val="bullet"/>
      <w:lvlText w:val="■"/>
      <w:lvlJc w:val="left"/>
      <w:pPr>
        <w:ind w:left="4320" w:hanging="360"/>
      </w:pPr>
    </w:lvl>
    <w:lvl w:ilvl="6" w:tplc="D8FCB9C4">
      <w:start w:val="1"/>
      <w:numFmt w:val="bullet"/>
      <w:lvlText w:val="●"/>
      <w:lvlJc w:val="left"/>
      <w:pPr>
        <w:ind w:left="5040" w:hanging="360"/>
      </w:pPr>
    </w:lvl>
    <w:lvl w:ilvl="7" w:tplc="18724242">
      <w:start w:val="1"/>
      <w:numFmt w:val="bullet"/>
      <w:lvlText w:val="●"/>
      <w:lvlJc w:val="left"/>
      <w:pPr>
        <w:ind w:left="5760" w:hanging="360"/>
      </w:pPr>
    </w:lvl>
    <w:lvl w:ilvl="8" w:tplc="2ACE911A">
      <w:start w:val="1"/>
      <w:numFmt w:val="bullet"/>
      <w:lvlText w:val="●"/>
      <w:lvlJc w:val="left"/>
      <w:pPr>
        <w:ind w:left="6480" w:hanging="360"/>
      </w:pPr>
    </w:lvl>
  </w:abstractNum>
  <w:abstractNum w:abstractNumId="1" w15:restartNumberingAfterBreak="0">
    <w:nsid w:val="0B350F23"/>
    <w:multiLevelType w:val="hybridMultilevel"/>
    <w:tmpl w:val="E6B8D770"/>
    <w:lvl w:ilvl="0" w:tplc="8DE64ADC">
      <w:start w:val="1"/>
      <w:numFmt w:val="bullet"/>
      <w:lvlText w:val="•"/>
      <w:lvlJc w:val="left"/>
      <w:pPr>
        <w:ind w:left="540" w:hanging="270"/>
      </w:pPr>
    </w:lvl>
    <w:lvl w:ilvl="1" w:tplc="52808E9A">
      <w:numFmt w:val="decimal"/>
      <w:lvlText w:val=""/>
      <w:lvlJc w:val="left"/>
    </w:lvl>
    <w:lvl w:ilvl="2" w:tplc="4664DC44">
      <w:numFmt w:val="decimal"/>
      <w:lvlText w:val=""/>
      <w:lvlJc w:val="left"/>
    </w:lvl>
    <w:lvl w:ilvl="3" w:tplc="E0F6D4A6">
      <w:numFmt w:val="decimal"/>
      <w:lvlText w:val=""/>
      <w:lvlJc w:val="left"/>
    </w:lvl>
    <w:lvl w:ilvl="4" w:tplc="6E181746">
      <w:numFmt w:val="decimal"/>
      <w:lvlText w:val=""/>
      <w:lvlJc w:val="left"/>
    </w:lvl>
    <w:lvl w:ilvl="5" w:tplc="2CECD4D8">
      <w:numFmt w:val="decimal"/>
      <w:lvlText w:val=""/>
      <w:lvlJc w:val="left"/>
    </w:lvl>
    <w:lvl w:ilvl="6" w:tplc="F3C0C6CC">
      <w:numFmt w:val="decimal"/>
      <w:lvlText w:val=""/>
      <w:lvlJc w:val="left"/>
    </w:lvl>
    <w:lvl w:ilvl="7" w:tplc="2D600314">
      <w:numFmt w:val="decimal"/>
      <w:lvlText w:val=""/>
      <w:lvlJc w:val="left"/>
    </w:lvl>
    <w:lvl w:ilvl="8" w:tplc="55B0DCA2">
      <w:numFmt w:val="decimal"/>
      <w:lvlText w:val=""/>
      <w:lvlJc w:val="left"/>
    </w:lvl>
  </w:abstractNum>
  <w:num w:numId="1" w16cid:durableId="1140462202">
    <w:abstractNumId w:val="0"/>
    <w:lvlOverride w:ilvl="0">
      <w:startOverride w:val="1"/>
    </w:lvlOverride>
  </w:num>
  <w:num w:numId="2" w16cid:durableId="8582049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E74"/>
    <w:rsid w:val="000076D9"/>
    <w:rsid w:val="00031E74"/>
    <w:rsid w:val="000F2B04"/>
    <w:rsid w:val="0010097B"/>
    <w:rsid w:val="00145E73"/>
    <w:rsid w:val="0015551C"/>
    <w:rsid w:val="001566C3"/>
    <w:rsid w:val="001A50D6"/>
    <w:rsid w:val="001C0983"/>
    <w:rsid w:val="001C57D4"/>
    <w:rsid w:val="00216277"/>
    <w:rsid w:val="00300616"/>
    <w:rsid w:val="003D30A1"/>
    <w:rsid w:val="00402DA5"/>
    <w:rsid w:val="0041027B"/>
    <w:rsid w:val="004F7E23"/>
    <w:rsid w:val="00515FF2"/>
    <w:rsid w:val="005B1E2F"/>
    <w:rsid w:val="00623D27"/>
    <w:rsid w:val="00701376"/>
    <w:rsid w:val="00717B8E"/>
    <w:rsid w:val="008560F0"/>
    <w:rsid w:val="00881ABE"/>
    <w:rsid w:val="008B3C9E"/>
    <w:rsid w:val="008C7748"/>
    <w:rsid w:val="00941884"/>
    <w:rsid w:val="009A34D6"/>
    <w:rsid w:val="00A30E50"/>
    <w:rsid w:val="00A63E9A"/>
    <w:rsid w:val="00B229E7"/>
    <w:rsid w:val="00B26D30"/>
    <w:rsid w:val="00B61BB5"/>
    <w:rsid w:val="00BB3178"/>
    <w:rsid w:val="00BE31E5"/>
    <w:rsid w:val="00BE344A"/>
    <w:rsid w:val="00D40711"/>
    <w:rsid w:val="00DD0C72"/>
    <w:rsid w:val="00E1705C"/>
    <w:rsid w:val="00E626CA"/>
    <w:rsid w:val="00EB2D6F"/>
    <w:rsid w:val="00FD1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A616E"/>
  <w15:docId w15:val="{676058A1-A74C-4A96-9F1B-86C0D361F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496</TotalTime>
  <Pages>1</Pages>
  <Words>8723</Words>
  <Characters>49722</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tellah harrison</cp:lastModifiedBy>
  <cp:revision>3</cp:revision>
  <dcterms:created xsi:type="dcterms:W3CDTF">2026-08-17T00:44:00Z</dcterms:created>
  <dcterms:modified xsi:type="dcterms:W3CDTF">2026-09-16T19:55:00Z</dcterms:modified>
</cp:coreProperties>
</file>