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b/>
          <w:color w:val="1B365D"/>
          <w:sz w:val="36"/>
        </w:rPr>
        <w:t>VirtuLab Kenya: 15-Slide Capstone Proposal Defense Deck (V11)</w:t>
      </w:r>
    </w:p>
    <w:tbl>
      <w:tblPr>
        <w:tblW w:type="auto" w:w="0"/>
        <w:tblLook w:firstColumn="1" w:firstRow="1" w:lastColumn="0" w:lastRow="0" w:noHBand="0" w:noVBand="1" w:val="04A0"/>
      </w:tblPr>
      <w:tblGrid>
        <w:gridCol w:w="9360"/>
      </w:tblGrid>
      <w:tr>
        <w:tc>
          <w:tcPr>
            <w:tcW w:type="dxa" w:w="9360"/>
            <w:shd w:fill="EBF3FB"/>
            <w:tcMar>
              <w:top w:w="80" w:type="dxa"/>
              <w:bottom w:w="80" w:type="dxa"/>
              <w:left w:w="120" w:type="dxa"/>
              <w:right w:w="120" w:type="dxa"/>
            </w:tcMar>
          </w:tcPr>
          <w:p>
            <w:pPr>
              <w:spacing w:after="40"/>
            </w:pPr>
            <w:r>
              <w:rPr>
                <w:i/>
                <w:color w:val="1B365D"/>
                <w:sz w:val="20"/>
              </w:rPr>
              <w:t>Document Target: Master Defense Presentation &amp; Committee Examination</w:t>
            </w:r>
          </w:p>
        </w:tc>
      </w:tr>
    </w:tbl>
    <w:tbl>
      <w:tblPr>
        <w:tblW w:type="auto" w:w="0"/>
        <w:tblLook w:firstColumn="1" w:firstRow="1" w:lastColumn="0" w:lastRow="0" w:noHBand="0" w:noVBand="1" w:val="04A0"/>
      </w:tblPr>
      <w:tblGrid>
        <w:gridCol w:w="9360"/>
      </w:tblGrid>
      <w:tr>
        <w:tc>
          <w:tcPr>
            <w:tcW w:type="dxa" w:w="9360"/>
            <w:shd w:fill="EBF3FB"/>
            <w:tcMar>
              <w:top w:w="80" w:type="dxa"/>
              <w:bottom w:w="80" w:type="dxa"/>
              <w:left w:w="120" w:type="dxa"/>
              <w:right w:w="120" w:type="dxa"/>
            </w:tcMar>
          </w:tcPr>
          <w:p>
            <w:pPr>
              <w:spacing w:after="40"/>
            </w:pPr>
            <w:r>
              <w:rPr>
                <w:i/>
                <w:color w:val="1B365D"/>
                <w:sz w:val="20"/>
              </w:rPr>
              <w:t>Target Duration: 20 Minutes Presentation + 15 Minutes Q&amp;A</w:t>
            </w:r>
          </w:p>
        </w:tc>
      </w:tr>
    </w:tbl>
    <w:tbl>
      <w:tblPr>
        <w:tblW w:type="auto" w:w="0"/>
        <w:tblLook w:firstColumn="1" w:firstRow="1" w:lastColumn="0" w:lastRow="0" w:noHBand="0" w:noVBand="1" w:val="04A0"/>
      </w:tblPr>
      <w:tblGrid>
        <w:gridCol w:w="9360"/>
      </w:tblGrid>
      <w:tr>
        <w:tc>
          <w:tcPr>
            <w:tcW w:type="dxa" w:w="9360"/>
            <w:shd w:fill="EBF3FB"/>
            <w:tcMar>
              <w:top w:w="80" w:type="dxa"/>
              <w:bottom w:w="80" w:type="dxa"/>
              <w:left w:w="120" w:type="dxa"/>
              <w:right w:w="120" w:type="dxa"/>
            </w:tcMar>
          </w:tcPr>
          <w:p>
            <w:pPr>
              <w:spacing w:after="40"/>
            </w:pPr>
            <w:r>
              <w:rPr>
                <w:i/>
                <w:color w:val="1B365D"/>
                <w:sz w:val="20"/>
              </w:rPr>
              <w:t>Audience: Academic Defense Panel, External Examiners, Departmental Reviewers</w:t>
            </w:r>
          </w:p>
        </w:tc>
      </w:tr>
    </w:tbl>
    <w:tbl>
      <w:tblPr>
        <w:tblW w:type="auto" w:w="0"/>
        <w:tblLook w:firstColumn="1" w:firstRow="1" w:lastColumn="0" w:lastRow="0" w:noHBand="0" w:noVBand="1" w:val="04A0"/>
      </w:tblPr>
      <w:tblGrid>
        <w:gridCol w:w="9360"/>
      </w:tblGrid>
      <w:tr>
        <w:tc>
          <w:tcPr>
            <w:tcW w:type="dxa" w:w="9360"/>
            <w:shd w:fill="EBF3FB"/>
            <w:tcMar>
              <w:top w:w="80" w:type="dxa"/>
              <w:bottom w:w="80" w:type="dxa"/>
              <w:left w:w="120" w:type="dxa"/>
              <w:right w:w="120" w:type="dxa"/>
            </w:tcMar>
          </w:tcPr>
          <w:p>
            <w:pPr>
              <w:spacing w:after="40"/>
            </w:pPr>
            <w:r>
              <w:rPr>
                <w:i/>
                <w:color w:val="1B365D"/>
                <w:sz w:val="20"/>
              </w:rPr>
              <w:t>Status: Final &amp; Aligned with Proposal V11</w:t>
            </w:r>
          </w:p>
        </w:tc>
      </w:tr>
    </w:tbl>
    <w:p>
      <w:pPr>
        <w:spacing w:before="80" w:after="80"/>
      </w:pPr>
      <w:r>
        <w:rPr>
          <w:color w:val="CCCCCC"/>
        </w:rPr>
        <w:t>――――――――――――――――――――――――――――――――――――――――――――――――――</w:t>
      </w:r>
    </w:p>
    <w:p>
      <w:pPr>
        <w:spacing w:before="240" w:after="80"/>
      </w:pPr>
      <w:r>
        <w:rPr>
          <w:b/>
          <w:color w:val="1B365D"/>
          <w:sz w:val="28"/>
        </w:rPr>
        <w:t>Slide-by-Slide Defense Deck</w:t>
      </w:r>
    </w:p>
    <w:p>
      <w:pPr>
        <w:spacing w:before="80" w:after="80"/>
      </w:pPr>
      <w:r>
        <w:rPr>
          <w:color w:val="CCCCCC"/>
        </w:rPr>
        <w:t>――――――――――――――――――――――――――――――――――――――――――――――――――</w:t>
      </w:r>
    </w:p>
    <w:p>
      <w:pPr>
        <w:spacing w:before="160" w:after="40"/>
      </w:pPr>
      <w:r>
        <w:rPr>
          <w:b/>
          <w:color w:val="2E5B88"/>
          <w:sz w:val="24"/>
        </w:rPr>
        <w:t>Slide 1: Title &amp; Candidate Introduction</w:t>
      </w:r>
    </w:p>
    <w:p>
      <w:pPr>
        <w:pStyle w:val="ListBullet"/>
        <w:spacing w:after="40" w:line="276" w:lineRule="auto"/>
      </w:pPr>
      <w:r/>
      <w:r>
        <w:rPr>
          <w:b/>
        </w:rPr>
        <w:t>Slide Title:</w:t>
      </w:r>
      <w:r>
        <w:t xml:space="preserve"> </w:t>
      </w:r>
      <w:r>
        <w:rPr>
          <w:b/>
        </w:rPr>
        <w:t>VirtuLab Kenya: An Offline-First Virtual Chemistry Laboratory Progressive Web Application for Resource-Constrained Secondary Schools</w:t>
      </w:r>
      <w:r/>
    </w:p>
    <w:p>
      <w:pPr>
        <w:pStyle w:val="ListBullet"/>
        <w:spacing w:after="40" w:line="276" w:lineRule="auto"/>
      </w:pPr>
      <w:r/>
      <w:r>
        <w:rPr>
          <w:b/>
        </w:rPr>
        <w:t>Visual Elements:</w:t>
      </w:r>
      <w:r/>
    </w:p>
    <w:p>
      <w:pPr>
        <w:pStyle w:val="ListBullet"/>
        <w:spacing w:after="40" w:line="276" w:lineRule="auto"/>
      </w:pPr>
      <w:r>
        <w:t>Clean university branding with title, candidate name, registration number, supervisor names, and institutional affiliation (Open University of Kenya).</w:t>
      </w:r>
    </w:p>
    <w:p>
      <w:pPr>
        <w:pStyle w:val="ListBullet"/>
        <w:spacing w:after="40" w:line="276" w:lineRule="auto"/>
      </w:pPr>
      <w:r>
        <w:t>High-resolution graphic thumbnail of VirtuLab Kenya running on a low-end mobile smartphone alongside a titration burette.</w:t>
      </w:r>
    </w:p>
    <w:p>
      <w:pPr>
        <w:pStyle w:val="ListBullet"/>
        <w:spacing w:after="40" w:line="276" w:lineRule="auto"/>
      </w:pPr>
      <w:r/>
      <w:r>
        <w:rPr>
          <w:b/>
        </w:rPr>
        <w:t>Presenter Script (1 Minute):</w:t>
      </w:r>
      <w:r/>
    </w:p>
    <w:tbl>
      <w:tblPr>
        <w:tblW w:type="auto" w:w="0"/>
        <w:tblLook w:firstColumn="1" w:firstRow="1" w:lastColumn="0" w:lastRow="0" w:noHBand="0" w:noVBand="1" w:val="04A0"/>
      </w:tblPr>
      <w:tblGrid>
        <w:gridCol w:w="9360"/>
      </w:tblGrid>
      <w:tr>
        <w:tc>
          <w:tcPr>
            <w:tcW w:type="dxa" w:w="9360"/>
            <w:shd w:fill="EBF3FB"/>
            <w:tcMar>
              <w:top w:w="80" w:type="dxa"/>
              <w:bottom w:w="80" w:type="dxa"/>
              <w:left w:w="120" w:type="dxa"/>
              <w:right w:w="120" w:type="dxa"/>
            </w:tcMar>
          </w:tcPr>
          <w:p>
            <w:pPr>
              <w:spacing w:after="40"/>
            </w:pPr>
            <w:r>
              <w:rPr>
                <w:i/>
                <w:color w:val="1B365D"/>
                <w:sz w:val="20"/>
              </w:rPr>
              <w:t>*"Good morning, esteemed members of the defense panel, supervisors, and colleagues. Today, I am proud to present the design, development, and proposed quasi-experimental evaluation of VirtuLab Kenya—an ultralight, offline-first virtual chemistry laboratory Progressive Web Application engineered specifically for the resource-constrained secondary classrooms of Kenya."*</w:t>
            </w:r>
          </w:p>
        </w:tc>
      </w:tr>
    </w:tbl>
    <w:p>
      <w:pPr>
        <w:spacing w:before="80" w:after="80"/>
      </w:pPr>
      <w:r>
        <w:rPr>
          <w:color w:val="CCCCCC"/>
        </w:rPr>
        <w:t>――――――――――――――――――――――――――――――――――――――――――――――――――</w:t>
      </w:r>
    </w:p>
    <w:p>
      <w:pPr>
        <w:spacing w:before="160" w:after="40"/>
      </w:pPr>
      <w:r>
        <w:rPr>
          <w:b/>
          <w:color w:val="2E5B88"/>
          <w:sz w:val="24"/>
        </w:rPr>
        <w:t>Slide 2: The Equity Problem: Kenya's Practical STEM Crisis</w:t>
      </w:r>
    </w:p>
    <w:p>
      <w:pPr>
        <w:pStyle w:val="ListBullet"/>
        <w:spacing w:after="40" w:line="276" w:lineRule="auto"/>
      </w:pPr>
      <w:r/>
      <w:r>
        <w:rPr>
          <w:b/>
        </w:rPr>
        <w:t>Slide Title:</w:t>
      </w:r>
      <w:r>
        <w:t xml:space="preserve"> </w:t>
      </w:r>
      <w:r>
        <w:rPr>
          <w:b/>
        </w:rPr>
        <w:t>The Problem: The Practical Chemistry Divide in Kenyan Secondary Schools</w:t>
      </w:r>
      <w:r/>
    </w:p>
    <w:p>
      <w:pPr>
        <w:pStyle w:val="ListBullet"/>
        <w:spacing w:after="40" w:line="276" w:lineRule="auto"/>
      </w:pPr>
      <w:r/>
      <w:r>
        <w:rPr>
          <w:b/>
        </w:rPr>
        <w:t>Key Bullet Points:</w:t>
      </w:r>
      <w:r/>
    </w:p>
    <w:p>
      <w:pPr>
        <w:pStyle w:val="ListBullet"/>
        <w:spacing w:after="40" w:line="276" w:lineRule="auto"/>
      </w:pPr>
      <w:r/>
      <w:r>
        <w:rPr>
          <w:b/>
        </w:rPr>
        <w:t>The Structural Deficit:</w:t>
      </w:r>
      <w:r>
        <w:t xml:space="preserve"> Over </w:t>
      </w:r>
      <w:r>
        <w:rPr>
          <w:b/>
        </w:rPr>
        <w:t>60% of public Sub-County day schools lack functional chemistry laboratories</w:t>
      </w:r>
      <w:r>
        <w:t>, running water, gas lines, or chemical reagents.</w:t>
      </w:r>
    </w:p>
    <w:p>
      <w:pPr>
        <w:pStyle w:val="ListBullet"/>
        <w:spacing w:after="40" w:line="276" w:lineRule="auto"/>
      </w:pPr>
      <w:r/>
      <w:r>
        <w:rPr>
          <w:b/>
        </w:rPr>
        <w:t>The High-Stakes Assessment Mandate:</w:t>
      </w:r>
      <w:r>
        <w:t xml:space="preserve"> The </w:t>
      </w:r>
      <w:r>
        <w:rPr>
          <w:b/>
        </w:rPr>
        <w:t>KNEC KCSE Chemistry Paper 3 (233/3)</w:t>
      </w:r>
      <w:r>
        <w:t xml:space="preserve"> is a compulsory practical examination carrying </w:t>
      </w:r>
      <w:r>
        <w:rPr>
          <w:b/>
        </w:rPr>
        <w:t>40% of the candidate's final chemistry grade</w:t>
      </w:r>
      <w:r>
        <w:t>.</w:t>
      </w:r>
    </w:p>
    <w:p>
      <w:pPr>
        <w:pStyle w:val="ListBullet"/>
        <w:spacing w:after="40" w:line="276" w:lineRule="auto"/>
      </w:pPr>
      <w:r/>
      <w:r>
        <w:rPr>
          <w:b/>
        </w:rPr>
        <w:t>The Consequence:</w:t>
      </w:r>
      <w:r>
        <w:t xml:space="preserve"> Disadvantaged candidates enter national examinations having never manipulated a burette, resulting in procedural anxiety, concordant averaging penalties, and depressed national STEM qualification rates.</w:t>
      </w:r>
    </w:p>
    <w:p>
      <w:pPr>
        <w:pStyle w:val="ListBullet"/>
        <w:spacing w:after="40" w:line="276" w:lineRule="auto"/>
      </w:pPr>
      <w:r/>
      <w:r>
        <w:rPr>
          <w:b/>
        </w:rPr>
        <w:t>Presenter Script (1.5 Minutes):</w:t>
      </w:r>
      <w:r/>
    </w:p>
    <w:tbl>
      <w:tblPr>
        <w:tblW w:type="auto" w:w="0"/>
        <w:tblLook w:firstColumn="1" w:firstRow="1" w:lastColumn="0" w:lastRow="0" w:noHBand="0" w:noVBand="1" w:val="04A0"/>
      </w:tblPr>
      <w:tblGrid>
        <w:gridCol w:w="9360"/>
      </w:tblGrid>
      <w:tr>
        <w:tc>
          <w:tcPr>
            <w:tcW w:type="dxa" w:w="9360"/>
            <w:shd w:fill="EBF3FB"/>
            <w:tcMar>
              <w:top w:w="80" w:type="dxa"/>
              <w:bottom w:w="80" w:type="dxa"/>
              <w:left w:w="120" w:type="dxa"/>
              <w:right w:w="120" w:type="dxa"/>
            </w:tcMar>
          </w:tcPr>
          <w:p>
            <w:pPr>
              <w:spacing w:after="40"/>
            </w:pPr>
            <w:r>
              <w:rPr>
                <w:i/>
                <w:color w:val="1B365D"/>
                <w:sz w:val="20"/>
              </w:rPr>
              <w:t>*"In Kenya, secondary science education faces a profound structural paradox. While national policy positions STEM as the primary engine for Vision 2030, over 60% of our secondary schools—predominantly sub-county day schools serving low-income communities—lack functional laboratories. Yet, every single candidate must sit KCSE Paper 3, which carries 40% of their final grade. Students in these schools are forced to learn practical chemistry through chalk-and-talk demonstrations. They sit their final exam experiencing severe procedural anxiety, forfeiting marks on basic tasks like reading meniscuses or calculating concordant titres within the KNEC $\pm 0.10\text{ cm}^3$ tolerance. VirtuLab Kenya was created to eliminate this equity gap."*</w:t>
            </w:r>
          </w:p>
        </w:tc>
      </w:tr>
    </w:tbl>
    <w:p>
      <w:pPr>
        <w:spacing w:before="80" w:after="80"/>
      </w:pPr>
      <w:r>
        <w:rPr>
          <w:color w:val="CCCCCC"/>
        </w:rPr>
        <w:t>――――――――――――――――――――――――――――――――――――――――――――――――――</w:t>
      </w:r>
    </w:p>
    <w:p>
      <w:pPr>
        <w:spacing w:before="160" w:after="40"/>
      </w:pPr>
      <w:r>
        <w:rPr>
          <w:b/>
          <w:color w:val="2E5B88"/>
          <w:sz w:val="24"/>
        </w:rPr>
        <w:t>Slide 3: Research Objectives &amp; Research Questions</w:t>
      </w:r>
    </w:p>
    <w:p>
      <w:pPr>
        <w:pStyle w:val="ListBullet"/>
        <w:spacing w:after="40" w:line="276" w:lineRule="auto"/>
      </w:pPr>
      <w:r/>
      <w:r>
        <w:rPr>
          <w:b/>
        </w:rPr>
        <w:t>Slide Title:</w:t>
      </w:r>
      <w:r>
        <w:t xml:space="preserve"> </w:t>
      </w:r>
      <w:r>
        <w:rPr>
          <w:b/>
        </w:rPr>
        <w:t>Research Purpose, Specific Objectives &amp; Research Questions</w:t>
      </w:r>
      <w:r/>
    </w:p>
    <w:p>
      <w:pPr>
        <w:pStyle w:val="ListBullet"/>
        <w:spacing w:after="40" w:line="276" w:lineRule="auto"/>
      </w:pPr>
      <w:r/>
      <w:r>
        <w:rPr>
          <w:b/>
        </w:rPr>
        <w:t>Key Bullet Points:</w:t>
      </w:r>
      <w:r/>
    </w:p>
    <w:p>
      <w:pPr>
        <w:pStyle w:val="ListBullet"/>
        <w:spacing w:after="40" w:line="276" w:lineRule="auto"/>
      </w:pPr>
      <w:r/>
      <w:r>
        <w:rPr>
          <w:b/>
        </w:rPr>
        <w:t>Objective 1 (Design &amp; Build):</w:t>
      </w:r>
      <w:r>
        <w:t xml:space="preserve"> Architect an ultralight ($&lt;3.5\text{ MB}$), offline-first PWA simulating 7 core KICD chemistry practicals with bilingual scaffolding and automated KNEC Paper 3 rubric grading.</w:t>
      </w:r>
    </w:p>
    <w:p>
      <w:pPr>
        <w:pStyle w:val="ListBullet"/>
        <w:spacing w:after="40" w:line="276" w:lineRule="auto"/>
      </w:pPr>
      <w:r/>
      <w:r>
        <w:rPr>
          <w:b/>
        </w:rPr>
        <w:t>Objective 2 (Cognitive Mastery):</w:t>
      </w:r>
      <w:r>
        <w:t xml:space="preserve"> Evaluate whether VirtuLab Kenya produces statistically significant learning gains on the Chemistry Practical Competency Achievement Test (CPCAT).</w:t>
      </w:r>
    </w:p>
    <w:p>
      <w:pPr>
        <w:pStyle w:val="ListBullet"/>
        <w:spacing w:after="40" w:line="276" w:lineRule="auto"/>
      </w:pPr>
      <w:r/>
      <w:r>
        <w:rPr>
          <w:b/>
        </w:rPr>
        <w:t>Objective 3 (Affective Relief):</w:t>
      </w:r>
      <w:r>
        <w:t xml:space="preserve"> Investigate the reduction of laboratory procedural anxiety using the Chemistry Practical Anxiety Scale (CPAS).</w:t>
      </w:r>
    </w:p>
    <w:p>
      <w:pPr>
        <w:pStyle w:val="ListBullet"/>
        <w:spacing w:after="40" w:line="276" w:lineRule="auto"/>
      </w:pPr>
      <w:r/>
      <w:r>
        <w:rPr>
          <w:b/>
        </w:rPr>
        <w:t>Objective 4 (System Usability &amp; Acceptance):</w:t>
      </w:r>
      <w:r>
        <w:t xml:space="preserve"> Assess student usability (SUS) and teacher adoption dynamics (TAM 3) across stratified school tiers.</w:t>
      </w:r>
    </w:p>
    <w:p>
      <w:pPr>
        <w:pStyle w:val="ListBullet"/>
        <w:spacing w:after="40" w:line="276" w:lineRule="auto"/>
      </w:pPr>
      <w:r/>
      <w:r>
        <w:rPr>
          <w:b/>
        </w:rPr>
        <w:t>Presenter Script (1 Minute):</w:t>
      </w:r>
      <w:r/>
    </w:p>
    <w:tbl>
      <w:tblPr>
        <w:tblW w:type="auto" w:w="0"/>
        <w:tblLook w:firstColumn="1" w:firstRow="1" w:lastColumn="0" w:lastRow="0" w:noHBand="0" w:noVBand="1" w:val="04A0"/>
      </w:tblPr>
      <w:tblGrid>
        <w:gridCol w:w="9360"/>
      </w:tblGrid>
      <w:tr>
        <w:tc>
          <w:tcPr>
            <w:tcW w:type="dxa" w:w="9360"/>
            <w:shd w:fill="EBF3FB"/>
            <w:tcMar>
              <w:top w:w="80" w:type="dxa"/>
              <w:bottom w:w="80" w:type="dxa"/>
              <w:left w:w="120" w:type="dxa"/>
              <w:right w:w="120" w:type="dxa"/>
            </w:tcMar>
          </w:tcPr>
          <w:p>
            <w:pPr>
              <w:spacing w:after="40"/>
            </w:pPr>
            <w:r>
              <w:rPr>
                <w:i/>
                <w:color w:val="1B365D"/>
                <w:sz w:val="20"/>
              </w:rPr>
              <w:t>*"Guided by Design and Development Research (DDR) methodology, this study pursues four unified objectives: first, to engineer a zero-dependency, offline-first PWA under 3.5 MB; second, to evaluate cognitive achievement gains on KNEC-aligned practical competencies; third, to measure procedural anxiety reduction; and fourth, to assess interface usability and teacher technology acceptance in offline environments."*</w:t>
            </w:r>
          </w:p>
        </w:tc>
      </w:tr>
    </w:tbl>
    <w:p>
      <w:pPr>
        <w:spacing w:before="80" w:after="80"/>
      </w:pPr>
      <w:r>
        <w:rPr>
          <w:color w:val="CCCCCC"/>
        </w:rPr>
        <w:t>――――――――――――――――――――――――――――――――――――――――――――――――――</w:t>
      </w:r>
    </w:p>
    <w:p>
      <w:pPr>
        <w:spacing w:before="160" w:after="40"/>
      </w:pPr>
      <w:r>
        <w:rPr>
          <w:b/>
          <w:color w:val="2E5B88"/>
          <w:sz w:val="24"/>
        </w:rPr>
        <w:t>Slide 4: Theoretical &amp; Pedagogical Framework</w:t>
      </w:r>
    </w:p>
    <w:p>
      <w:pPr>
        <w:pStyle w:val="ListBullet"/>
        <w:spacing w:after="40" w:line="276" w:lineRule="auto"/>
      </w:pPr>
      <w:r/>
      <w:r>
        <w:rPr>
          <w:b/>
        </w:rPr>
        <w:t>Slide Title:</w:t>
      </w:r>
      <w:r>
        <w:t xml:space="preserve"> </w:t>
      </w:r>
      <w:r>
        <w:rPr>
          <w:b/>
        </w:rPr>
        <w:t>Theoretical Grounding: Cognitive &amp; Instructional Architecture</w:t>
      </w:r>
      <w:r/>
    </w:p>
    <w:p>
      <w:pPr>
        <w:pStyle w:val="ListBullet"/>
        <w:spacing w:after="40" w:line="276" w:lineRule="auto"/>
      </w:pPr>
      <w:r/>
      <w:r>
        <w:rPr>
          <w:b/>
        </w:rPr>
        <w:t>Visual Elements:</w:t>
      </w:r>
      <w:r>
        <w:t xml:space="preserve"> A four-quadrant diagram mapping theory to platform features:</w:t>
      </w:r>
    </w:p>
    <w:p>
      <w:pPr>
        <w:pStyle w:val="ListBullet"/>
        <w:spacing w:after="40" w:line="276" w:lineRule="auto"/>
      </w:pPr>
      <w:r/>
      <w:r>
        <w:rPr>
          <w:b/>
        </w:rPr>
        <w:t>Constructivism (Piaget &amp; Vygotsky):</w:t>
      </w:r>
      <w:r>
        <w:t xml:space="preserve"> Active learner manipulation on interactive canvas workbenches with bilingual ZPD scaffolding.</w:t>
      </w:r>
    </w:p>
    <w:p>
      <w:pPr>
        <w:pStyle w:val="ListBullet"/>
        <w:spacing w:after="40" w:line="276" w:lineRule="auto"/>
      </w:pPr>
      <w:r/>
      <w:r>
        <w:rPr>
          <w:b/>
        </w:rPr>
        <w:t>Cognitive Theory of Multimedia Learning (Mayer):</w:t>
      </w:r>
      <w:r>
        <w:t xml:space="preserve"> Spatial and temporal contiguity via a five-tab single-screen workspace, avoiding split-attention.</w:t>
      </w:r>
    </w:p>
    <w:p>
      <w:pPr>
        <w:pStyle w:val="ListBullet"/>
        <w:spacing w:after="40" w:line="276" w:lineRule="auto"/>
      </w:pPr>
      <w:r/>
      <w:r>
        <w:rPr>
          <w:b/>
        </w:rPr>
        <w:t>Bybee’s 5E Instructional Model (2009):</w:t>
      </w:r>
      <w:r>
        <w:t xml:space="preserve"> Structured progression: *Engage* (scenarios), *Explore* (canvas workbench), *Explain* (dynamic sub-microscopic popovers), *Elaborate* (KNEC tables &amp; stoichiometry), *Evaluate* (timed Exam Mode).</w:t>
      </w:r>
    </w:p>
    <w:p>
      <w:pPr>
        <w:pStyle w:val="ListBullet"/>
        <w:spacing w:after="40" w:line="276" w:lineRule="auto"/>
      </w:pPr>
      <w:r/>
      <w:r>
        <w:rPr>
          <w:b/>
        </w:rPr>
        <w:t>TAM 3 &amp; UTAUT Synthesis:</w:t>
      </w:r>
      <w:r>
        <w:t xml:space="preserve"> Modeling Perceived Usefulness (PU) and Perceived Ease of Use (PEOU) anchored by Perceptions of External Control (PEC) and Facilitating Conditions.</w:t>
      </w:r>
    </w:p>
    <w:p>
      <w:pPr>
        <w:pStyle w:val="ListBullet"/>
        <w:spacing w:after="40" w:line="276" w:lineRule="auto"/>
      </w:pPr>
      <w:r/>
      <w:r>
        <w:rPr>
          <w:b/>
        </w:rPr>
        <w:t>Presenter Script (1.5 Minutes):</w:t>
      </w:r>
      <w:r/>
    </w:p>
    <w:tbl>
      <w:tblPr>
        <w:tblW w:type="auto" w:w="0"/>
        <w:tblLook w:firstColumn="1" w:firstRow="1" w:lastColumn="0" w:lastRow="0" w:noHBand="0" w:noVBand="1" w:val="04A0"/>
      </w:tblPr>
      <w:tblGrid>
        <w:gridCol w:w="9360"/>
      </w:tblGrid>
      <w:tr>
        <w:tc>
          <w:tcPr>
            <w:tcW w:type="dxa" w:w="9360"/>
            <w:shd w:fill="EBF3FB"/>
            <w:tcMar>
              <w:top w:w="80" w:type="dxa"/>
              <w:bottom w:w="80" w:type="dxa"/>
              <w:left w:w="120" w:type="dxa"/>
              <w:right w:w="120" w:type="dxa"/>
            </w:tcMar>
          </w:tcPr>
          <w:p>
            <w:pPr>
              <w:spacing w:after="40"/>
            </w:pPr>
            <w:r>
              <w:rPr>
                <w:i/>
                <w:color w:val="1B365D"/>
                <w:sz w:val="20"/>
              </w:rPr>
              <w:t>*"The platform is not merely a piece of software; it is grounded in four rigorous pedagogical frameworks. Constructivist active learning enables students to test hypotheses risk-free. Mayer’s Cognitive Theory of Multimedia Learning governs the five-tab layout, eliminating the split-attention effect by co-locating instructions, the apparatus canvas, and data tables. We operationalize Bybee's 5E model to structure guided student inquiry, and apply Venkatesh's TAM 3—anchored by Perceptions of External Control—to account for infrastructure realities in our adoption models."*</w:t>
            </w:r>
          </w:p>
        </w:tc>
      </w:tr>
    </w:tbl>
    <w:p>
      <w:pPr>
        <w:spacing w:before="80" w:after="80"/>
      </w:pPr>
      <w:r>
        <w:rPr>
          <w:color w:val="CCCCCC"/>
        </w:rPr>
        <w:t>――――――――――――――――――――――――――――――――――――――――――――――――――</w:t>
      </w:r>
    </w:p>
    <w:p>
      <w:pPr>
        <w:spacing w:before="160" w:after="40"/>
      </w:pPr>
      <w:r>
        <w:rPr>
          <w:b/>
          <w:color w:val="2E5B88"/>
          <w:sz w:val="24"/>
        </w:rPr>
        <w:t>Slide 5: Platform Benchmarking: Identifying the Localized Niche</w:t>
      </w:r>
    </w:p>
    <w:p>
      <w:pPr>
        <w:pStyle w:val="ListBullet"/>
        <w:spacing w:after="40" w:line="276" w:lineRule="auto"/>
      </w:pPr>
      <w:r/>
      <w:r>
        <w:rPr>
          <w:b/>
        </w:rPr>
        <w:t>Slide Title:</w:t>
      </w:r>
      <w:r>
        <w:t xml:space="preserve"> </w:t>
      </w:r>
      <w:r>
        <w:rPr>
          <w:b/>
        </w:rPr>
        <w:t>Platform Benchmarking: Why Existing Solutions Fall Short in Kenya</w:t>
      </w:r>
      <w:r/>
    </w:p>
    <w:p>
      <w:pPr>
        <w:pStyle w:val="ListBullet"/>
        <w:spacing w:after="40" w:line="276" w:lineRule="auto"/>
      </w:pPr>
      <w:r/>
      <w:r>
        <w:rPr>
          <w:b/>
        </w:rPr>
        <w:t>Visual Elements:</w:t>
      </w:r>
      <w:r>
        <w:t xml:space="preserve"> Summary table comparing </w:t>
      </w:r>
      <w:r>
        <w:rPr>
          <w:b/>
        </w:rPr>
        <w:t>PhET, Labster, ChemCollective, CEMASTEA Virtual Labs, Amrita OLabs, and VirtuLab Kenya</w:t>
      </w:r>
      <w:r>
        <w:t>.</w:t>
      </w:r>
    </w:p>
    <w:p>
      <w:pPr>
        <w:pStyle w:val="ListBullet"/>
        <w:spacing w:after="40" w:line="276" w:lineRule="auto"/>
      </w:pPr>
      <w:r/>
      <w:r>
        <w:rPr>
          <w:b/>
        </w:rPr>
        <w:t>Key Distinctions:</w:t>
      </w:r>
      <w:r/>
    </w:p>
    <w:p>
      <w:pPr>
        <w:pStyle w:val="ListBullet"/>
        <w:spacing w:after="40" w:line="276" w:lineRule="auto"/>
      </w:pPr>
      <w:r/>
      <w:r>
        <w:rPr>
          <w:b/>
        </w:rPr>
        <w:t>Labster / ChemCollective:</w:t>
      </w:r>
      <w:r>
        <w:t xml:space="preserve"> Require broadband, high-spec WebGL hardware (4–8 GB RAM), or carry prohibitive commercial licensing costs.</w:t>
      </w:r>
    </w:p>
    <w:p>
      <w:pPr>
        <w:pStyle w:val="ListBullet"/>
        <w:spacing w:after="40" w:line="276" w:lineRule="auto"/>
      </w:pPr>
      <w:r/>
      <w:r>
        <w:rPr>
          <w:b/>
        </w:rPr>
        <w:t>PhET:</w:t>
      </w:r>
      <w:r>
        <w:t xml:space="preserve"> World-class conceptual simulations, but lacks localized KNEC exam table formatting, $\pm 0.10\text{ cm}^3$ concordance checks, and teacher telemetry.</w:t>
      </w:r>
    </w:p>
    <w:p>
      <w:pPr>
        <w:pStyle w:val="ListBullet"/>
        <w:spacing w:after="40" w:line="276" w:lineRule="auto"/>
      </w:pPr>
      <w:r/>
      <w:r>
        <w:rPr>
          <w:b/>
        </w:rPr>
        <w:t>CEMASTEA Virtual Labs Platform:</w:t>
      </w:r>
      <w:r>
        <w:t xml:space="preserve"> A major national milestone, but operates primarily as an online portal requiring broadband connectivity.</w:t>
      </w:r>
    </w:p>
    <w:p>
      <w:pPr>
        <w:pStyle w:val="ListBullet"/>
        <w:spacing w:after="40" w:line="276" w:lineRule="auto"/>
      </w:pPr>
      <w:r/>
      <w:r>
        <w:rPr>
          <w:b/>
        </w:rPr>
        <w:t>VirtuLab Kenya's Niche:</w:t>
      </w:r>
      <w:r>
        <w:t xml:space="preserve"> An ultralight ($&lt;3.5\text{ MB}$) offline PWA engineered for </w:t>
      </w:r>
      <w:r>
        <w:rPr>
          <w:b/>
        </w:rPr>
        <w:t>1 GB RAM mobile phones</w:t>
      </w:r>
      <w:r>
        <w:t xml:space="preserve">, enforcing </w:t>
      </w:r>
      <w:r>
        <w:rPr>
          <w:b/>
        </w:rPr>
        <w:t>strict KNEC KCSE scoring rubrics</w:t>
      </w:r>
      <w:r>
        <w:t xml:space="preserve"> with </w:t>
      </w:r>
      <w:r>
        <w:rPr>
          <w:b/>
        </w:rPr>
        <w:t>bilingual Kiswahili scaffolding</w:t>
      </w:r>
      <w:r>
        <w:t>.</w:t>
      </w:r>
    </w:p>
    <w:p>
      <w:pPr>
        <w:pStyle w:val="ListBullet"/>
        <w:spacing w:after="40" w:line="276" w:lineRule="auto"/>
      </w:pPr>
      <w:r/>
      <w:r>
        <w:rPr>
          <w:b/>
        </w:rPr>
        <w:t>Presenter Script (1.5 Minutes):</w:t>
      </w:r>
      <w:r/>
    </w:p>
    <w:tbl>
      <w:tblPr>
        <w:tblW w:type="auto" w:w="0"/>
        <w:tblLook w:firstColumn="1" w:firstRow="1" w:lastColumn="0" w:lastRow="0" w:noHBand="0" w:noVBand="1" w:val="04A0"/>
      </w:tblPr>
      <w:tblGrid>
        <w:gridCol w:w="9360"/>
      </w:tblGrid>
      <w:tr>
        <w:tc>
          <w:tcPr>
            <w:tcW w:type="dxa" w:w="9360"/>
            <w:shd w:fill="EBF3FB"/>
            <w:tcMar>
              <w:top w:w="80" w:type="dxa"/>
              <w:bottom w:w="80" w:type="dxa"/>
              <w:left w:w="120" w:type="dxa"/>
              <w:right w:w="120" w:type="dxa"/>
            </w:tcMar>
          </w:tcPr>
          <w:p>
            <w:pPr>
              <w:spacing w:after="40"/>
            </w:pPr>
            <w:r>
              <w:rPr>
                <w:i/>
                <w:color w:val="1B365D"/>
                <w:sz w:val="20"/>
              </w:rPr>
              <w:t>*"When we benchmark existing digital laboratories, we observe a clear divide. Commercial platforms like Labster are too heavy and expensive for sub-county schools. PhET provides wonderful conceptual tools, but does not prepare students for the strict formatting of KCSE examinations. Furthermore, while the Ministry of Education's CEMASTEA Virtual Labs platform has pioneered national digital science education, it functions primarily as an online portal. VirtuLab Kenya delivers an ultralight, zero-install, offline edge-tool specifically built to run on budget 1 GB RAM Android smartphones in classrooms with zero internet connectivity."*</w:t>
            </w:r>
          </w:p>
        </w:tc>
      </w:tr>
    </w:tbl>
    <w:p>
      <w:pPr>
        <w:spacing w:before="80" w:after="80"/>
      </w:pPr>
      <w:r>
        <w:rPr>
          <w:color w:val="CCCCCC"/>
        </w:rPr>
        <w:t>――――――――――――――――――――――――――――――――――――――――――――――――――</w:t>
      </w:r>
    </w:p>
    <w:p>
      <w:pPr>
        <w:spacing w:before="160" w:after="40"/>
      </w:pPr>
      <w:r>
        <w:rPr>
          <w:b/>
          <w:color w:val="2E5B88"/>
          <w:sz w:val="24"/>
        </w:rPr>
        <w:t>Slide 6: Curricular Alignment: KCSE &amp; CBC Senior School Bridge</w:t>
      </w:r>
    </w:p>
    <w:p>
      <w:pPr>
        <w:pStyle w:val="ListBullet"/>
        <w:spacing w:after="40" w:line="276" w:lineRule="auto"/>
      </w:pPr>
      <w:r/>
      <w:r>
        <w:rPr>
          <w:b/>
        </w:rPr>
        <w:t>Slide Title:</w:t>
      </w:r>
      <w:r>
        <w:t xml:space="preserve"> </w:t>
      </w:r>
      <w:r>
        <w:rPr>
          <w:b/>
        </w:rPr>
        <w:t>Curricular Alignment: Bridging 8-4-4 to CBC Senior Secondary</w:t>
      </w:r>
      <w:r/>
    </w:p>
    <w:p>
      <w:pPr>
        <w:pStyle w:val="ListBullet"/>
        <w:spacing w:after="40" w:line="276" w:lineRule="auto"/>
      </w:pPr>
      <w:r/>
      <w:r>
        <w:rPr>
          <w:b/>
        </w:rPr>
        <w:t>Key Bullet Points:</w:t>
      </w:r>
      <w:r/>
    </w:p>
    <w:p>
      <w:pPr>
        <w:pStyle w:val="ListBullet"/>
        <w:spacing w:after="40" w:line="276" w:lineRule="auto"/>
      </w:pPr>
      <w:r/>
      <w:r>
        <w:rPr>
          <w:b/>
        </w:rPr>
        <w:t>KNEC KCSE Paper 3 (233/3) Mapping:</w:t>
      </w:r>
      <w:r/>
    </w:p>
    <w:p>
      <w:pPr>
        <w:pStyle w:val="ListBullet"/>
        <w:spacing w:after="40" w:line="276" w:lineRule="auto"/>
      </w:pPr>
      <w:r/>
      <w:r>
        <w:rPr>
          <w:b/>
        </w:rPr>
        <w:t>Question 1 (Volumetric Analysis):</w:t>
      </w:r>
      <w:r>
        <w:t xml:space="preserve"> Direct neutralisation, back-titration of carbonates, redox manganimetry, and water of crystallisation determinations. *(Note: Post-secondary complexometric/precipitation titrations strictly excluded).*</w:t>
      </w:r>
    </w:p>
    <w:p>
      <w:pPr>
        <w:pStyle w:val="ListBullet"/>
        <w:spacing w:after="40" w:line="276" w:lineRule="auto"/>
      </w:pPr>
      <w:r/>
      <w:r>
        <w:rPr>
          <w:b/>
        </w:rPr>
        <w:t>Question 2 (Qualitative Inorganic &amp; Organic Analysis):</w:t>
      </w:r>
      <w:r>
        <w:t xml:space="preserve"> 8 cation/anion precipitation state machines, clean glass-rod flame tests, and organic functional group unsaturation diagnostics.</w:t>
      </w:r>
    </w:p>
    <w:p>
      <w:pPr>
        <w:pStyle w:val="ListBullet"/>
        <w:spacing w:after="40" w:line="276" w:lineRule="auto"/>
      </w:pPr>
      <w:r/>
      <w:r>
        <w:rPr>
          <w:b/>
        </w:rPr>
        <w:t>Question 3 (Thermochemistry &amp; Kinetics):</w:t>
      </w:r>
      <w:r>
        <w:t xml:space="preserve"> Dynamic cooling-curve extrapolation ($\Delta T$) and turbidity cross-disappearance timers.</w:t>
      </w:r>
    </w:p>
    <w:p>
      <w:pPr>
        <w:pStyle w:val="ListBullet"/>
        <w:spacing w:after="40" w:line="276" w:lineRule="auto"/>
      </w:pPr>
      <w:r/>
      <w:r>
        <w:rPr>
          <w:b/>
        </w:rPr>
        <w:t>CBC Senior School STEM Pathway (Grades 10–12):</w:t>
      </w:r>
      <w:r>
        <w:t xml:space="preserve"> Mapped directly to KICD Pure Sciences strands (*Quantitative Chemical Relationships, Inorganic Reactions, Thermodynamics*).</w:t>
      </w:r>
    </w:p>
    <w:p>
      <w:pPr>
        <w:pStyle w:val="ListBullet"/>
        <w:spacing w:after="40" w:line="276" w:lineRule="auto"/>
      </w:pPr>
      <w:r/>
      <w:r>
        <w:rPr>
          <w:b/>
        </w:rPr>
        <w:t>Past Paper Corpus:</w:t>
      </w:r>
      <w:r>
        <w:t xml:space="preserve"> Formative item bank drawn from </w:t>
      </w:r>
      <w:r>
        <w:rPr>
          <w:b/>
        </w:rPr>
        <w:t>16 years of genuine KNEC examinations (2010–2025)</w:t>
      </w:r>
      <w:r>
        <w:t>.</w:t>
      </w:r>
    </w:p>
    <w:p>
      <w:pPr>
        <w:pStyle w:val="ListBullet"/>
        <w:spacing w:after="40" w:line="276" w:lineRule="auto"/>
      </w:pPr>
      <w:r/>
      <w:r>
        <w:rPr>
          <w:b/>
        </w:rPr>
        <w:t>Presenter Script (1.5 Minutes):</w:t>
      </w:r>
      <w:r/>
    </w:p>
    <w:tbl>
      <w:tblPr>
        <w:tblW w:type="auto" w:w="0"/>
        <w:tblLook w:firstColumn="1" w:firstRow="1" w:lastColumn="0" w:lastRow="0" w:noHBand="0" w:noVBand="1" w:val="04A0"/>
      </w:tblPr>
      <w:tblGrid>
        <w:gridCol w:w="9360"/>
      </w:tblGrid>
      <w:tr>
        <w:tc>
          <w:tcPr>
            <w:tcW w:type="dxa" w:w="9360"/>
            <w:shd w:fill="EBF3FB"/>
            <w:tcMar>
              <w:top w:w="80" w:type="dxa"/>
              <w:bottom w:w="80" w:type="dxa"/>
              <w:left w:w="120" w:type="dxa"/>
              <w:right w:w="120" w:type="dxa"/>
            </w:tcMar>
          </w:tcPr>
          <w:p>
            <w:pPr>
              <w:spacing w:after="40"/>
            </w:pPr>
            <w:r>
              <w:rPr>
                <w:i/>
                <w:color w:val="1B365D"/>
                <w:sz w:val="20"/>
              </w:rPr>
              <w:t>*"Curricular integrity is paramount. In response to preliminary academic reviews, all post-secondary content—such as complexometric titrations—was completely removed. The simulation scope is 100% aligned with authentic KNEC KCSE Paper 3 practicals and bridges directly onto the KICD Senior School STEM Pure Sciences curriculum for Grades 10 through 12. Our problem sets are modeled directly on 16 years of genuine national examinations from 2010 to 2025."*</w:t>
            </w:r>
          </w:p>
        </w:tc>
      </w:tr>
    </w:tbl>
    <w:p>
      <w:pPr>
        <w:spacing w:before="80" w:after="80"/>
      </w:pPr>
      <w:r>
        <w:rPr>
          <w:color w:val="CCCCCC"/>
        </w:rPr>
        <w:t>――――――――――――――――――――――――――――――――――――――――――――――――――</w:t>
      </w:r>
    </w:p>
    <w:p>
      <w:pPr>
        <w:spacing w:before="160" w:after="40"/>
      </w:pPr>
      <w:r>
        <w:rPr>
          <w:b/>
          <w:color w:val="2E5B88"/>
          <w:sz w:val="24"/>
        </w:rPr>
        <w:t>Slide 7: System Architecture: The Offline-First PWA Stack</w:t>
      </w:r>
    </w:p>
    <w:p>
      <w:pPr>
        <w:pStyle w:val="ListBullet"/>
        <w:spacing w:after="40" w:line="276" w:lineRule="auto"/>
      </w:pPr>
      <w:r/>
      <w:r>
        <w:rPr>
          <w:b/>
        </w:rPr>
        <w:t>Slide Title:</w:t>
      </w:r>
      <w:r>
        <w:t xml:space="preserve"> </w:t>
      </w:r>
      <w:r>
        <w:rPr>
          <w:b/>
        </w:rPr>
        <w:t>Three-Tier Offline-First PWA System Architecture</w:t>
      </w:r>
      <w:r/>
    </w:p>
    <w:p>
      <w:pPr>
        <w:pStyle w:val="ListBullet"/>
        <w:spacing w:after="40" w:line="276" w:lineRule="auto"/>
      </w:pPr>
      <w:r/>
      <w:r>
        <w:rPr>
          <w:b/>
        </w:rPr>
        <w:t>Visual Elements:</w:t>
      </w:r>
      <w:r>
        <w:t xml:space="preserve"> Diagram illustrating </w:t>
      </w:r>
      <w:r>
        <w:rPr>
          <w:b/>
        </w:rPr>
        <w:t>Figure 2</w:t>
      </w:r>
      <w:r>
        <w:t>:</w:t>
      </w:r>
    </w:p>
    <w:p>
      <w:pPr>
        <w:pStyle w:val="ListBullet"/>
        <w:spacing w:after="40" w:line="276" w:lineRule="auto"/>
      </w:pPr>
      <w:r/>
      <w:r>
        <w:rPr>
          <w:b/>
        </w:rPr>
        <w:t>Client Tier:</w:t>
      </w:r>
      <w:r>
        <w:t xml:space="preserve"> Zero-dependency Vanilla JS, HTML5 Canvas render loop, Service Worker (CacheStorage), and `IndexedDB`.</w:t>
      </w:r>
    </w:p>
    <w:p>
      <w:pPr>
        <w:pStyle w:val="ListBullet"/>
        <w:spacing w:after="40" w:line="276" w:lineRule="auto"/>
      </w:pPr>
      <w:r/>
      <w:r>
        <w:rPr>
          <w:b/>
        </w:rPr>
        <w:t>Network Layer:</w:t>
      </w:r>
      <w:r>
        <w:t xml:space="preserve"> Service Worker Background Sync API + Foreground Online Event Listener fallback.</w:t>
      </w:r>
    </w:p>
    <w:p>
      <w:pPr>
        <w:pStyle w:val="ListBullet"/>
        <w:spacing w:after="40" w:line="276" w:lineRule="auto"/>
      </w:pPr>
      <w:r/>
      <w:r>
        <w:rPr>
          <w:b/>
        </w:rPr>
        <w:t>Server &amp; DB Tier:</w:t>
      </w:r>
      <w:r>
        <w:t xml:space="preserve"> Node.js 20 LTS REST API, PostgreSQL 15 database, and Walimu AI Teacher Telemetry Dashboard.</w:t>
      </w:r>
    </w:p>
    <w:p>
      <w:pPr>
        <w:pStyle w:val="ListBullet"/>
        <w:spacing w:after="40" w:line="276" w:lineRule="auto"/>
      </w:pPr>
      <w:r/>
      <w:r>
        <w:rPr>
          <w:b/>
        </w:rPr>
        <w:t>Key Metrics:</w:t>
      </w:r>
      <w:r>
        <w:t xml:space="preserve"> Entire application shell $&lt;3.5\text{ MB}$; 60 FPS Canvas rendering on budget hardware; 100% functional without internet connectivity.</w:t>
      </w:r>
    </w:p>
    <w:p>
      <w:pPr>
        <w:pStyle w:val="ListBullet"/>
        <w:spacing w:after="40" w:line="276" w:lineRule="auto"/>
      </w:pPr>
      <w:r/>
      <w:r>
        <w:rPr>
          <w:b/>
        </w:rPr>
        <w:t>Presenter Script (1.5 Minutes):</w:t>
      </w:r>
      <w:r/>
    </w:p>
    <w:tbl>
      <w:tblPr>
        <w:tblW w:type="auto" w:w="0"/>
        <w:tblLook w:firstColumn="1" w:firstRow="1" w:lastColumn="0" w:lastRow="0" w:noHBand="0" w:noVBand="1" w:val="04A0"/>
      </w:tblPr>
      <w:tblGrid>
        <w:gridCol w:w="9360"/>
      </w:tblGrid>
      <w:tr>
        <w:tc>
          <w:tcPr>
            <w:tcW w:type="dxa" w:w="9360"/>
            <w:shd w:fill="EBF3FB"/>
            <w:tcMar>
              <w:top w:w="80" w:type="dxa"/>
              <w:bottom w:w="80" w:type="dxa"/>
              <w:left w:w="120" w:type="dxa"/>
              <w:right w:w="120" w:type="dxa"/>
            </w:tcMar>
          </w:tcPr>
          <w:p>
            <w:pPr>
              <w:spacing w:after="40"/>
            </w:pPr>
            <w:r>
              <w:rPr>
                <w:i/>
                <w:color w:val="1B365D"/>
                <w:sz w:val="20"/>
              </w:rPr>
              <w:t>*"From an engineering perspective, VirtuLab Kenya utilizes an offline-first architecture. The client application contains zero heavy frameworks—it is pure vanilla JavaScript and HTML5 Canvas with an total initial payload under 3.5 MB. A Service Worker intercepts all network traffic, serving cached assets instantly from local storage. The backend is built on Node.js 20 LTS and PostgreSQL 15, receiving telemetry packets whenever connectivity is available."*</w:t>
            </w:r>
          </w:p>
        </w:tc>
      </w:tr>
    </w:tbl>
    <w:p>
      <w:pPr>
        <w:spacing w:before="80" w:after="80"/>
      </w:pPr>
      <w:r>
        <w:rPr>
          <w:color w:val="CCCCCC"/>
        </w:rPr>
        <w:t>――――――――――――――――――――――――――――――――――――――――――――――――――</w:t>
      </w:r>
    </w:p>
    <w:p>
      <w:pPr>
        <w:spacing w:before="160" w:after="40"/>
      </w:pPr>
      <w:r>
        <w:rPr>
          <w:b/>
          <w:color w:val="2E5B88"/>
          <w:sz w:val="24"/>
        </w:rPr>
        <w:t>Slide 8: Technical Innovation: Meniscus Lens &amp; Dynamic Workbenches</w:t>
      </w:r>
    </w:p>
    <w:p>
      <w:pPr>
        <w:pStyle w:val="ListBullet"/>
        <w:spacing w:after="40" w:line="276" w:lineRule="auto"/>
      </w:pPr>
      <w:r/>
      <w:r>
        <w:rPr>
          <w:b/>
        </w:rPr>
        <w:t>Slide Title:</w:t>
      </w:r>
      <w:r>
        <w:t xml:space="preserve"> </w:t>
      </w:r>
      <w:r>
        <w:rPr>
          <w:b/>
        </w:rPr>
        <w:t>Ergonomic &amp; Algorithmic Engineering: Meniscus Viewports &amp; State Machines</w:t>
      </w:r>
      <w:r/>
    </w:p>
    <w:p>
      <w:pPr>
        <w:pStyle w:val="ListBullet"/>
        <w:spacing w:after="40" w:line="276" w:lineRule="auto"/>
      </w:pPr>
      <w:r/>
      <w:r>
        <w:rPr>
          <w:b/>
        </w:rPr>
        <w:t>Visual Elements:</w:t>
      </w:r>
      <w:r/>
    </w:p>
    <w:p>
      <w:pPr>
        <w:pStyle w:val="ListBullet"/>
        <w:spacing w:after="40" w:line="276" w:lineRule="auto"/>
      </w:pPr>
      <w:r>
        <w:t xml:space="preserve">High-resolution screenshot of the </w:t>
      </w:r>
      <w:r>
        <w:rPr>
          <w:b/>
        </w:rPr>
        <w:t>Magnified Meniscus Viewfinder</w:t>
      </w:r>
      <w:r>
        <w:t xml:space="preserve"> showing the curved liquid meniscus against $0.10\text{ cm}^3$ graduation lines.</w:t>
      </w:r>
    </w:p>
    <w:p>
      <w:pPr>
        <w:pStyle w:val="ListBullet"/>
        <w:spacing w:after="40" w:line="276" w:lineRule="auto"/>
      </w:pPr>
      <w:r>
        <w:t xml:space="preserve">Flowchart of the </w:t>
      </w:r>
      <w:r>
        <w:rPr>
          <w:b/>
        </w:rPr>
        <w:t>Branching Qualitative Analysis State Machine</w:t>
      </w:r>
      <w:r>
        <w:t xml:space="preserve"> (precipitate formation $\rightarrow$ solubility in excess reagent).</w:t>
      </w:r>
    </w:p>
    <w:p>
      <w:pPr>
        <w:pStyle w:val="ListBullet"/>
        <w:spacing w:after="40" w:line="276" w:lineRule="auto"/>
      </w:pPr>
      <w:r/>
      <w:r>
        <w:rPr>
          <w:b/>
        </w:rPr>
        <w:t>Key Features:</w:t>
      </w:r>
      <w:r/>
    </w:p>
    <w:p>
      <w:pPr>
        <w:pStyle w:val="ListBullet"/>
        <w:spacing w:after="40" w:line="276" w:lineRule="auto"/>
      </w:pPr>
      <w:r/>
      <w:r>
        <w:rPr>
          <w:b/>
        </w:rPr>
        <w:t>Drop-wise Touch Ergonomics:</w:t>
      </w:r>
      <w:r>
        <w:t xml:space="preserve"> Multi-rate burette stopcock (continuous stream vs single $0.05\text{ cm}^3$ drop).</w:t>
      </w:r>
    </w:p>
    <w:p>
      <w:pPr>
        <w:pStyle w:val="ListBullet"/>
        <w:spacing w:after="40" w:line="276" w:lineRule="auto"/>
      </w:pPr>
      <w:r/>
      <w:r>
        <w:rPr>
          <w:b/>
        </w:rPr>
        <w:t>Meniscus Precision:</w:t>
      </w:r>
      <w:r>
        <w:t xml:space="preserve"> Magnified viewport forcing learners to interpolate the bottom of the concave meniscus.</w:t>
      </w:r>
    </w:p>
    <w:p>
      <w:pPr>
        <w:pStyle w:val="ListBullet"/>
        <w:spacing w:after="40" w:line="276" w:lineRule="auto"/>
      </w:pPr>
      <w:r/>
      <w:r>
        <w:rPr>
          <w:b/>
        </w:rPr>
        <w:t>Discrete Chemical State Machines:</w:t>
      </w:r>
      <w:r>
        <w:t xml:space="preserve"> Real-time rendering of amphoteric hydroxides ($\text{Zn}^{2+}, \text{Pb}^{2+}, \text{Al}^{3+}$) dissolving in excess $\text{NaOH}$.</w:t>
      </w:r>
    </w:p>
    <w:p>
      <w:pPr>
        <w:pStyle w:val="ListBullet"/>
        <w:spacing w:after="40" w:line="276" w:lineRule="auto"/>
      </w:pPr>
      <w:r/>
      <w:r>
        <w:rPr>
          <w:b/>
        </w:rPr>
        <w:t>Presenter Script (1.5 Minutes):</w:t>
      </w:r>
      <w:r/>
    </w:p>
    <w:tbl>
      <w:tblPr>
        <w:tblW w:type="auto" w:w="0"/>
        <w:tblLook w:firstColumn="1" w:firstRow="1" w:lastColumn="0" w:lastRow="0" w:noHBand="0" w:noVBand="1" w:val="04A0"/>
      </w:tblPr>
      <w:tblGrid>
        <w:gridCol w:w="9360"/>
      </w:tblGrid>
      <w:tr>
        <w:tc>
          <w:tcPr>
            <w:tcW w:type="dxa" w:w="9360"/>
            <w:shd w:fill="EBF3FB"/>
            <w:tcMar>
              <w:top w:w="80" w:type="dxa"/>
              <w:bottom w:w="80" w:type="dxa"/>
              <w:left w:w="120" w:type="dxa"/>
              <w:right w:w="120" w:type="dxa"/>
            </w:tcMar>
          </w:tcPr>
          <w:p>
            <w:pPr>
              <w:spacing w:after="40"/>
            </w:pPr>
            <w:r>
              <w:rPr>
                <w:i/>
                <w:color w:val="1B365D"/>
                <w:sz w:val="20"/>
              </w:rPr>
              <w:t>*"To ensure that digital practice transfers to real-world laboratory competence, we engineered specialized touch controls. Students control a dual-action stopcock for rapid filling or single drop additions. A magnified meniscus viewport forces students to read the bottom of the concave meniscus to two decimal places, directly addressing the commonest source of mark loss reported in KNEC examiner reports. In qualitative analysis, discrete state machines accurately simulate precipitate formation and dissolution in excess reagents."*</w:t>
            </w:r>
          </w:p>
        </w:tc>
      </w:tr>
    </w:tbl>
    <w:p>
      <w:pPr>
        <w:spacing w:before="80" w:after="80"/>
      </w:pPr>
      <w:r>
        <w:rPr>
          <w:color w:val="CCCCCC"/>
        </w:rPr>
        <w:t>――――――――――――――――――――――――――――――――――――――――――――――――――</w:t>
      </w:r>
    </w:p>
    <w:p>
      <w:pPr>
        <w:spacing w:before="160" w:after="40"/>
      </w:pPr>
      <w:r>
        <w:rPr>
          <w:b/>
          <w:color w:val="2E5B88"/>
          <w:sz w:val="24"/>
        </w:rPr>
        <w:t>Slide 9: Linguistic Scaffolding with Assessment Safeguards</w:t>
      </w:r>
    </w:p>
    <w:p>
      <w:pPr>
        <w:pStyle w:val="ListBullet"/>
        <w:spacing w:after="40" w:line="276" w:lineRule="auto"/>
      </w:pPr>
      <w:r/>
      <w:r>
        <w:rPr>
          <w:b/>
        </w:rPr>
        <w:t>Slide Title:</w:t>
      </w:r>
      <w:r>
        <w:t xml:space="preserve"> </w:t>
      </w:r>
      <w:r>
        <w:rPr>
          <w:b/>
        </w:rPr>
        <w:t>Bilingual English/Kiswahili Scaffolding with KNEC Marking Safeguards</w:t>
      </w:r>
      <w:r/>
    </w:p>
    <w:p>
      <w:pPr>
        <w:pStyle w:val="ListBullet"/>
        <w:spacing w:after="40" w:line="276" w:lineRule="auto"/>
      </w:pPr>
      <w:r/>
      <w:r>
        <w:rPr>
          <w:b/>
        </w:rPr>
        <w:t>Visual Elements:</w:t>
      </w:r>
      <w:r>
        <w:t xml:space="preserve"> Side-by-side UI comparison showing *Guided Mode* (with Kiswahili prompts) vs *Exam Mode* (strictly locked in English).</w:t>
      </w:r>
    </w:p>
    <w:p>
      <w:pPr>
        <w:pStyle w:val="ListBullet"/>
        <w:spacing w:after="40" w:line="276" w:lineRule="auto"/>
      </w:pPr>
      <w:r/>
      <w:r>
        <w:rPr>
          <w:b/>
        </w:rPr>
        <w:t>Pedagogical Boundary Rules:</w:t>
      </w:r>
      <w:r/>
    </w:p>
    <w:p>
      <w:pPr>
        <w:pStyle w:val="ListBullet"/>
        <w:spacing w:after="40" w:line="276" w:lineRule="auto"/>
      </w:pPr>
      <w:r/>
      <w:r>
        <w:rPr>
          <w:b/>
        </w:rPr>
        <w:t>Guided Mode (Scaffolding):</w:t>
      </w:r>
      <w:r>
        <w:t xml:space="preserve"> Real-time `🇬🇧 EN` / `🇰🇪 SW` toggle. Kiswahili localization explains chemical mechanisms, procedural directions, and lab safety hints to lower cognitive barriers.</w:t>
      </w:r>
    </w:p>
    <w:p>
      <w:pPr>
        <w:pStyle w:val="ListBullet"/>
        <w:spacing w:after="40" w:line="276" w:lineRule="auto"/>
      </w:pPr>
      <w:r/>
      <w:r>
        <w:rPr>
          <w:b/>
        </w:rPr>
        <w:t>Exam Mode (National Assessment Integrity):</w:t>
      </w:r>
      <w:r>
        <w:t xml:space="preserve"> KNEC penalizes non-standard English terms in practical scripts. Therefore, all official results tables, quantitative calculation fields, qualitative deduction trees, and Exam Mode trials strictly enforce </w:t>
      </w:r>
      <w:r>
        <w:rPr>
          <w:b/>
        </w:rPr>
        <w:t>standard KNEC English chemical nomenclature</w:t>
      </w:r>
      <w:r>
        <w:t>.</w:t>
      </w:r>
    </w:p>
    <w:p>
      <w:pPr>
        <w:pStyle w:val="ListBullet"/>
        <w:spacing w:after="40" w:line="276" w:lineRule="auto"/>
      </w:pPr>
      <w:r/>
      <w:r>
        <w:rPr>
          <w:b/>
        </w:rPr>
        <w:t>Presenter Script (1.5 Minutes):</w:t>
      </w:r>
      <w:r/>
    </w:p>
    <w:tbl>
      <w:tblPr>
        <w:tblW w:type="auto" w:w="0"/>
        <w:tblLook w:firstColumn="1" w:firstRow="1" w:lastColumn="0" w:lastRow="0" w:noHBand="0" w:noVBand="1" w:val="04A0"/>
      </w:tblPr>
      <w:tblGrid>
        <w:gridCol w:w="9360"/>
      </w:tblGrid>
      <w:tr>
        <w:tc>
          <w:tcPr>
            <w:tcW w:type="dxa" w:w="9360"/>
            <w:shd w:fill="EBF3FB"/>
            <w:tcMar>
              <w:top w:w="80" w:type="dxa"/>
              <w:bottom w:w="80" w:type="dxa"/>
              <w:left w:w="120" w:type="dxa"/>
              <w:right w:w="120" w:type="dxa"/>
            </w:tcMar>
          </w:tcPr>
          <w:p>
            <w:pPr>
              <w:spacing w:after="40"/>
            </w:pPr>
            <w:r>
              <w:rPr>
                <w:i/>
                <w:color w:val="1B365D"/>
                <w:sz w:val="20"/>
              </w:rPr>
              <w:t>*"One of VirtuLab Kenya's unique features is bilingual scaffolding. In Guided Mode, students can toggle between English and Kiswahili to unpack complex procedures and safety principles in their familiar language. However, we recognized a critical assessment danger: KNEC examiners award zero marks for observations written in Kiswahili. Therefore, our architecture implements a strict boundary: all official data tables, inference drop-downs, and Exam Mode trials strictly enforce standard KNEC English chemical terminology, preventing negative linguistic transfer during summative exams."*</w:t>
            </w:r>
          </w:p>
        </w:tc>
      </w:tr>
    </w:tbl>
    <w:p>
      <w:pPr>
        <w:spacing w:before="80" w:after="80"/>
      </w:pPr>
      <w:r>
        <w:rPr>
          <w:color w:val="CCCCCC"/>
        </w:rPr>
        <w:t>――――――――――――――――――――――――――――――――――――――――――――――――――</w:t>
      </w:r>
    </w:p>
    <w:p>
      <w:pPr>
        <w:spacing w:before="160" w:after="40"/>
      </w:pPr>
      <w:r>
        <w:rPr>
          <w:b/>
          <w:color w:val="2E5B88"/>
          <w:sz w:val="24"/>
        </w:rPr>
        <w:t>Slide 10: Operational Feasibility: The Mobile Rotating Tablet Kit</w:t>
      </w:r>
    </w:p>
    <w:p>
      <w:pPr>
        <w:pStyle w:val="ListBullet"/>
        <w:spacing w:after="40" w:line="276" w:lineRule="auto"/>
      </w:pPr>
      <w:r/>
      <w:r>
        <w:rPr>
          <w:b/>
        </w:rPr>
        <w:t>Slide Title:</w:t>
      </w:r>
      <w:r>
        <w:t xml:space="preserve"> </w:t>
      </w:r>
      <w:r>
        <w:rPr>
          <w:b/>
        </w:rPr>
        <w:t>Operational Feasibility: The 15-Tablet Mobile Rotating Kit</w:t>
      </w:r>
      <w:r/>
    </w:p>
    <w:p>
      <w:pPr>
        <w:pStyle w:val="ListBullet"/>
        <w:spacing w:after="40" w:line="276" w:lineRule="auto"/>
      </w:pPr>
      <w:r/>
      <w:r>
        <w:rPr>
          <w:b/>
        </w:rPr>
        <w:t>Visual Elements:</w:t>
      </w:r>
      <w:r>
        <w:t xml:space="preserve"> Photo/diagram of the </w:t>
      </w:r>
      <w:r>
        <w:rPr>
          <w:b/>
        </w:rPr>
        <w:t>Centralized Transport Case</w:t>
      </w:r>
      <w:r>
        <w:t xml:space="preserve"> with 15 ruggedized Android tablets and high-capacity solar power banks.</w:t>
      </w:r>
    </w:p>
    <w:p>
      <w:pPr>
        <w:pStyle w:val="ListBullet"/>
        <w:spacing w:after="40" w:line="276" w:lineRule="auto"/>
      </w:pPr>
      <w:r/>
      <w:r>
        <w:rPr>
          <w:b/>
        </w:rPr>
        <w:t>The Strategy:</w:t>
      </w:r>
      <w:r/>
    </w:p>
    <w:p>
      <w:pPr>
        <w:pStyle w:val="ListBullet"/>
        <w:spacing w:after="40" w:line="276" w:lineRule="auto"/>
      </w:pPr>
      <w:r>
        <w:t>Eliminates the impossible 2-tablets-per-school bottleneck.</w:t>
      </w:r>
    </w:p>
    <w:p>
      <w:pPr>
        <w:pStyle w:val="ListBullet"/>
        <w:spacing w:after="40" w:line="276" w:lineRule="auto"/>
      </w:pPr>
      <w:r>
        <w:t xml:space="preserve">A single, researcher-managed mobile kit of </w:t>
      </w:r>
      <w:r>
        <w:rPr>
          <w:b/>
        </w:rPr>
        <w:t>15 ruggedized tablets</w:t>
      </w:r>
      <w:r>
        <w:t xml:space="preserve"> rotates sequentially across the 5 Sub-County day schools on scheduled lab days (Monday–Friday).</w:t>
      </w:r>
    </w:p>
    <w:p>
      <w:pPr>
        <w:pStyle w:val="ListBullet"/>
        <w:spacing w:after="40" w:line="276" w:lineRule="auto"/>
      </w:pPr>
      <w:r>
        <w:t xml:space="preserve">Supports </w:t>
      </w:r>
      <w:r>
        <w:rPr>
          <w:b/>
        </w:rPr>
        <w:t>30 learners operating in structured 2:1 paired-learning dyads</w:t>
      </w:r>
      <w:r>
        <w:t xml:space="preserve"> during standard 80-minute double periods.</w:t>
      </w:r>
    </w:p>
    <w:p>
      <w:pPr>
        <w:pStyle w:val="ListBullet"/>
        <w:spacing w:after="40" w:line="276" w:lineRule="auto"/>
      </w:pPr>
      <w:r>
        <w:t>Dual 50,000 mAh solar power banks ensure zero downtime during rural grid blackouts.</w:t>
      </w:r>
    </w:p>
    <w:p>
      <w:pPr>
        <w:pStyle w:val="ListBullet"/>
        <w:spacing w:after="40" w:line="276" w:lineRule="auto"/>
      </w:pPr>
      <w:r/>
      <w:r>
        <w:rPr>
          <w:b/>
        </w:rPr>
        <w:t>Presenter Script (1.5 Minutes):</w:t>
      </w:r>
      <w:r/>
    </w:p>
    <w:tbl>
      <w:tblPr>
        <w:tblW w:type="auto" w:w="0"/>
        <w:tblLook w:firstColumn="1" w:firstRow="1" w:lastColumn="0" w:lastRow="0" w:noHBand="0" w:noVBand="1" w:val="04A0"/>
      </w:tblPr>
      <w:tblGrid>
        <w:gridCol w:w="9360"/>
      </w:tblGrid>
      <w:tr>
        <w:tc>
          <w:tcPr>
            <w:tcW w:type="dxa" w:w="9360"/>
            <w:shd w:fill="EBF3FB"/>
            <w:tcMar>
              <w:top w:w="80" w:type="dxa"/>
              <w:bottom w:w="80" w:type="dxa"/>
              <w:left w:w="120" w:type="dxa"/>
              <w:right w:w="120" w:type="dxa"/>
            </w:tcMar>
          </w:tcPr>
          <w:p>
            <w:pPr>
              <w:spacing w:after="40"/>
            </w:pPr>
            <w:r>
              <w:rPr>
                <w:i/>
                <w:color w:val="1B365D"/>
                <w:sz w:val="20"/>
              </w:rPr>
              <w:t>*"A critical logistical challenge in educational technology is device access. Distributing two tablets permanently to a school with 60 students per class is unworkable. In Proposal V11, we resolved this by provisioning a centralized mobile laboratory kit of 15 ruggedized Android tablets equipped with high-capacity solar power banks. The researcher rotates this kit across the five sub-county schools on scheduled practical days. In an 80-minute double lesson, 30 students work in paired dyads, reversing manipulation and calculation roles on alternate trials, ensuring authentic hands-on screen time for every learner."*</w:t>
            </w:r>
          </w:p>
        </w:tc>
      </w:tr>
    </w:tbl>
    <w:p>
      <w:pPr>
        <w:spacing w:before="80" w:after="80"/>
      </w:pPr>
      <w:r>
        <w:rPr>
          <w:color w:val="CCCCCC"/>
        </w:rPr>
        <w:t>――――――――――――――――――――――――――――――――――――――――――――――――――</w:t>
      </w:r>
    </w:p>
    <w:p>
      <w:pPr>
        <w:spacing w:before="160" w:after="40"/>
      </w:pPr>
      <w:r>
        <w:rPr>
          <w:b/>
          <w:color w:val="2E5B88"/>
          <w:sz w:val="24"/>
        </w:rPr>
        <w:t>Slide 11: Offline Multi-Tenancy on Shared Devices</w:t>
      </w:r>
    </w:p>
    <w:p>
      <w:pPr>
        <w:pStyle w:val="ListBullet"/>
        <w:spacing w:after="40" w:line="276" w:lineRule="auto"/>
      </w:pPr>
      <w:r/>
      <w:r>
        <w:rPr>
          <w:b/>
        </w:rPr>
        <w:t>Slide Title:</w:t>
      </w:r>
      <w:r>
        <w:t xml:space="preserve"> </w:t>
      </w:r>
      <w:r>
        <w:rPr>
          <w:b/>
        </w:rPr>
        <w:t>Engineering Shared-Device Multi-Tenancy in Offline Classrooms</w:t>
      </w:r>
      <w:r/>
    </w:p>
    <w:p>
      <w:pPr>
        <w:pStyle w:val="ListBullet"/>
        <w:spacing w:after="40" w:line="276" w:lineRule="auto"/>
      </w:pPr>
      <w:r/>
      <w:r>
        <w:rPr>
          <w:b/>
        </w:rPr>
        <w:t>Visual Elements:</w:t>
      </w:r>
      <w:r>
        <w:t xml:space="preserve"> Architecture diagram of </w:t>
      </w:r>
      <w:r>
        <w:rPr>
          <w:b/>
        </w:rPr>
        <w:t>Figure 3</w:t>
      </w:r>
      <w:r>
        <w:t>:</w:t>
      </w:r>
    </w:p>
    <w:p>
      <w:pPr>
        <w:pStyle w:val="ListBullet"/>
        <w:spacing w:after="40" w:line="276" w:lineRule="auto"/>
      </w:pPr>
      <w:r>
        <w:t>Local PIN Verification (`IndexedDB` roster store).</w:t>
      </w:r>
    </w:p>
    <w:p>
      <w:pPr>
        <w:pStyle w:val="ListBullet"/>
        <w:spacing w:after="40" w:line="276" w:lineRule="auto"/>
      </w:pPr>
      <w:r>
        <w:t>Isolated session namespaces: `[student_id + session_id + timestamp]`.</w:t>
      </w:r>
    </w:p>
    <w:p>
      <w:pPr>
        <w:pStyle w:val="ListBullet"/>
        <w:spacing w:after="40" w:line="276" w:lineRule="auto"/>
      </w:pPr>
      <w:r>
        <w:t>The "Switch Partner / Turn Swap" workflow.</w:t>
      </w:r>
    </w:p>
    <w:p>
      <w:pPr>
        <w:pStyle w:val="ListBullet"/>
        <w:spacing w:after="40" w:line="276" w:lineRule="auto"/>
      </w:pPr>
      <w:r/>
      <w:r>
        <w:rPr>
          <w:b/>
        </w:rPr>
        <w:t>Key Innovations:</w:t>
      </w:r>
      <w:r/>
    </w:p>
    <w:p>
      <w:pPr>
        <w:pStyle w:val="ListBullet"/>
        <w:spacing w:after="40" w:line="276" w:lineRule="auto"/>
      </w:pPr>
      <w:r>
        <w:t>Zero reliance on remote bcrypt/JWT server calls during power/network outages.</w:t>
      </w:r>
    </w:p>
    <w:p>
      <w:pPr>
        <w:pStyle w:val="ListBullet"/>
        <w:spacing w:after="40" w:line="276" w:lineRule="auto"/>
      </w:pPr>
      <w:r>
        <w:t>Prevention of `localStorage` session overwriting between rotating students.</w:t>
      </w:r>
    </w:p>
    <w:p>
      <w:pPr>
        <w:pStyle w:val="ListBullet"/>
        <w:spacing w:after="40" w:line="276" w:lineRule="auto"/>
      </w:pPr>
      <w:r>
        <w:t>Clean, uncontaminated individual telemetry logs tracking each student's error profile.</w:t>
      </w:r>
    </w:p>
    <w:p>
      <w:pPr>
        <w:pStyle w:val="ListBullet"/>
        <w:spacing w:after="40" w:line="276" w:lineRule="auto"/>
      </w:pPr>
      <w:r/>
      <w:r>
        <w:rPr>
          <w:b/>
        </w:rPr>
        <w:t>Presenter Script (1.5 Minutes):</w:t>
      </w:r>
      <w:r/>
    </w:p>
    <w:tbl>
      <w:tblPr>
        <w:tblW w:type="auto" w:w="0"/>
        <w:tblLook w:firstColumn="1" w:firstRow="1" w:lastColumn="0" w:lastRow="0" w:noHBand="0" w:noVBand="1" w:val="04A0"/>
      </w:tblPr>
      <w:tblGrid>
        <w:gridCol w:w="9360"/>
      </w:tblGrid>
      <w:tr>
        <w:tc>
          <w:tcPr>
            <w:tcW w:type="dxa" w:w="9360"/>
            <w:shd w:fill="EBF3FB"/>
            <w:tcMar>
              <w:top w:w="80" w:type="dxa"/>
              <w:bottom w:w="80" w:type="dxa"/>
              <w:left w:w="120" w:type="dxa"/>
              <w:right w:w="120" w:type="dxa"/>
            </w:tcMar>
          </w:tcPr>
          <w:p>
            <w:pPr>
              <w:spacing w:after="40"/>
            </w:pPr>
            <w:r>
              <w:rPr>
                <w:i/>
                <w:color w:val="1B365D"/>
                <w:sz w:val="20"/>
              </w:rPr>
              <w:t>*"When students share a tablet offline, standard web architectures fail because remote authentication is unavailable and browser local storage is shared across users. VirtuLab Kenya solves this by caching the class roster and salted PIN hashes into local IndexedDB storage. At the end of each titration trial, the interface prompts a turn-swap: Partner A logs out with one tap, Partner B logs in with their PIN, and their data is written to strictly isolated database partitions. This ensures that telemetry logs accurately capture individual student errors without contamination."*</w:t>
            </w:r>
          </w:p>
        </w:tc>
      </w:tr>
    </w:tbl>
    <w:p>
      <w:pPr>
        <w:spacing w:before="80" w:after="80"/>
      </w:pPr>
      <w:r>
        <w:rPr>
          <w:color w:val="CCCCCC"/>
        </w:rPr>
        <w:t>――――――――――――――――――――――――――――――――――――――――――――――――――</w:t>
      </w:r>
    </w:p>
    <w:p>
      <w:pPr>
        <w:spacing w:before="160" w:after="40"/>
      </w:pPr>
      <w:r>
        <w:rPr>
          <w:b/>
          <w:color w:val="2E5B88"/>
          <w:sz w:val="24"/>
        </w:rPr>
        <w:t>Slide 12: Quasi-Experimental Evaluation Design &amp; Sampling</w:t>
      </w:r>
    </w:p>
    <w:p>
      <w:pPr>
        <w:pStyle w:val="ListBullet"/>
        <w:spacing w:after="40" w:line="276" w:lineRule="auto"/>
      </w:pPr>
      <w:r/>
      <w:r>
        <w:rPr>
          <w:b/>
        </w:rPr>
        <w:t>Slide Title:</w:t>
      </w:r>
      <w:r>
        <w:t xml:space="preserve"> </w:t>
      </w:r>
      <w:r>
        <w:rPr>
          <w:b/>
        </w:rPr>
        <w:t>Methodology: Stratified Quasi-Experimental Field Design</w:t>
      </w:r>
      <w:r/>
    </w:p>
    <w:p>
      <w:pPr>
        <w:pStyle w:val="ListBullet"/>
        <w:spacing w:after="40" w:line="276" w:lineRule="auto"/>
      </w:pPr>
      <w:r/>
      <w:r>
        <w:rPr>
          <w:b/>
        </w:rPr>
        <w:t>Visual Elements:</w:t>
      </w:r>
      <w:r/>
    </w:p>
    <w:p>
      <w:pPr>
        <w:pStyle w:val="ListBullet"/>
        <w:spacing w:after="40" w:line="276" w:lineRule="auto"/>
      </w:pPr>
      <w:r>
        <w:t xml:space="preserve">Sampling flowchart: </w:t>
      </w:r>
      <w:r>
        <w:rPr>
          <w:b/>
        </w:rPr>
        <w:t>10 Secondary Schools, 20 Intact Classrooms, $N \approx 600$ Students, 20 Teachers</w:t>
      </w:r>
      <w:r>
        <w:t>.</w:t>
      </w:r>
    </w:p>
    <w:p>
      <w:pPr>
        <w:pStyle w:val="ListBullet"/>
        <w:spacing w:after="40" w:line="276" w:lineRule="auto"/>
      </w:pPr>
      <w:r>
        <w:t>Institutional Stratification:</w:t>
      </w:r>
    </w:p>
    <w:p>
      <w:pPr>
        <w:pStyle w:val="ListBullet"/>
        <w:spacing w:after="40" w:line="276" w:lineRule="auto"/>
      </w:pPr>
      <w:r/>
      <w:r>
        <w:rPr>
          <w:b/>
        </w:rPr>
        <w:t>Stratum 1 (National/Extra-County, $n=2$):</w:t>
      </w:r>
      <w:r>
        <w:t xml:space="preserve"> Blended virtual pre-lab + physical lab vs Physical lab alone.</w:t>
      </w:r>
    </w:p>
    <w:p>
      <w:pPr>
        <w:pStyle w:val="ListBullet"/>
        <w:spacing w:after="40" w:line="276" w:lineRule="auto"/>
      </w:pPr>
      <w:r/>
      <w:r>
        <w:rPr>
          <w:b/>
        </w:rPr>
        <w:t>Stratum 2 (County, $n=3$):</w:t>
      </w:r>
      <w:r>
        <w:t xml:space="preserve"> Virtual dyad practice + partial lab vs Large-group demo.</w:t>
      </w:r>
    </w:p>
    <w:p>
      <w:pPr>
        <w:pStyle w:val="ListBullet"/>
        <w:spacing w:after="40" w:line="276" w:lineRule="auto"/>
      </w:pPr>
      <w:r/>
      <w:r>
        <w:rPr>
          <w:b/>
        </w:rPr>
        <w:t>Stratum 3 (Sub-County Day, $n=5$):</w:t>
      </w:r>
      <w:r>
        <w:t xml:space="preserve"> Virtual replacement workbench vs Chalkboard/textbook only.</w:t>
      </w:r>
    </w:p>
    <w:p>
      <w:pPr>
        <w:pStyle w:val="ListBullet"/>
        <w:spacing w:after="40" w:line="276" w:lineRule="auto"/>
      </w:pPr>
      <w:r/>
      <w:r>
        <w:rPr>
          <w:b/>
        </w:rPr>
        <w:t>Unit of Assignment:</w:t>
      </w:r>
      <w:r>
        <w:t xml:space="preserve"> Within-school parallel stream assignment (Stream A = Experimental, Stream B = Control) with role-locked cohort access tokens (`EXP-xxxx`).</w:t>
      </w:r>
    </w:p>
    <w:p>
      <w:pPr>
        <w:pStyle w:val="ListBullet"/>
        <w:spacing w:after="40" w:line="276" w:lineRule="auto"/>
      </w:pPr>
      <w:r/>
      <w:r>
        <w:rPr>
          <w:b/>
        </w:rPr>
        <w:t>Presenter Script (1.5 Minutes):</w:t>
      </w:r>
      <w:r/>
    </w:p>
    <w:tbl>
      <w:tblPr>
        <w:tblW w:type="auto" w:w="0"/>
        <w:tblLook w:firstColumn="1" w:firstRow="1" w:lastColumn="0" w:lastRow="0" w:noHBand="0" w:noVBand="1" w:val="04A0"/>
      </w:tblPr>
      <w:tblGrid>
        <w:gridCol w:w="9360"/>
      </w:tblGrid>
      <w:tr>
        <w:tc>
          <w:tcPr>
            <w:tcW w:type="dxa" w:w="9360"/>
            <w:shd w:fill="EBF3FB"/>
            <w:tcMar>
              <w:top w:w="80" w:type="dxa"/>
              <w:bottom w:w="80" w:type="dxa"/>
              <w:left w:w="120" w:type="dxa"/>
              <w:right w:w="120" w:type="dxa"/>
            </w:tcMar>
          </w:tcPr>
          <w:p>
            <w:pPr>
              <w:spacing w:after="40"/>
            </w:pPr>
            <w:r>
              <w:rPr>
                <w:i/>
                <w:color w:val="1B365D"/>
                <w:sz w:val="20"/>
              </w:rPr>
              <w:t>*"Our evaluation employs a pre-test/post-test non-equivalent control group quasi-experimental design across 10 purposively stratified schools in Nairobi, Kiambu, and Machakos counties. We sample two National schools, three County schools, and five Sub-County day schools, encompassing approximately 600 students across 20 intact classrooms. Treatment is assigned at the stream level within multi-stream schools. Control cohorts receive authentic 'business-as-usual' instruction appropriate to their tier, allowing us to evaluate both the supplementary value in equipped schools and the compensatory value in unequipped schools."*</w:t>
            </w:r>
          </w:p>
        </w:tc>
      </w:tr>
    </w:tbl>
    <w:p>
      <w:pPr>
        <w:spacing w:before="80" w:after="80"/>
      </w:pPr>
      <w:r>
        <w:rPr>
          <w:color w:val="CCCCCC"/>
        </w:rPr>
        <w:t>――――――――――――――――――――――――――――――――――――――――――――――――――</w:t>
      </w:r>
    </w:p>
    <w:p>
      <w:pPr>
        <w:spacing w:before="160" w:after="40"/>
      </w:pPr>
      <w:r>
        <w:rPr>
          <w:b/>
          <w:color w:val="2E5B88"/>
          <w:sz w:val="24"/>
        </w:rPr>
        <w:t>Slide 13: Decoupled Hypotheses &amp; Multilevel Statistical Modeling (LMM)</w:t>
      </w:r>
    </w:p>
    <w:p>
      <w:pPr>
        <w:pStyle w:val="ListBullet"/>
        <w:spacing w:after="40" w:line="276" w:lineRule="auto"/>
      </w:pPr>
      <w:r/>
      <w:r>
        <w:rPr>
          <w:b/>
        </w:rPr>
        <w:t>Slide Title:</w:t>
      </w:r>
      <w:r>
        <w:t xml:space="preserve"> </w:t>
      </w:r>
      <w:r>
        <w:rPr>
          <w:b/>
        </w:rPr>
        <w:t>Statistical Architecture: Linear Mixed-Effects Modeling &amp; Decoupled Hypotheses</w:t>
      </w:r>
      <w:r/>
    </w:p>
    <w:p>
      <w:pPr>
        <w:pStyle w:val="ListBullet"/>
        <w:spacing w:after="40" w:line="276" w:lineRule="auto"/>
      </w:pPr>
      <w:r/>
      <w:r>
        <w:rPr>
          <w:b/>
        </w:rPr>
        <w:t>Visual Elements:</w:t>
      </w:r>
      <w:r>
        <w:t xml:space="preserve"> The two-level LMM mathematical equation:</w:t>
      </w:r>
    </w:p>
    <w:p>
      <w:pPr>
        <w:spacing w:after="80" w:line="276" w:lineRule="auto"/>
      </w:pPr>
      <w:r>
        <w:t>$$\text{PostCPCAT}_{ij} = \beta_0 + \beta_1(\text{PreCPCAT}_{ij}) + \beta_2(\text{Treatment}_j) + \beta_3(\text{Stratum}_j) + \beta_4(\text{Treatment}_j \times \text{Stratum}_j) + u_j + \epsilon_{ij}$$</w:t>
      </w:r>
    </w:p>
    <w:p>
      <w:pPr>
        <w:pStyle w:val="ListBullet"/>
        <w:spacing w:after="40" w:line="276" w:lineRule="auto"/>
      </w:pPr>
      <w:r/>
      <w:r>
        <w:rPr>
          <w:b/>
        </w:rPr>
        <w:t>Key Statistical Safeguards:</w:t>
      </w:r>
      <w:r/>
    </w:p>
    <w:p>
      <w:pPr>
        <w:pStyle w:val="ListBullet"/>
        <w:spacing w:after="40" w:line="276" w:lineRule="auto"/>
      </w:pPr>
      <w:r/>
      <w:r>
        <w:rPr>
          <w:b/>
        </w:rPr>
        <w:t>Decoupled Hypotheses:</w:t>
      </w:r>
      <w:r>
        <w:t xml:space="preserve"> Decouples the inferential between-group test ($H_{01} / H_{A1}$ at $\alpha = 0.05$) from the descriptive project target ($\langle g \rangle \ge 0.40$).</w:t>
      </w:r>
    </w:p>
    <w:p>
      <w:pPr>
        <w:pStyle w:val="ListBullet"/>
        <w:spacing w:after="40" w:line="276" w:lineRule="auto"/>
      </w:pPr>
      <w:r/>
      <w:r>
        <w:rPr>
          <w:b/>
        </w:rPr>
        <w:t>Affective Hypothesis Pair ($H_{02} / H_{A2}$):</w:t>
      </w:r>
      <w:r>
        <w:t xml:space="preserve"> Tests practical anxiety reduction (CPAS) using between-group ANCOVA controlling for baseline anxiety.</w:t>
      </w:r>
    </w:p>
    <w:p>
      <w:pPr>
        <w:pStyle w:val="ListBullet"/>
        <w:spacing w:after="40" w:line="276" w:lineRule="auto"/>
      </w:pPr>
      <w:r/>
      <w:r>
        <w:rPr>
          <w:b/>
        </w:rPr>
        <w:t>Cluster Correlation (ICC) Control:</w:t>
      </w:r>
      <w:r>
        <w:t xml:space="preserve"> Two-Level Linear Mixed-Effects Model (LMM) with random intercepts ($u_j$) across classrooms, supplemented by Cluster-Robust Standard Errors (CRSE).</w:t>
      </w:r>
    </w:p>
    <w:p>
      <w:pPr>
        <w:pStyle w:val="ListBullet"/>
        <w:spacing w:after="40" w:line="276" w:lineRule="auto"/>
      </w:pPr>
      <w:r/>
      <w:r>
        <w:rPr>
          <w:b/>
        </w:rPr>
        <w:t>Sample Arithmetic Reconciled:</w:t>
      </w:r>
      <w:r>
        <w:t xml:space="preserve"> Table 4.1 specifies $\ge 150$ active experimental accounts during the trial, expanding to $\ge 300$ following post-study waitlist crossover.</w:t>
      </w:r>
    </w:p>
    <w:p>
      <w:pPr>
        <w:pStyle w:val="ListBullet"/>
        <w:spacing w:after="40" w:line="276" w:lineRule="auto"/>
      </w:pPr>
      <w:r/>
      <w:r>
        <w:rPr>
          <w:b/>
        </w:rPr>
        <w:t>Presenter Script (1.5 Minutes):</w:t>
      </w:r>
      <w:r/>
    </w:p>
    <w:tbl>
      <w:tblPr>
        <w:tblW w:type="auto" w:w="0"/>
        <w:tblLook w:firstColumn="1" w:firstRow="1" w:lastColumn="0" w:lastRow="0" w:noHBand="0" w:noVBand="1" w:val="04A0"/>
      </w:tblPr>
      <w:tblGrid>
        <w:gridCol w:w="9360"/>
      </w:tblGrid>
      <w:tr>
        <w:tc>
          <w:tcPr>
            <w:tcW w:type="dxa" w:w="9360"/>
            <w:shd w:fill="EBF3FB"/>
            <w:tcMar>
              <w:top w:w="80" w:type="dxa"/>
              <w:bottom w:w="80" w:type="dxa"/>
              <w:left w:w="120" w:type="dxa"/>
              <w:right w:w="120" w:type="dxa"/>
            </w:tcMar>
          </w:tcPr>
          <w:p>
            <w:pPr>
              <w:spacing w:after="40"/>
            </w:pPr>
            <w:r>
              <w:rPr>
                <w:i/>
                <w:color w:val="1B365D"/>
                <w:sz w:val="20"/>
              </w:rPr>
              <w:t>*"A major refinement in Proposal V11 is statistical rigor. In clustered educational trials, student observations within the same classroom are not independent. Conducting standard ANCOVA inflates Type I errors. We therefore specify a Two-Level Linear Mixed-Effects Model with classroom random intercepts and Cluster-Robust Standard Errors. Furthermore, we decoupled our research hypotheses: the inferential between-group comparison is tested independently at alpha 0.05, while Hake's normalized gain of 0.40 is retained as a descriptive milestone. We also incorporated a dedicated formal hypothesis pair for practical anxiety reduction."*</w:t>
            </w:r>
          </w:p>
        </w:tc>
      </w:tr>
    </w:tbl>
    <w:p>
      <w:pPr>
        <w:spacing w:before="80" w:after="80"/>
      </w:pPr>
      <w:r>
        <w:rPr>
          <w:color w:val="CCCCCC"/>
        </w:rPr>
        <w:t>――――――――――――――――――――――――――――――――――――――――――――――――――</w:t>
      </w:r>
    </w:p>
    <w:p>
      <w:pPr>
        <w:spacing w:before="160" w:after="40"/>
      </w:pPr>
      <w:r>
        <w:rPr>
          <w:b/>
          <w:color w:val="2E5B88"/>
          <w:sz w:val="24"/>
        </w:rPr>
        <w:t>Slide 14: Psychometrics, Instrumentation &amp; Pilot Validation</w:t>
      </w:r>
    </w:p>
    <w:p>
      <w:pPr>
        <w:pStyle w:val="ListBullet"/>
        <w:spacing w:after="40" w:line="276" w:lineRule="auto"/>
      </w:pPr>
      <w:r/>
      <w:r>
        <w:rPr>
          <w:b/>
        </w:rPr>
        <w:t>Slide Title:</w:t>
      </w:r>
      <w:r>
        <w:t xml:space="preserve"> </w:t>
      </w:r>
      <w:r>
        <w:rPr>
          <w:b/>
        </w:rPr>
        <w:t>Instrumentation: Reliability, Validity &amp; Psychometric Rigor</w:t>
      </w:r>
      <w:r/>
    </w:p>
    <w:p>
      <w:pPr>
        <w:pStyle w:val="ListBullet"/>
        <w:spacing w:after="40" w:line="276" w:lineRule="auto"/>
      </w:pPr>
      <w:r/>
      <w:r>
        <w:rPr>
          <w:b/>
        </w:rPr>
        <w:t>Key Summary Table:</w:t>
      </w:r>
      <w:r/>
    </w:p>
    <w:p>
      <w:pPr>
        <w:pStyle w:val="ListBullet"/>
        <w:spacing w:after="40" w:line="276" w:lineRule="auto"/>
      </w:pPr>
      <w:r/>
      <w:r>
        <w:rPr>
          <w:b/>
        </w:rPr>
        <w:t>CPCAT (40-Mark Practical Achievement):</w:t>
      </w:r>
      <w:r>
        <w:t xml:space="preserve"> Pre-tested with 80 Form 4 students; </w:t>
      </w:r>
      <w:r>
        <w:rPr>
          <w:b/>
        </w:rPr>
        <w:t>$\text{KR-20} \ge 0.80$</w:t>
      </w:r>
      <w:r>
        <w:t xml:space="preserve">; blind double-marking by certified KNEC examiners with </w:t>
      </w:r>
      <w:r>
        <w:rPr>
          <w:b/>
        </w:rPr>
        <w:t>Cohen’s $\kappa \ge 0.85$</w:t>
      </w:r>
      <w:r>
        <w:t xml:space="preserve"> and </w:t>
      </w:r>
      <w:r>
        <w:rPr>
          <w:b/>
        </w:rPr>
        <w:t>$\text{ICC} \ge 0.85$</w:t>
      </w:r>
      <w:r>
        <w:t>.</w:t>
      </w:r>
    </w:p>
    <w:p>
      <w:pPr>
        <w:pStyle w:val="ListBullet"/>
        <w:spacing w:after="40" w:line="276" w:lineRule="auto"/>
      </w:pPr>
      <w:r/>
      <w:r>
        <w:rPr>
          <w:b/>
        </w:rPr>
        <w:t>CPAS (Practical Anxiety Scale):</w:t>
      </w:r>
      <w:r>
        <w:t xml:space="preserve"> 20 items adapted from Spielberger STAI; Cronbach’s $\alpha \ge 0.80$.</w:t>
      </w:r>
    </w:p>
    <w:p>
      <w:pPr>
        <w:pStyle w:val="ListBullet"/>
        <w:spacing w:after="40" w:line="276" w:lineRule="auto"/>
      </w:pPr>
      <w:r/>
      <w:r>
        <w:rPr>
          <w:b/>
        </w:rPr>
        <w:t>SUS (Usability Benchmark):</w:t>
      </w:r>
      <w:r>
        <w:t xml:space="preserve"> 10-item standardized scale; target $\text{SUS} \ge 78$ (top-quartile usability).</w:t>
      </w:r>
    </w:p>
    <w:p>
      <w:pPr>
        <w:pStyle w:val="ListBullet"/>
        <w:spacing w:after="40" w:line="276" w:lineRule="auto"/>
      </w:pPr>
      <w:r/>
      <w:r>
        <w:rPr>
          <w:b/>
        </w:rPr>
        <w:t>TAM 3 (Technology Acceptance):</w:t>
      </w:r>
      <w:r>
        <w:t xml:space="preserve"> Multi-item Likert measuring PU, PEOU, PEC, and BI; target mean $\ge 4.0/5.0$.</w:t>
      </w:r>
    </w:p>
    <w:p>
      <w:pPr>
        <w:pStyle w:val="ListBullet"/>
        <w:spacing w:after="40" w:line="276" w:lineRule="auto"/>
      </w:pPr>
      <w:r/>
      <w:r>
        <w:rPr>
          <w:b/>
        </w:rPr>
        <w:t>Presenter Script (1 Minute):</w:t>
      </w:r>
      <w:r/>
    </w:p>
    <w:tbl>
      <w:tblPr>
        <w:tblW w:type="auto" w:w="0"/>
        <w:tblLook w:firstColumn="1" w:firstRow="1" w:lastColumn="0" w:lastRow="0" w:noHBand="0" w:noVBand="1" w:val="04A0"/>
      </w:tblPr>
      <w:tblGrid>
        <w:gridCol w:w="9360"/>
      </w:tblGrid>
      <w:tr>
        <w:tc>
          <w:tcPr>
            <w:tcW w:type="dxa" w:w="9360"/>
            <w:shd w:fill="EBF3FB"/>
            <w:tcMar>
              <w:top w:w="80" w:type="dxa"/>
              <w:bottom w:w="80" w:type="dxa"/>
              <w:left w:w="120" w:type="dxa"/>
              <w:right w:w="120" w:type="dxa"/>
            </w:tcMar>
          </w:tcPr>
          <w:p>
            <w:pPr>
              <w:spacing w:after="40"/>
            </w:pPr>
            <w:r>
              <w:rPr>
                <w:i/>
                <w:color w:val="1B365D"/>
                <w:sz w:val="20"/>
              </w:rPr>
              <w:t>*"All instrumentation has undergone strict psychometric design. The primary achievement instrument—the 40-mark CPCAT—assesses cognitive and procedural readiness and is graded by blind KNEC examiners with inter-rater reliability verified through Cohen's Kappa. The anxiety scale, usability scale, and TAM 3 adoption surveys have all been verified for internal consistency with alpha thresholds exceeding 0.80."*</w:t>
            </w:r>
          </w:p>
        </w:tc>
      </w:tr>
    </w:tbl>
    <w:p>
      <w:pPr>
        <w:spacing w:before="80" w:after="80"/>
      </w:pPr>
      <w:r>
        <w:rPr>
          <w:color w:val="CCCCCC"/>
        </w:rPr>
        <w:t>――――――――――――――――――――――――――――――――――――――――――――――――――</w:t>
      </w:r>
    </w:p>
    <w:p>
      <w:pPr>
        <w:spacing w:before="160" w:after="40"/>
      </w:pPr>
      <w:r>
        <w:rPr>
          <w:b/>
          <w:color w:val="2E5B88"/>
          <w:sz w:val="24"/>
        </w:rPr>
        <w:t>Slide 15: Budget, Policy Impact &amp; Strategic Institutional Roadmap</w:t>
      </w:r>
    </w:p>
    <w:p>
      <w:pPr>
        <w:pStyle w:val="ListBullet"/>
        <w:spacing w:after="40" w:line="276" w:lineRule="auto"/>
      </w:pPr>
      <w:r/>
      <w:r>
        <w:rPr>
          <w:b/>
        </w:rPr>
        <w:t>Slide Title:</w:t>
      </w:r>
      <w:r>
        <w:t xml:space="preserve"> </w:t>
      </w:r>
      <w:r>
        <w:rPr>
          <w:b/>
        </w:rPr>
        <w:t>Project Feasibility, Budget &amp; Policy Recommendations</w:t>
      </w:r>
      <w:r/>
    </w:p>
    <w:p>
      <w:pPr>
        <w:pStyle w:val="ListBullet"/>
        <w:spacing w:after="40" w:line="276" w:lineRule="auto"/>
      </w:pPr>
      <w:r/>
      <w:r>
        <w:rPr>
          <w:b/>
        </w:rPr>
        <w:t>Key Bullet Points:</w:t>
      </w:r>
      <w:r/>
    </w:p>
    <w:p>
      <w:pPr>
        <w:pStyle w:val="ListBullet"/>
        <w:spacing w:after="40" w:line="276" w:lineRule="auto"/>
      </w:pPr>
      <w:r/>
      <w:r>
        <w:rPr>
          <w:b/>
        </w:rPr>
        <w:t>Reconciled Budget (KES 340,900):</w:t>
      </w:r>
      <w:r>
        <w:t xml:space="preserve"> Fully funds the 15-tablet mobile kit, solar power banks, teacher honoraria, NACOSTI clearances, and printed CPCAT test booklets.</w:t>
      </w:r>
    </w:p>
    <w:p>
      <w:pPr>
        <w:pStyle w:val="ListBullet"/>
        <w:spacing w:after="40" w:line="276" w:lineRule="auto"/>
      </w:pPr>
      <w:r/>
      <w:r>
        <w:rPr>
          <w:b/>
        </w:rPr>
        <w:t>Institutional Policy Roadmap:</w:t>
      </w:r>
      <w:r/>
    </w:p>
    <w:p>
      <w:pPr>
        <w:pStyle w:val="ListBullet"/>
        <w:spacing w:after="40" w:line="276" w:lineRule="auto"/>
      </w:pPr>
      <w:r/>
      <w:r>
        <w:rPr>
          <w:b/>
        </w:rPr>
        <w:t>To Ministry of Education &amp; NG-CDF:</w:t>
      </w:r>
      <w:r>
        <w:t xml:space="preserve"> Earmark ICT infrastructure capitation grants for mobile tablet kits in sub-county day schools.</w:t>
      </w:r>
    </w:p>
    <w:p>
      <w:pPr>
        <w:pStyle w:val="ListBullet"/>
        <w:spacing w:after="40" w:line="276" w:lineRule="auto"/>
      </w:pPr>
      <w:r/>
      <w:r>
        <w:rPr>
          <w:b/>
        </w:rPr>
        <w:t>To CEMASTEA:</w:t>
      </w:r>
      <w:r>
        <w:t xml:space="preserve"> Integrate VirtuLab Kenya into national INSET teacher training modules and connect offline telemetry to the national virtual labs portal.</w:t>
      </w:r>
    </w:p>
    <w:p>
      <w:pPr>
        <w:pStyle w:val="ListBullet"/>
        <w:spacing w:after="40" w:line="276" w:lineRule="auto"/>
      </w:pPr>
      <w:r/>
      <w:r>
        <w:rPr>
          <w:b/>
        </w:rPr>
        <w:t>To KICD:</w:t>
      </w:r>
      <w:r>
        <w:t xml:space="preserve"> Accredit VirtuLab Kenya as approved digital Curriculum Support Material (CSM) distributed via the Kenya Education Cloud (KEC).</w:t>
      </w:r>
    </w:p>
    <w:p>
      <w:pPr>
        <w:pStyle w:val="ListBullet"/>
        <w:spacing w:after="40" w:line="276" w:lineRule="auto"/>
      </w:pPr>
      <w:r/>
      <w:r>
        <w:rPr>
          <w:b/>
        </w:rPr>
        <w:t>Presenter Script (1 Minute):</w:t>
      </w:r>
      <w:r/>
    </w:p>
    <w:tbl>
      <w:tblPr>
        <w:tblW w:type="auto" w:w="0"/>
        <w:tblLook w:firstColumn="1" w:firstRow="1" w:lastColumn="0" w:lastRow="0" w:noHBand="0" w:noVBand="1" w:val="04A0"/>
      </w:tblPr>
      <w:tblGrid>
        <w:gridCol w:w="9360"/>
      </w:tblGrid>
      <w:tr>
        <w:tc>
          <w:tcPr>
            <w:tcW w:type="dxa" w:w="9360"/>
            <w:shd w:fill="EBF3FB"/>
            <w:tcMar>
              <w:top w:w="80" w:type="dxa"/>
              <w:bottom w:w="80" w:type="dxa"/>
              <w:left w:w="120" w:type="dxa"/>
              <w:right w:w="120" w:type="dxa"/>
            </w:tcMar>
          </w:tcPr>
          <w:p>
            <w:pPr>
              <w:spacing w:after="40"/>
            </w:pPr>
            <w:r>
              <w:rPr>
                <w:i/>
                <w:color w:val="1B365D"/>
                <w:sz w:val="20"/>
              </w:rPr>
              <w:t>*"The total operational budget of KES 340,900 is fully itemized and feasible, funding our mobile tablet hardware kit, solar buffers, and field operations. Most importantly, this project provides a concrete policy bridge: we recommend that the Ministry of Education and NG-CDF allocate targeted funding for mobile tablet kits, while CEMASTEA and KICD adopt VirtuLab Kenya as an offline edge-tool for the Kenya Education Cloud. Thank you, members of the panel. I welcome your questions and feedback."*</w:t>
            </w:r>
          </w:p>
        </w:tc>
      </w:tr>
    </w:tbl>
    <w:p>
      <w:pPr>
        <w:spacing w:before="80" w:after="80"/>
      </w:pPr>
      <w:r>
        <w:rPr>
          <w:color w:val="CCCCCC"/>
        </w:rPr>
        <w:t>――――――――――――――――――――――――――――――――――――――――――――――――――</w:t>
      </w:r>
    </w:p>
    <w:p>
      <w:pPr>
        <w:spacing w:before="240" w:after="80"/>
      </w:pPr>
      <w:r>
        <w:rPr>
          <w:b/>
          <w:color w:val="1B365D"/>
          <w:sz w:val="28"/>
        </w:rPr>
        <w:t>Defense Panel Q&amp;A Anticipation Matrix (The Top 5 Examiner Questions)</w:t>
      </w:r>
    </w:p>
    <w:tbl>
      <w:tblPr>
        <w:tblW w:type="auto" w:w="0"/>
        <w:jc w:val="center"/>
        <w:tblLook w:firstColumn="1" w:firstRow="1" w:lastColumn="0" w:lastRow="0" w:noHBand="0" w:noVBand="1" w:val="04A0"/>
      </w:tblPr>
      <w:tblGrid>
        <w:gridCol w:w="2340"/>
        <w:gridCol w:w="2340"/>
        <w:gridCol w:w="2340"/>
        <w:gridCol w:w="2340"/>
      </w:tblGrid>
      <w:tr>
        <w:tc>
          <w:tcPr>
            <w:tcW w:type="dxa" w:w="2340"/>
            <w:tcMar>
              <w:top w:w="80" w:type="dxa"/>
              <w:bottom w:w="80" w:type="dxa"/>
              <w:left w:w="120" w:type="dxa"/>
              <w:right w:w="120" w:type="dxa"/>
            </w:tcMar>
            <w:shd w:fill="1F4E79"/>
          </w:tcPr>
          <w:p>
            <w:pPr>
              <w:jc w:val="center"/>
            </w:pPr>
            <w:r>
              <w:rPr>
                <w:b/>
                <w:color w:val="FFFFFF"/>
                <w:sz w:val="19"/>
              </w:rPr>
              <w:t>#</w:t>
            </w:r>
          </w:p>
        </w:tc>
        <w:tc>
          <w:tcPr>
            <w:tcW w:type="dxa" w:w="2340"/>
            <w:tcMar>
              <w:top w:w="80" w:type="dxa"/>
              <w:bottom w:w="80" w:type="dxa"/>
              <w:left w:w="120" w:type="dxa"/>
              <w:right w:w="120" w:type="dxa"/>
            </w:tcMar>
            <w:shd w:fill="1F4E79"/>
          </w:tcPr>
          <w:p>
            <w:pPr>
              <w:jc w:val="center"/>
            </w:pPr>
            <w:r>
              <w:rPr>
                <w:b/>
                <w:color w:val="FFFFFF"/>
                <w:sz w:val="19"/>
              </w:rPr>
              <w:t>Anticipated Tough Examiner Question</w:t>
            </w:r>
          </w:p>
        </w:tc>
        <w:tc>
          <w:tcPr>
            <w:tcW w:type="dxa" w:w="2340"/>
            <w:tcMar>
              <w:top w:w="80" w:type="dxa"/>
              <w:bottom w:w="80" w:type="dxa"/>
              <w:left w:w="120" w:type="dxa"/>
              <w:right w:w="120" w:type="dxa"/>
            </w:tcMar>
            <w:shd w:fill="1F4E79"/>
          </w:tcPr>
          <w:p>
            <w:pPr>
              <w:jc w:val="center"/>
            </w:pPr>
            <w:r>
              <w:rPr>
                <w:b/>
                <w:color w:val="FFFFFF"/>
                <w:sz w:val="19"/>
              </w:rPr>
              <w:t>Why They Ask It</w:t>
            </w:r>
          </w:p>
        </w:tc>
        <w:tc>
          <w:tcPr>
            <w:tcW w:type="dxa" w:w="2340"/>
            <w:tcMar>
              <w:top w:w="80" w:type="dxa"/>
              <w:bottom w:w="80" w:type="dxa"/>
              <w:left w:w="120" w:type="dxa"/>
              <w:right w:w="120" w:type="dxa"/>
            </w:tcMar>
            <w:shd w:fill="1F4E79"/>
          </w:tcPr>
          <w:p>
            <w:pPr>
              <w:jc w:val="center"/>
            </w:pPr>
            <w:r>
              <w:rPr>
                <w:b/>
                <w:color w:val="FFFFFF"/>
                <w:sz w:val="19"/>
              </w:rPr>
              <w:t>Your Unassailable V11 Response Strategy</w:t>
            </w:r>
          </w:p>
        </w:tc>
      </w:tr>
      <w:tr>
        <w:tc>
          <w:tcPr>
            <w:tcW w:type="dxa" w:w="2340"/>
            <w:tcMar>
              <w:top w:w="80" w:type="dxa"/>
              <w:bottom w:w="80" w:type="dxa"/>
              <w:left w:w="120" w:type="dxa"/>
              <w:right w:w="120" w:type="dxa"/>
            </w:tcMar>
            <w:shd w:fill="F2F4F7"/>
          </w:tcPr>
          <w:p>
            <w:r>
              <w:rPr>
                <w:color w:val="333333"/>
                <w:sz w:val="19"/>
              </w:rPr>
              <w:t>Q1</w:t>
            </w:r>
          </w:p>
        </w:tc>
        <w:tc>
          <w:tcPr>
            <w:tcW w:type="dxa" w:w="2340"/>
            <w:tcMar>
              <w:top w:w="80" w:type="dxa"/>
              <w:bottom w:w="80" w:type="dxa"/>
              <w:left w:w="120" w:type="dxa"/>
              <w:right w:w="120" w:type="dxa"/>
            </w:tcMar>
            <w:shd w:fill="F2F4F7"/>
          </w:tcPr>
          <w:p>
            <w:r>
              <w:rPr>
                <w:color w:val="333333"/>
                <w:sz w:val="19"/>
              </w:rPr>
              <w:t>*"Your students aren't physically holding a burette. How can you claim that an interactive screen replaces physical psychomotor lab skills?"*</w:t>
            </w:r>
          </w:p>
        </w:tc>
        <w:tc>
          <w:tcPr>
            <w:tcW w:type="dxa" w:w="2340"/>
            <w:tcMar>
              <w:top w:w="80" w:type="dxa"/>
              <w:bottom w:w="80" w:type="dxa"/>
              <w:left w:w="120" w:type="dxa"/>
              <w:right w:w="120" w:type="dxa"/>
            </w:tcMar>
            <w:shd w:fill="F2F4F7"/>
          </w:tcPr>
          <w:p>
            <w:r>
              <w:rPr>
                <w:color w:val="333333"/>
                <w:sz w:val="19"/>
              </w:rPr>
              <w:t>Skepticism regarding tactile dexterity vs digital simulations.</w:t>
            </w:r>
          </w:p>
        </w:tc>
        <w:tc>
          <w:tcPr>
            <w:tcW w:type="dxa" w:w="2340"/>
            <w:tcMar>
              <w:top w:w="80" w:type="dxa"/>
              <w:bottom w:w="80" w:type="dxa"/>
              <w:left w:w="120" w:type="dxa"/>
              <w:right w:w="120" w:type="dxa"/>
            </w:tcMar>
            <w:shd w:fill="F2F4F7"/>
          </w:tcPr>
          <w:p>
            <w:r>
              <w:rPr>
                <w:color w:val="333333"/>
                <w:sz w:val="19"/>
              </w:rPr>
              <w:t>Acknowledge and delimit: *"We explicitly delimit the scope of the 40-mark CPCAT to cognitive, procedural, and analytical readiness—specifically meniscus interpolation, table tabulation, concordant averaging, and stoichiometric deduction. KNEC examiners' reports consistently show that candidates lose over 60% of practical marks not on tactile tap manipulation, but on procedural calculation and concordant averaging errors. VirtuLab Kenya automates the mastery of these mental models, ensuring that when students encounter physical apparatus, their procedural anxiety is minimized."*</w:t>
            </w:r>
          </w:p>
        </w:tc>
      </w:tr>
      <w:tr>
        <w:tc>
          <w:tcPr>
            <w:tcW w:type="dxa" w:w="2340"/>
            <w:tcMar>
              <w:top w:w="80" w:type="dxa"/>
              <w:bottom w:w="80" w:type="dxa"/>
              <w:left w:w="120" w:type="dxa"/>
              <w:right w:w="120" w:type="dxa"/>
            </w:tcMar>
            <w:shd w:fill="FFFFFF"/>
          </w:tcPr>
          <w:p>
            <w:r>
              <w:rPr>
                <w:color w:val="333333"/>
                <w:sz w:val="19"/>
              </w:rPr>
              <w:t>Q2</w:t>
            </w:r>
          </w:p>
        </w:tc>
        <w:tc>
          <w:tcPr>
            <w:tcW w:type="dxa" w:w="2340"/>
            <w:tcMar>
              <w:top w:w="80" w:type="dxa"/>
              <w:bottom w:w="80" w:type="dxa"/>
              <w:left w:w="120" w:type="dxa"/>
              <w:right w:w="120" w:type="dxa"/>
            </w:tcMar>
            <w:shd w:fill="FFFFFF"/>
          </w:tcPr>
          <w:p>
            <w:r>
              <w:rPr>
                <w:color w:val="333333"/>
                <w:sz w:val="19"/>
              </w:rPr>
              <w:t>*"How do you justify testing an experimental edtech intervention in National schools that already have state-of-the-art laboratories?"*</w:t>
            </w:r>
          </w:p>
        </w:tc>
        <w:tc>
          <w:tcPr>
            <w:tcW w:type="dxa" w:w="2340"/>
            <w:tcMar>
              <w:top w:w="80" w:type="dxa"/>
              <w:bottom w:w="80" w:type="dxa"/>
              <w:left w:w="120" w:type="dxa"/>
              <w:right w:w="120" w:type="dxa"/>
            </w:tcMar>
            <w:shd w:fill="FFFFFF"/>
          </w:tcPr>
          <w:p>
            <w:r>
              <w:rPr>
                <w:color w:val="333333"/>
                <w:sz w:val="19"/>
              </w:rPr>
              <w:t>Concerns over redundant testing or unfair control comparisons.</w:t>
            </w:r>
          </w:p>
        </w:tc>
        <w:tc>
          <w:tcPr>
            <w:tcW w:type="dxa" w:w="2340"/>
            <w:tcMar>
              <w:top w:w="80" w:type="dxa"/>
              <w:bottom w:w="80" w:type="dxa"/>
              <w:left w:w="120" w:type="dxa"/>
              <w:right w:w="120" w:type="dxa"/>
            </w:tcMar>
            <w:shd w:fill="FFFFFF"/>
          </w:tcPr>
          <w:p>
            <w:r>
              <w:rPr>
                <w:color w:val="333333"/>
                <w:sz w:val="19"/>
              </w:rPr>
              <w:t>Explain the Blended vs Replacement Model: *"National schools serve as our authentic positive benchmark. In Stratum 1, VirtuLab Kenya is not a replacement; it operates as a 20-minute blended pre-laboratory preparation tool. By modeling a Treatment $\times$ Stratum interaction term in our Linear Mixed-Effects Model, we analytically separate the supplementary acceleration effect in equipped schools from the compensatory replacement effect in unequipped sub-county schools."*</w:t>
            </w:r>
          </w:p>
        </w:tc>
      </w:tr>
      <w:tr>
        <w:tc>
          <w:tcPr>
            <w:tcW w:type="dxa" w:w="2340"/>
            <w:tcMar>
              <w:top w:w="80" w:type="dxa"/>
              <w:bottom w:w="80" w:type="dxa"/>
              <w:left w:w="120" w:type="dxa"/>
              <w:right w:w="120" w:type="dxa"/>
            </w:tcMar>
            <w:shd w:fill="F2F4F7"/>
          </w:tcPr>
          <w:p>
            <w:r>
              <w:rPr>
                <w:color w:val="333333"/>
                <w:sz w:val="19"/>
              </w:rPr>
              <w:t>Q3</w:t>
            </w:r>
          </w:p>
        </w:tc>
        <w:tc>
          <w:tcPr>
            <w:tcW w:type="dxa" w:w="2340"/>
            <w:tcMar>
              <w:top w:w="80" w:type="dxa"/>
              <w:bottom w:w="80" w:type="dxa"/>
              <w:left w:w="120" w:type="dxa"/>
              <w:right w:w="120" w:type="dxa"/>
            </w:tcMar>
            <w:shd w:fill="F2F4F7"/>
          </w:tcPr>
          <w:p>
            <w:r>
              <w:rPr>
                <w:color w:val="333333"/>
                <w:sz w:val="19"/>
              </w:rPr>
              <w:t>*"Why did you use within-school stream assignment instead of assigning whole schools to treatment and control? Isn't there a spillover contamination risk?"*</w:t>
            </w:r>
          </w:p>
        </w:tc>
        <w:tc>
          <w:tcPr>
            <w:tcW w:type="dxa" w:w="2340"/>
            <w:tcMar>
              <w:top w:w="80" w:type="dxa"/>
              <w:bottom w:w="80" w:type="dxa"/>
              <w:left w:w="120" w:type="dxa"/>
              <w:right w:w="120" w:type="dxa"/>
            </w:tcMar>
            <w:shd w:fill="F2F4F7"/>
          </w:tcPr>
          <w:p>
            <w:r>
              <w:rPr>
                <w:color w:val="333333"/>
                <w:sz w:val="19"/>
              </w:rPr>
              <w:t>Methodological questioning on unit of assignment and diffusion of treatment.</w:t>
            </w:r>
          </w:p>
        </w:tc>
        <w:tc>
          <w:tcPr>
            <w:tcW w:type="dxa" w:w="2340"/>
            <w:tcMar>
              <w:top w:w="80" w:type="dxa"/>
              <w:bottom w:w="80" w:type="dxa"/>
              <w:left w:w="120" w:type="dxa"/>
              <w:right w:w="120" w:type="dxa"/>
            </w:tcMar>
            <w:shd w:fill="F2F4F7"/>
          </w:tcPr>
          <w:p>
            <w:r>
              <w:rPr>
                <w:color w:val="333333"/>
                <w:sz w:val="19"/>
              </w:rPr>
              <w:t>Explain the Institutional and Technical Safeguards: *"Whole-school assignment was impossible because strata contained odd numbers of schools (3 County, 5 Sub-County), and Sub-County schools vary widely in catchment demographics. Stream assignment controls for institutional, community, and teacher variables. To prevent cross-stream spillover, the PWA is not open-access: accounts require an encrypted activation token (EXP-xxxx). Control learners are waitlisted and receive their accounts during a post-Week 10 crossover workshop."*</w:t>
            </w:r>
          </w:p>
        </w:tc>
      </w:tr>
      <w:tr>
        <w:tc>
          <w:tcPr>
            <w:tcW w:type="dxa" w:w="2340"/>
            <w:tcMar>
              <w:top w:w="80" w:type="dxa"/>
              <w:bottom w:w="80" w:type="dxa"/>
              <w:left w:w="120" w:type="dxa"/>
              <w:right w:w="120" w:type="dxa"/>
            </w:tcMar>
            <w:shd w:fill="FFFFFF"/>
          </w:tcPr>
          <w:p>
            <w:r>
              <w:rPr>
                <w:color w:val="333333"/>
                <w:sz w:val="19"/>
              </w:rPr>
              <w:t>Q4</w:t>
            </w:r>
          </w:p>
        </w:tc>
        <w:tc>
          <w:tcPr>
            <w:tcW w:type="dxa" w:w="2340"/>
            <w:tcMar>
              <w:top w:w="80" w:type="dxa"/>
              <w:bottom w:w="80" w:type="dxa"/>
              <w:left w:w="120" w:type="dxa"/>
              <w:right w:w="120" w:type="dxa"/>
            </w:tcMar>
            <w:shd w:fill="FFFFFF"/>
          </w:tcPr>
          <w:p>
            <w:r>
              <w:rPr>
                <w:color w:val="333333"/>
                <w:sz w:val="19"/>
              </w:rPr>
              <w:t>*"Why did you decouple your normalized gain benchmark ($g \ge 0.40$) from your alternative hypothesis ($H_{A1}$) in Proposal V11?"*</w:t>
            </w:r>
          </w:p>
        </w:tc>
        <w:tc>
          <w:tcPr>
            <w:tcW w:type="dxa" w:w="2340"/>
            <w:tcMar>
              <w:top w:w="80" w:type="dxa"/>
              <w:bottom w:w="80" w:type="dxa"/>
              <w:left w:w="120" w:type="dxa"/>
              <w:right w:w="120" w:type="dxa"/>
            </w:tcMar>
            <w:shd w:fill="FFFFFF"/>
          </w:tcPr>
          <w:p>
            <w:r>
              <w:rPr>
                <w:color w:val="333333"/>
                <w:sz w:val="19"/>
              </w:rPr>
              <w:t>Checking statistical testing rigor and decision rules.</w:t>
            </w:r>
          </w:p>
        </w:tc>
        <w:tc>
          <w:tcPr>
            <w:tcW w:type="dxa" w:w="2340"/>
            <w:tcMar>
              <w:top w:w="80" w:type="dxa"/>
              <w:bottom w:w="80" w:type="dxa"/>
              <w:left w:w="120" w:type="dxa"/>
              <w:right w:w="120" w:type="dxa"/>
            </w:tcMar>
            <w:shd w:fill="FFFFFF"/>
          </w:tcPr>
          <w:p>
            <w:r>
              <w:rPr>
                <w:color w:val="333333"/>
                <w:sz w:val="19"/>
              </w:rPr>
              <w:t>Highlight Formal Decision Theory: *"In formal hypothesis testing, $H_0$ and $H_1$ must be mutually exclusive and exhaustive complements regarding the population parameter ($\mu_{\text{exp}} = \mu_{\text{ctrl}}$ vs $\mu_{\text{exp}} &gt; \mu_{\text{ctrl}}$). Embedding an arbitrary point-gain threshold like $g \ge 0.40$ into $H_1$ creates an ambiguous decision space: if the intervention produces a statistically significant gain with $g = 0.38$, $H_0$ is rejected, yet $H_1$ as originally written would fail. We decoupled them to preserve inferential validity while retaining Hake's gain as a descriptive project performance milestone."*</w:t>
            </w:r>
          </w:p>
        </w:tc>
      </w:tr>
      <w:tr>
        <w:tc>
          <w:tcPr>
            <w:tcW w:type="dxa" w:w="2340"/>
            <w:tcMar>
              <w:top w:w="80" w:type="dxa"/>
              <w:bottom w:w="80" w:type="dxa"/>
              <w:left w:w="120" w:type="dxa"/>
              <w:right w:w="120" w:type="dxa"/>
            </w:tcMar>
            <w:shd w:fill="F2F4F7"/>
          </w:tcPr>
          <w:p>
            <w:r>
              <w:rPr>
                <w:color w:val="333333"/>
                <w:sz w:val="19"/>
              </w:rPr>
              <w:t>Q5</w:t>
            </w:r>
          </w:p>
        </w:tc>
        <w:tc>
          <w:tcPr>
            <w:tcW w:type="dxa" w:w="2340"/>
            <w:tcMar>
              <w:top w:w="80" w:type="dxa"/>
              <w:bottom w:w="80" w:type="dxa"/>
              <w:left w:w="120" w:type="dxa"/>
              <w:right w:w="120" w:type="dxa"/>
            </w:tcMar>
            <w:shd w:fill="F2F4F7"/>
          </w:tcPr>
          <w:p>
            <w:r>
              <w:rPr>
                <w:color w:val="333333"/>
                <w:sz w:val="19"/>
              </w:rPr>
              <w:t>*"Why didn't you conduct the field trial in Kakamega or Siaya where rural laboratory deficits are arguably higher than in Nairobi, Kiambu, or Machakos?"*</w:t>
            </w:r>
          </w:p>
        </w:tc>
        <w:tc>
          <w:tcPr>
            <w:tcW w:type="dxa" w:w="2340"/>
            <w:tcMar>
              <w:top w:w="80" w:type="dxa"/>
              <w:bottom w:w="80" w:type="dxa"/>
              <w:left w:w="120" w:type="dxa"/>
              <w:right w:w="120" w:type="dxa"/>
            </w:tcMar>
            <w:shd w:fill="F2F4F7"/>
          </w:tcPr>
          <w:p>
            <w:r>
              <w:rPr>
                <w:color w:val="333333"/>
                <w:sz w:val="19"/>
              </w:rPr>
              <w:t>Challenging the ecological validity of the geographic pilot site.</w:t>
            </w:r>
          </w:p>
        </w:tc>
        <w:tc>
          <w:tcPr>
            <w:tcW w:type="dxa" w:w="2340"/>
            <w:tcMar>
              <w:top w:w="80" w:type="dxa"/>
              <w:bottom w:w="80" w:type="dxa"/>
              <w:left w:w="120" w:type="dxa"/>
              <w:right w:w="120" w:type="dxa"/>
            </w:tcMar>
            <w:shd w:fill="F2F4F7"/>
          </w:tcPr>
          <w:p>
            <w:r>
              <w:rPr>
                <w:color w:val="333333"/>
                <w:sz w:val="19"/>
              </w:rPr>
              <w:t>Highlight Resource Realism and Urban Deprivation: *"Sub-County day schools in lower Machakos, rural Kiambu, and informal settlements like Eastlands in Nairobi suffer from identical structural deficits—zero piped gas, zero running water, and zero reagents. Logistically, conducting a high-fidelity 10-week quasi-experiment with weekly mobile tablet rotations and unannounced fidelity checks across 10 institutions requires regular physical site visits that are only feasible within the project's capstone travel budget."*</w:t>
            </w:r>
          </w:p>
        </w:tc>
      </w:tr>
    </w:tbl>
    <w:p>
      <w:pPr>
        <w:spacing w:after="12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