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B365D"/>
          <w:sz w:val="36"/>
        </w:rPr>
        <w:t>VirtuLab Kenya Capstone Proposal: Master Revision Text &amp; Drop-In Patches (V11)</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Document Target: `VirtuLab_Kenya_Capstone_Proposal_V11_Resolved.docx`</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Prepared For: Academic Defense &amp; External Examination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Framework: Open University of Kenya / Postgraduate Research Guidelines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Status: Ready for Immediate Insertion into Manuscript</w:t>
            </w:r>
          </w:p>
        </w:tc>
      </w:tr>
    </w:tbl>
    <w:p>
      <w:pPr>
        <w:spacing w:before="80" w:after="80"/>
      </w:pPr>
      <w:r>
        <w:rPr>
          <w:color w:val="CCCCCC"/>
        </w:rPr>
        <w:t>――――――――――――――――――――――――――――――――――――――――――――――――――</w:t>
      </w:r>
    </w:p>
    <w:p>
      <w:pPr>
        <w:spacing w:before="240" w:after="80"/>
      </w:pPr>
      <w:r>
        <w:rPr>
          <w:b/>
          <w:color w:val="1B365D"/>
          <w:sz w:val="28"/>
        </w:rPr>
        <w:t>Table of Contents</w:t>
      </w:r>
    </w:p>
    <w:p>
      <w:pPr>
        <w:pStyle w:val="ListNumber"/>
        <w:spacing w:after="40" w:line="276" w:lineRule="auto"/>
      </w:pPr>
      <w:r>
        <w:t>[Front Matter &amp; Chapter One Patches](#1-front-matter--chapter-one-patches)</w:t>
      </w:r>
    </w:p>
    <w:p>
      <w:pPr>
        <w:pStyle w:val="ListBullet"/>
        <w:spacing w:after="40" w:line="276" w:lineRule="auto"/>
      </w:pPr>
      <w:r>
        <w:t>[1.1 Title Page &amp; Acronyms Harmonization](#11-title-page--acronyms-harmonization)</w:t>
      </w:r>
    </w:p>
    <w:p>
      <w:pPr>
        <w:pStyle w:val="ListBullet"/>
        <w:spacing w:after="40" w:line="276" w:lineRule="auto"/>
      </w:pPr>
      <w:r>
        <w:t>[1.2 Removal of Template Prompt &amp; Pagination Synchronization](#12-removal-of-template-prompt--pagination-synchronization)</w:t>
      </w:r>
    </w:p>
    <w:p>
      <w:pPr>
        <w:pStyle w:val="ListBullet"/>
        <w:spacing w:after="40" w:line="276" w:lineRule="auto"/>
      </w:pPr>
      <w:r>
        <w:t>[1.3 Consolidated Definition of Key Terms (Section 1.15)](#13-consolidated-definition-of-key-terms-section-115)</w:t>
      </w:r>
    </w:p>
    <w:p>
      <w:pPr>
        <w:pStyle w:val="ListBullet"/>
        <w:spacing w:after="40" w:line="276" w:lineRule="auto"/>
      </w:pPr>
      <w:r>
        <w:t>[1.4 Geographic Pilot Site Selection Justification (Section 1.11)](#14-geographic-pilot-site-selection-justification-section-111)</w:t>
      </w:r>
    </w:p>
    <w:p>
      <w:pPr>
        <w:pStyle w:val="ListBullet"/>
        <w:spacing w:after="40" w:line="276" w:lineRule="auto"/>
      </w:pPr>
      <w:r>
        <w:t>[1.5 Control Group Comparability &amp; Instructional Time Protocol (Section 1.13)](#15-control-group-comparability--instructional-time-protocol-section-113)</w:t>
      </w:r>
    </w:p>
    <w:p>
      <w:pPr>
        <w:pStyle w:val="ListBullet"/>
        <w:spacing w:after="40" w:line="276" w:lineRule="auto"/>
      </w:pPr>
      <w:r>
        <w:t>[1.6 Decoupled Research Hypotheses &amp; Affective Test Pair (Section 1.9)](#16-decoupled-research-hypotheses--affective-test-pair-section-19)</w:t>
      </w:r>
    </w:p>
    <w:p>
      <w:pPr>
        <w:pStyle w:val="ListNumber"/>
        <w:spacing w:after="40" w:line="276" w:lineRule="auto"/>
      </w:pPr>
      <w:r>
        <w:t>[Chapter Two Patches: Theoretical, Conceptual &amp; Benchmarking Framework](#2-chapter-two-patches-theoretical-conceptual--benchmarking-framework)</w:t>
      </w:r>
    </w:p>
    <w:p>
      <w:pPr>
        <w:pStyle w:val="ListBullet"/>
        <w:spacing w:after="40" w:line="276" w:lineRule="auto"/>
      </w:pPr>
      <w:r>
        <w:t>[2.1 Integration of Bybee's 5E Instructional Model (Section 2.3.1)](#21-integration-of-bybees-5e-instructional-model-section-231)</w:t>
      </w:r>
    </w:p>
    <w:p>
      <w:pPr>
        <w:pStyle w:val="ListBullet"/>
        <w:spacing w:after="40" w:line="276" w:lineRule="auto"/>
      </w:pPr>
      <w:r>
        <w:t>[2.2 Refined TAM 3 &amp; UTAUT Construct Precision (Section 2.3.3)](#22-refined-tam-3--utaut-construct-precision-section-233)</w:t>
      </w:r>
    </w:p>
    <w:p>
      <w:pPr>
        <w:pStyle w:val="ListBullet"/>
        <w:spacing w:after="40" w:line="276" w:lineRule="auto"/>
      </w:pPr>
      <w:r>
        <w:t>[2.3 Reclassified Conceptual Framework Matrix (Table 2.1)](#23-reclassified-conceptual-framework-matrix-table-21)</w:t>
      </w:r>
    </w:p>
    <w:p>
      <w:pPr>
        <w:pStyle w:val="ListBullet"/>
        <w:spacing w:after="40" w:line="276" w:lineRule="auto"/>
      </w:pPr>
      <w:r>
        <w:t>[2.4 Expanded Benchmarking Matrix: CEMASTEA &amp; Amrita OLabs (Table 2.2)](#24-expanded-benchmarking-matrix-cemastea--amrita-olabs-table-22)</w:t>
      </w:r>
    </w:p>
    <w:p>
      <w:pPr>
        <w:pStyle w:val="ListNumber"/>
        <w:spacing w:after="40" w:line="276" w:lineRule="auto"/>
      </w:pPr>
      <w:r>
        <w:t>[Chapter Three Patches: System Architecture, Simulation &amp; Curriculum Engine](#3-chapter-three-patches-system-architecture-simulation--curriculum-engine)</w:t>
      </w:r>
    </w:p>
    <w:p>
      <w:pPr>
        <w:pStyle w:val="ListBullet"/>
        <w:spacing w:after="40" w:line="276" w:lineRule="auto"/>
      </w:pPr>
      <w:r>
        <w:t>[3.1 Reconciled Curriculum Mapping Matrix: 8-4-4 &amp; CBC Senior School (Table 3.1)](#31-reconciled-curriculum-mapping-matrix-8-4-4--cbc-senior-school-table-31)</w:t>
      </w:r>
    </w:p>
    <w:p>
      <w:pPr>
        <w:pStyle w:val="ListBullet"/>
        <w:spacing w:after="40" w:line="276" w:lineRule="auto"/>
      </w:pPr>
      <w:r>
        <w:t>[3.2 English-Kiswahili Pedagogical Boundary &amp; KNEC Marking Safeguards (Section 3.1 &amp; 3.3)](#32-english-kiswahili-pedagogical-boundary--knec-marking-safeguards-section-31--33)</w:t>
      </w:r>
    </w:p>
    <w:p>
      <w:pPr>
        <w:pStyle w:val="ListBullet"/>
        <w:spacing w:after="40" w:line="276" w:lineRule="auto"/>
      </w:pPr>
      <w:r>
        <w:t>[3.3 Modernized Past-Paper Corpus (2010–2025) (Section 3.8)](#33-modernized-past-paper-corpus-20102025-section-38)</w:t>
      </w:r>
    </w:p>
    <w:p>
      <w:pPr>
        <w:pStyle w:val="ListBullet"/>
        <w:spacing w:after="40" w:line="276" w:lineRule="auto"/>
      </w:pPr>
      <w:r>
        <w:t>[3.4 Offline Multi-Tenant Authentication &amp; Turn-Swap Protocol (Section 3.4 &amp; 3.6)](#34-offline-multi-tenant-authentication--turn-swap-protocol-section-34--36)</w:t>
      </w:r>
    </w:p>
    <w:p>
      <w:pPr>
        <w:pStyle w:val="ListBullet"/>
        <w:spacing w:after="40" w:line="276" w:lineRule="auto"/>
      </w:pPr>
      <w:r>
        <w:t>[3.5 Mobile Rotating Tablet Kit Deployment Model (Section 3.10 &amp; Table 3.3)](#35-mobile-rotating-tablet-kit-deployment-model-section-310--table-33)</w:t>
      </w:r>
    </w:p>
    <w:p>
      <w:pPr>
        <w:pStyle w:val="ListBullet"/>
        <w:spacing w:after="40" w:line="276" w:lineRule="auto"/>
      </w:pPr>
      <w:r>
        <w:t>[3.6 Runtime Modernization &amp; Scholarly Voice (Sections 3.6 &amp; 3.15)](#36-runtime-modernization--scholarly-voice-sections-36--315)</w:t>
      </w:r>
    </w:p>
    <w:p>
      <w:pPr>
        <w:pStyle w:val="ListNumber"/>
        <w:spacing w:after="40" w:line="276" w:lineRule="auto"/>
      </w:pPr>
      <w:r>
        <w:t>[Chapter Four Patches: Implementation, Statistical Modeling &amp; Governance](#4-chapter-four-patches-implementation-statistical-modeling--governance)</w:t>
      </w:r>
    </w:p>
    <w:p>
      <w:pPr>
        <w:pStyle w:val="ListBullet"/>
        <w:spacing w:after="40" w:line="276" w:lineRule="auto"/>
      </w:pPr>
      <w:r>
        <w:t>[4.1 Linear Mixed-Effects Model (LMM) with Cluster Controls (Section 4.4 &amp; 4.5)](#41-linear-mixed-effects-model-lmm-with-cluster-controls-section-44--45)</w:t>
      </w:r>
    </w:p>
    <w:p>
      <w:pPr>
        <w:pStyle w:val="ListBullet"/>
        <w:spacing w:after="40" w:line="276" w:lineRule="auto"/>
      </w:pPr>
      <w:r>
        <w:t>[4.2 Reconciliation of Sub-County Active Account Targets (Table 4.1)](#42-reconciliation-of-sub-county-active-account-targets-table-41)</w:t>
      </w:r>
    </w:p>
    <w:p>
      <w:pPr>
        <w:pStyle w:val="ListBullet"/>
        <w:spacing w:after="40" w:line="276" w:lineRule="auto"/>
      </w:pPr>
      <w:r>
        <w:t>[4.3 Tier-Specific Control Group Protocols &amp; Stratum Interaction (Section 4.5 &amp; 4.6)](#43-tier-specific-control-group-protocols--stratum-interaction-section-45--46)</w:t>
      </w:r>
    </w:p>
    <w:p>
      <w:pPr>
        <w:pStyle w:val="ListBullet"/>
        <w:spacing w:after="40" w:line="276" w:lineRule="auto"/>
      </w:pPr>
      <w:r>
        <w:t>[4.4 Psychometric Validation &amp; Scope of CPCAT (Section 2.6.3 &amp; 2.6.5)](#44-psychometric-validation--scope-of-cpcat-section-263--265)</w:t>
      </w:r>
    </w:p>
    <w:p>
      <w:pPr>
        <w:pStyle w:val="ListBullet"/>
        <w:spacing w:after="40" w:line="276" w:lineRule="auto"/>
      </w:pPr>
      <w:r>
        <w:t>[4.5 Prospective Reframing of Proposal Findings (Sections 4.12, 4.13, 4.16)](#45-prospective-reframing-of-proposal-findings-sections-412-413-416)</w:t>
      </w:r>
    </w:p>
    <w:p>
      <w:pPr>
        <w:pStyle w:val="ListBullet"/>
        <w:spacing w:after="40" w:line="276" w:lineRule="auto"/>
      </w:pPr>
      <w:r>
        <w:t>[4.6 Institutional Governance Accuracy in Policy Briefs (Section 4.13)](#46-institutional-governance-accuracy-in-policy-briefs-section-413)</w:t>
      </w:r>
    </w:p>
    <w:p>
      <w:pPr>
        <w:pStyle w:val="ListNumber"/>
        <w:spacing w:after="40" w:line="276" w:lineRule="auto"/>
      </w:pPr>
      <w:r>
        <w:t>[Complete APA 7th References List Audit](#5-complete-apa-7th-references-list-audit)</w:t>
      </w:r>
    </w:p>
    <w:p>
      <w:pPr>
        <w:spacing w:before="80" w:after="80"/>
      </w:pPr>
      <w:r>
        <w:rPr>
          <w:color w:val="CCCCCC"/>
        </w:rPr>
        <w:t>――――――――――――――――――――――――――――――――――――――――――――――――――</w:t>
      </w:r>
    </w:p>
    <w:p>
      <w:pPr>
        <w:spacing w:before="240" w:after="80"/>
      </w:pPr>
      <w:r>
        <w:rPr>
          <w:b/>
          <w:color w:val="1B365D"/>
          <w:sz w:val="28"/>
        </w:rPr>
        <w:t>1. Front Matter &amp; Chapter One Patches</w:t>
      </w:r>
    </w:p>
    <w:p>
      <w:pPr>
        <w:spacing w:before="160" w:after="40"/>
      </w:pPr>
      <w:r>
        <w:rPr>
          <w:b/>
          <w:color w:val="2E5B88"/>
          <w:sz w:val="24"/>
        </w:rPr>
        <w:t>1.1 Title Page &amp; Acronyms Harmonization</w:t>
      </w:r>
    </w:p>
    <w:p>
      <w:pPr>
        <w:pStyle w:val="ListBullet"/>
        <w:spacing w:after="40" w:line="276" w:lineRule="auto"/>
      </w:pPr>
      <w:r/>
      <w:r>
        <w:rPr>
          <w:b/>
        </w:rPr>
        <w:t>Target Location:</w:t>
      </w:r>
      <w:r>
        <w:t xml:space="preserve"> Title Page (p. 1) &amp; List of Abbreviations and Acronyms (p. 5).</w:t>
      </w:r>
    </w:p>
    <w:p>
      <w:pPr>
        <w:pStyle w:val="ListBullet"/>
        <w:spacing w:after="40" w:line="276" w:lineRule="auto"/>
      </w:pPr>
      <w:r/>
      <w:r>
        <w:rPr>
          <w:b/>
        </w:rPr>
        <w:t>Replacement Text for Title: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VIRTULAB KENYA: AN OFFLINE-FIRST VIRTUAL CHEMISTRY LABORATORY PROGRESSIVE WEB APPLICATION FOR ENHANCING PRACTICAL COMPETENCIES AMONG KCSE AND CBC/CBE LEARNERS IN RESOURCE-CONSTRAINED SECONDARY SCHOOLS</w:t>
            </w:r>
          </w:p>
        </w:tc>
      </w:tr>
    </w:tbl>
    <w:p>
      <w:pPr>
        <w:pStyle w:val="ListBullet"/>
        <w:spacing w:after="40" w:line="276" w:lineRule="auto"/>
      </w:pPr>
      <w:r/>
      <w:r>
        <w:rPr>
          <w:b/>
        </w:rPr>
        <w:t>Insertions into List of Abbreviations (p. 5):</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CBC — Competency-Based Curriculum</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CBE — Competency-Based Education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CBA — Competency-Based Assessment</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CEMASTEA — Centre for Mathematics, Science and Technology Education in Africa</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CRSE — Cluster-Robust Standard Errors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FDSE — Free Day Secondary Education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ICC — Intraclass Correlation Coefficient</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LMM — Linear Mixed-Effects Model</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NG-CDF — National Government Constituencies Development Fund</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PEC — Perceptions of External Control (TAM 3)</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UTAUT — Unified Theory of Acceptance and Use of Technology</w:t>
            </w:r>
          </w:p>
        </w:tc>
      </w:tr>
    </w:tbl>
    <w:p>
      <w:pPr>
        <w:spacing w:before="80" w:after="80"/>
      </w:pPr>
      <w:r>
        <w:rPr>
          <w:color w:val="CCCCCC"/>
        </w:rPr>
        <w:t>――――――――――――――――――――――――――――――――――――――――――――――――――</w:t>
      </w:r>
    </w:p>
    <w:p>
      <w:pPr>
        <w:spacing w:before="160" w:after="40"/>
      </w:pPr>
      <w:r>
        <w:rPr>
          <w:b/>
          <w:color w:val="2E5B88"/>
          <w:sz w:val="24"/>
        </w:rPr>
        <w:t>1.2 Removal of Template Prompt &amp; Pagination Synchronization</w:t>
      </w:r>
    </w:p>
    <w:p>
      <w:pPr>
        <w:pStyle w:val="ListBullet"/>
        <w:spacing w:after="40" w:line="276" w:lineRule="auto"/>
      </w:pPr>
      <w:r/>
      <w:r>
        <w:rPr>
          <w:b/>
        </w:rPr>
        <w:t>Target Location:</w:t>
      </w:r>
      <w:r>
        <w:t xml:space="preserve"> Front Matter (p. 2).</w:t>
      </w:r>
    </w:p>
    <w:p>
      <w:pPr>
        <w:pStyle w:val="ListBullet"/>
        <w:spacing w:after="40" w:line="276" w:lineRule="auto"/>
      </w:pPr>
      <w:r/>
      <w:r>
        <w:rPr>
          <w:b/>
        </w:rPr>
        <w:t>Action:</w:t>
      </w:r>
      <w:r>
        <w:t xml:space="preserve"> Permanently delete the sentence:</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~~"Click (or Ctrl + Click) on any section or page number below to jump directly to it in this document. When opened in Microsoft Word, you can also right-click and choose 'Update Field' to synchronize entries."~~</w:t>
            </w:r>
          </w:p>
        </w:tc>
      </w:tr>
    </w:tbl>
    <w:p>
      <w:pPr>
        <w:pStyle w:val="ListBullet"/>
        <w:spacing w:after="40" w:line="276" w:lineRule="auto"/>
      </w:pPr>
      <w:r/>
      <w:r>
        <w:rPr>
          <w:b/>
        </w:rPr>
        <w:t>Formatting Directive:</w:t>
      </w:r>
      <w:r>
        <w:t xml:space="preserve"> Insert a standard Word Section Break (Next Page) between the Front Matter (Roman numerals `i` to `viii`) and Chapter One (Arabic numeral `1`).</w:t>
      </w:r>
    </w:p>
    <w:p>
      <w:pPr>
        <w:spacing w:before="80" w:after="80"/>
      </w:pPr>
      <w:r>
        <w:rPr>
          <w:color w:val="CCCCCC"/>
        </w:rPr>
        <w:t>――――――――――――――――――――――――――――――――――――――――――――――――――</w:t>
      </w:r>
    </w:p>
    <w:p>
      <w:pPr>
        <w:spacing w:before="160" w:after="40"/>
      </w:pPr>
      <w:r>
        <w:rPr>
          <w:b/>
          <w:color w:val="2E5B88"/>
          <w:sz w:val="24"/>
        </w:rPr>
        <w:t>1.3 Consolidated Definition of Key Terms (Section 1.15)</w:t>
      </w:r>
    </w:p>
    <w:p>
      <w:pPr>
        <w:pStyle w:val="ListBullet"/>
        <w:spacing w:after="40" w:line="276" w:lineRule="auto"/>
      </w:pPr>
      <w:r/>
      <w:r>
        <w:rPr>
          <w:b/>
        </w:rPr>
        <w:t>Target Location:</w:t>
      </w:r>
      <w:r>
        <w:t xml:space="preserve"> Remove the duplicate front-matter definitions (pp. 5–6) and preserve a single, definitive operational taxonomy at the conclusion of Chapter One (Section 1.15, p. 11).</w:t>
      </w:r>
    </w:p>
    <w:p>
      <w:pPr>
        <w:pStyle w:val="ListBullet"/>
        <w:spacing w:after="40" w:line="276" w:lineRule="auto"/>
      </w:pPr>
      <w:r/>
      <w:r>
        <w:rPr>
          <w:b/>
        </w:rPr>
        <w:t>Replacement Text for Section 1.15:</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1.15 Operational Definition of Key Terms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VirtuLab Kenya: An ultralight ($&lt;3.5\text{ MB}$), zero-dependency vanilla JavaScript and HTML5 Canvas Progressive Web Application (PWA) engineered to simulate secondary chemistry practical experiments offline on low-resource ($1\text{ GB RAM}$) Android mobile devices and desktop computers.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Concordant Titres: In Kenya National Examinations Council (KNEC) KCSE Chemistry Paper 3 (233/3) scoring conventions, two or more titration titre values that fall within a strict variance threshold of $\pm 0.10\text{ cm}^3$ of each other, representing acceptable analytical repeatability for computing the final mean volume.</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Chemistry Practical Competency Achievement Test (CPCAT): A 40-mark criterion-referenced achievement test aligned to KNEC Paper 3 marking rubrics, designed to assess learners' cognitive and procedural competency in apparatus assembly, meniscus interpolation, data tabulation, stoichiometric calculation, and qualitative chemical deduction.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Chemistry Practical Anxiety Scale (CPAS): A 20-item psychometric survey instrument adapted from Spielberger's State-Trait Anxiety Inventory (STAI), utilizing a 5-point Likert scale to evaluate secondary students' situational apprehension and procedural anxiety during chemistry laboratory practicals.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Average Normalised Learning Gain ($\langle g \rangle$): Richard Hake's (1998) metric quantifying the educational efficacy of an instructional intervention, calculated as the ratio of actual average score improvement to the maximum possible improvement: $\langle g \rangle = (\langle\text{Post}\rangle - \langle\text{Pre}\rangle) / (100 - \langle\text{Pre}\rangle)$.</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KCSE Chemistry Paper 3 (233/3): The compulsory national summative practical examination administered by KNEC, carrying 40% of the overall KCSE Chemistry grade, comprising Volumetric Analysis (Question 1), Qualitative Analysis (Question 2), and Thermochemistry/Kinetics (Question 3).</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System Usability Scale (SUS): A standardized, 10-item Likert-scale instrument developed by Brooke (1996) providing a global subjective assessment of software usability, yielding a normalized score ranging from 0 to 100.</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Technology Acceptance Model 3 (TAM 3): Venkatesh and Bala's (2008) theoretical framework modeling user acceptance of information technology, operationalized in this study through Perceived Usefulness (PU), Perceived Ease of Use (PEOU), Perceptions of External Control (PEC), and Behavioural Intention (BI).</w:t>
            </w:r>
          </w:p>
        </w:tc>
      </w:tr>
    </w:tbl>
    <w:p>
      <w:pPr>
        <w:spacing w:before="80" w:after="80"/>
      </w:pPr>
      <w:r>
        <w:rPr>
          <w:color w:val="CCCCCC"/>
        </w:rPr>
        <w:t>――――――――――――――――――――――――――――――――――――――――――――――――――</w:t>
      </w:r>
    </w:p>
    <w:p>
      <w:pPr>
        <w:spacing w:before="160" w:after="40"/>
      </w:pPr>
      <w:r>
        <w:rPr>
          <w:b/>
          <w:color w:val="2E5B88"/>
          <w:sz w:val="24"/>
        </w:rPr>
        <w:t>1.4 Geographic Pilot Site Selection Justification (Section 1.11)</w:t>
      </w:r>
    </w:p>
    <w:p>
      <w:pPr>
        <w:pStyle w:val="ListBullet"/>
        <w:spacing w:after="40" w:line="276" w:lineRule="auto"/>
      </w:pPr>
      <w:r/>
      <w:r>
        <w:rPr>
          <w:b/>
        </w:rPr>
        <w:t>Target Location:</w:t>
      </w:r>
      <w:r>
        <w:t xml:space="preserve"> Section 1.11 (Scope of the Study, p. 10).</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While baseline literature documents acute laboratory infrastructure deficits across Western Kenya, Nyanza, and the Rift Valley (Amadalo et al., 2012; Chebii et al., 2012), this study purposively restricts its 10-school pilot field evaluation to Nairobi, Kiambu, and Machakos counties. This geographic delimitation is methodologically and logistically justified by three factors: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Ecological Representation of Target Deficits: Although Nairobi, Kiambu, and Machakos encompass major urban centers, their secondary school networks contain high concentrations of public Sub-County day schools in informal settlements (e.g., within Nairobi's Eastlands corridor) and remote peri-urban/rural zones (e.g., lower Machakos and rural Kiambu). These institutions suffer from identical physical laboratory deficits (lack of piped gas, running water, reagents, and glassware) as distant rural schools.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Field Visit Frequency and Tablet Logistics: The quasi-experimental protocol demands weekly unannounced observational fidelity checks, structured station rotations, and the weekly transport of the mobile tablet kit across schools. Proximity to the research base ensures high implementation fidelity within the project's financial budget.</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3. Curricular Stratification Feasibility: The Nairobi-Kiambu-Machakos corridor offers established institutional strata within close transit radius, allowing well-equipped National schools, partially-equipped County schools, and unequipped Sub-County day schools to be evaluated within the same macroeconomic and examination environment.</w:t>
            </w:r>
          </w:p>
        </w:tc>
      </w:tr>
    </w:tbl>
    <w:p>
      <w:pPr>
        <w:spacing w:before="80" w:after="80"/>
      </w:pPr>
      <w:r>
        <w:rPr>
          <w:color w:val="CCCCCC"/>
        </w:rPr>
        <w:t>――――――――――――――――――――――――――――――――――――――――――――――――――</w:t>
      </w:r>
    </w:p>
    <w:p>
      <w:pPr>
        <w:spacing w:before="160" w:after="40"/>
      </w:pPr>
      <w:r>
        <w:rPr>
          <w:b/>
          <w:color w:val="2E5B88"/>
          <w:sz w:val="24"/>
        </w:rPr>
        <w:t>1.5 Control Group Comparability &amp; Instructional Time Protocol (Section 1.13)</w:t>
      </w:r>
    </w:p>
    <w:p>
      <w:pPr>
        <w:pStyle w:val="ListBullet"/>
        <w:spacing w:after="40" w:line="276" w:lineRule="auto"/>
      </w:pPr>
      <w:r/>
      <w:r>
        <w:rPr>
          <w:b/>
        </w:rPr>
        <w:t>Target Location:</w:t>
      </w:r>
      <w:r>
        <w:t xml:space="preserve"> Section 1.13 (Limitations &amp; Delimitations, pp. 10–11).</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mitigate the threat of instructional time confounding (where learning gains in educational technology interventions are artifactual consequences of increased time-on-task rather than software scaffolding), total instructional exposure will be rigorously equalized across experimental and control cohorts: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Classroom Instructional Time: Both cohorts will receive exactly 160 minutes of weekly chemistry instruction (two 40-minute single lessons and one 80-minute double practical lesson) dedicated to identical KICD syllabus strands over the 6-week intervention period.</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Homework and Out-of-Class Tasks: To control for the experimental group’s voluntary digital practice sessions, control group learners will be assigned structured, paper-based practical worksheets of identical conceptual scope. These worksheets require equivalent time commitments (~60 minutes weekly) and encompass authentic KNEC past-examination data tables, meniscus interpolation diagrams, and stoichiometric calculation problems.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3. Fidelity Logs: Teachers in both cohorts will maintain weekly instructional logs recording topic coverage, duration of classroom sessions, and assigned practice tasks, audited weekly by the researcher to ensure parity in time-on-task.</w:t>
            </w:r>
          </w:p>
        </w:tc>
      </w:tr>
    </w:tbl>
    <w:p>
      <w:pPr>
        <w:spacing w:before="80" w:after="80"/>
      </w:pPr>
      <w:r>
        <w:rPr>
          <w:color w:val="CCCCCC"/>
        </w:rPr>
        <w:t>――――――――――――――――――――――――――――――――――――――――――――――――――</w:t>
      </w:r>
    </w:p>
    <w:p>
      <w:pPr>
        <w:spacing w:before="160" w:after="40"/>
      </w:pPr>
      <w:r>
        <w:rPr>
          <w:b/>
          <w:color w:val="2E5B88"/>
          <w:sz w:val="24"/>
        </w:rPr>
        <w:t>1.6 Decoupled Research Hypotheses &amp; Affective Test Pair (Section 1.9)</w:t>
      </w:r>
    </w:p>
    <w:p>
      <w:pPr>
        <w:pStyle w:val="ListBullet"/>
        <w:spacing w:after="40" w:line="276" w:lineRule="auto"/>
      </w:pPr>
      <w:r/>
      <w:r>
        <w:rPr>
          <w:b/>
        </w:rPr>
        <w:t>Target Location:</w:t>
      </w:r>
      <w:r>
        <w:t xml:space="preserve"> Section 1.9 (Hypotheses of the Study, p. 10).</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evaluate the educational efficacy and affective impact of VirtuLab Kenya, the study formulates two pairs of mutually exclusive inferential hypotheses evaluated at the $\alpha = 0.05$ level of significance, alongside an explicit descriptive learning gain benchmark:</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1. Cognitive Achievement Hypotheses (CPCAT Post-Test Means)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$H_{01}$ (Null Hypothesis): There is no statistically significant difference in adjusted post-test KCSE Chemistry Paper 3 achievement scores on the Chemistry Practical Competency Achievement Test (CPCAT) between learners instructed through VirtuLab Kenya and learners instructed through conventional classroom methods, controlling for baseline pre-test scores ($p \ge 0.05$).</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$H_{A1}$ (Alternative Hypothesis): Learners instructed through VirtuLab Kenya achieve statistically significantly higher adjusted post-test KCSE Chemistry Paper 3 achievement scores on the CPCAT than learners instructed through conventional classroom methods, controlling for baseline pre-test scores ($p &lt; 0.05$).</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2. Descriptive Normalised Learning Gain Benchmark</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Project Achievement Criterion: Independent of the relative between-group inferential test, the experimental cohort utilizing VirtuLab Kenya will achieve an average normalised learning gain of $\langle g \rangle \ge 0.40$ (satisfying Hake’s criterion for medium-to-high practical conceptual mastery).</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3. Affective Practical Anxiety Hypotheses (CPAS Post-Intervention Means)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$H_{02}$ (Null Hypothesis): There is no statistically significant difference in adjusted post-intervention practical anxiety scores on the Chemistry Practical Anxiety Scale (CPAS) between learners utilizing VirtuLab Kenya and learners instructed through conventional classroom methods, controlling for baseline anxiety levels ($p \ge 0.05$).</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$H_{A2}$ (Alternative Hypothesis): Learners utilizing VirtuLab Kenya demonstrate statistically significantly lower adjusted post-intervention practical anxiety scores on the CPAS compared to learners instructed through conventional classroom methods, controlling for baseline anxiety levels ($p &lt; 0.05$).</w:t>
            </w:r>
          </w:p>
        </w:tc>
      </w:tr>
    </w:tbl>
    <w:p>
      <w:pPr>
        <w:spacing w:before="80" w:after="80"/>
      </w:pPr>
      <w:r>
        <w:rPr>
          <w:color w:val="CCCCCC"/>
        </w:rPr>
        <w:t>――――――――――――――――――――――――――――――――――――――――――――――――――</w:t>
      </w:r>
    </w:p>
    <w:p>
      <w:pPr>
        <w:spacing w:before="240" w:after="80"/>
      </w:pPr>
      <w:r>
        <w:rPr>
          <w:b/>
          <w:color w:val="1B365D"/>
          <w:sz w:val="28"/>
        </w:rPr>
        <w:t>2. Chapter Two Patches: Theoretical, Conceptual &amp; Benchmarking Framework</w:t>
      </w:r>
    </w:p>
    <w:p>
      <w:pPr>
        <w:spacing w:before="160" w:after="40"/>
      </w:pPr>
      <w:r>
        <w:rPr>
          <w:b/>
          <w:color w:val="2E5B88"/>
          <w:sz w:val="24"/>
        </w:rPr>
        <w:t>2.1 Integration of Bybee's 5E Instructional Model (Section 2.3.1)</w:t>
      </w:r>
    </w:p>
    <w:p>
      <w:pPr>
        <w:pStyle w:val="ListBullet"/>
        <w:spacing w:after="40" w:line="276" w:lineRule="auto"/>
      </w:pPr>
      <w:r/>
      <w:r>
        <w:rPr>
          <w:b/>
        </w:rPr>
        <w:t>Target Location:</w:t>
      </w:r>
      <w:r>
        <w:t xml:space="preserve"> Section 2.3 (Theoretical and Conceptual Framework, p. 13).</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2.3.1 Pedagogical Architecture: Bybee's 5E Instructional Model</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VirtuLab Kenya operationalizes Bybee’s (2009) 5E Instructional Model (*Engage, Explore, Explain, Elaborate, Evaluate*) as the pedagogical backbone governing its dual-mode simulation workflows: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Engage: Each simulation module initiates in *Guided Mode* with an interactive, contextualized pre-laboratory scenario (e.g., investigating acidic river runoff or analyzing suspect fertilizer salts), prompting learners to inspect apparatus and predict chemical behaviors before executing procedures.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Explore: Learners freely manipulate the virtual apparatus on the HTML5 Canvas workbench. They control drop-wise stopcock additions, observe dynamic color changes at indicator endpoints, and test unknown cation precipitates using drag-and-drop reagent droppers without physical hazard or material scarcity.</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3. Explain: Dynamic visual and bilingual callouts unpack observed phenomena in real time. Meniscus viewports magnify volumetric scales, while real-time reaction coordinate graphs and molecular balance equations bridge macroscopic observations to sub-microscopic chemical theory.</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4. Elaborate: Learners transfer procedural observations into structured KNEC Paper 3 data tables, deducing unknown ionic species through branching decision trees and computing stoichiometric mole ratios, molar masses, and reaction enthalpies.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5. Evaluate: Learners transition into *Exam Mode*—a timed, unscaffolded evaluation replicating the KCSE Paper 3 environment. The system automates scoring against official KNEC marking criteria, penalizing non-concordant titres ($&gt; \pm 0.10\text{ cm}^3$) and calculation errors while delivering instant diagnostic feedback.</w:t>
            </w:r>
          </w:p>
        </w:tc>
      </w:tr>
    </w:tbl>
    <w:p>
      <w:pPr>
        <w:spacing w:before="80" w:after="80"/>
      </w:pPr>
      <w:r>
        <w:rPr>
          <w:color w:val="CCCCCC"/>
        </w:rPr>
        <w:t>――――――――――――――――――――――――――――――――――――――――――――――――――</w:t>
      </w:r>
    </w:p>
    <w:p>
      <w:pPr>
        <w:spacing w:before="160" w:after="40"/>
      </w:pPr>
      <w:r>
        <w:rPr>
          <w:b/>
          <w:color w:val="2E5B88"/>
          <w:sz w:val="24"/>
        </w:rPr>
        <w:t>2.2 Refined TAM 3 &amp; UTAUT Construct Precision (Section 2.3.3)</w:t>
      </w:r>
    </w:p>
    <w:p>
      <w:pPr>
        <w:pStyle w:val="ListBullet"/>
        <w:spacing w:after="40" w:line="276" w:lineRule="auto"/>
      </w:pPr>
      <w:r/>
      <w:r>
        <w:rPr>
          <w:b/>
        </w:rPr>
        <w:t>Target Location:</w:t>
      </w:r>
      <w:r>
        <w:t xml:space="preserve"> Section 2.3.3 (Technology Acceptance Model 3, pp. 13–14).</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2.3.3 User Adoption Framework: TAM 3 and UTAUT Theoretical Synthesis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examine teacher and learner adoption dynamics in resource-constrained schools, the study synthesizes Venkatesh and Bala's (2008) Technology Acceptance Model 3 (TAM 3) with Venkatesh et al.'s (2003) Unified Theory of Acceptance and Use of Technology (UTAUT).</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In formal TAM 3 architecture, organizational support and environmental constraints are conceptualized as Perceptions of External Control (PEC), which functions as an anchor determinant of *Perceived Ease of Use (PEOU)* alongside Computer Self-Efficacy, Computer Anxiety, and Computer Playfulness. PEOU and *Perceived Usefulness (PU)* subsequently determine *Behavioural Intention (BI)* to adopt the software. To reflect the severe infrastructural constraints of Kenyan sub-county day schools (erratic electricity, absence of local servers, and shared-device classroom rotations), this study adapts UTAUT's construct of Facilitating Conditions (FC) alongside PEC. Here, Facilitating Conditions specifically measures the degree to which an institution possesses the offline hardware, solar power buffering, and administrative schedule flexibility necessary to support digital practical rotations.</w:t>
            </w:r>
          </w:p>
        </w:tc>
      </w:tr>
    </w:tbl>
    <w:p>
      <w:pPr>
        <w:spacing w:before="80" w:after="80"/>
      </w:pPr>
      <w:r>
        <w:rPr>
          <w:color w:val="CCCCCC"/>
        </w:rPr>
        <w:t>――――――――――――――――――――――――――――――――――――――――――――――――――</w:t>
      </w:r>
    </w:p>
    <w:p>
      <w:pPr>
        <w:spacing w:before="160" w:after="40"/>
      </w:pPr>
      <w:r>
        <w:rPr>
          <w:b/>
          <w:color w:val="2E5B88"/>
          <w:sz w:val="24"/>
        </w:rPr>
        <w:t>2.3 Reclassified Conceptual Framework Matrix (Table 2.1)</w:t>
      </w:r>
    </w:p>
    <w:p>
      <w:pPr>
        <w:pStyle w:val="ListBullet"/>
        <w:spacing w:after="40" w:line="276" w:lineRule="auto"/>
      </w:pPr>
      <w:r/>
      <w:r>
        <w:rPr>
          <w:b/>
        </w:rPr>
        <w:t>Target Location:</w:t>
      </w:r>
      <w:r>
        <w:t xml:space="preserve"> Section 2.3.4 (Table 2.1, p. 14).</w:t>
      </w:r>
    </w:p>
    <w:p>
      <w:pPr>
        <w:pStyle w:val="ListBullet"/>
        <w:spacing w:after="40" w:line="276" w:lineRule="auto"/>
      </w:pPr>
      <w:r/>
      <w:r>
        <w:rPr>
          <w:b/>
        </w:rPr>
        <w:t>Replacement Table: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Table 2.1: Conceptual Framework Matrix of Study Variables</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Category | Variable Name | Operational Definition &amp; Indicators | Measurement Instrument &amp; Source | Role in Statistical Model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 | :--- | :--- | :--- | :---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Independent Variable (IV) | Instructional Method | 1. Experimental: VirtuLab Kenya PWA (Guided &amp; Exam Modes, Bilingual Scaffolding, Automated KNEC Checking)&lt;br&gt;2. Control: Conventional Instruction (Blackboard/Textbook/Demonstration) | Cohort assignment records; platform session telemetry logs | Primary between-group factor in LMM ($0 = \text{Control}, 1 = \text{Exp}$)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Primary Dependent Variable (DV1) | Cognitive Practical Achievement | Student mastery of practical chemistry competencies: meniscus reading, table tabulation, concordant averaging, stoichiometry, and qualitative inference | 40-mark Chemistry Practical Competency Achievement Test (CPCAT Pre- &amp; Post-Test) | Continuous outcome variable in Two-Level LMM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Secondary Dependent Variable (DV2) | Practical Examination Anxiety | Level of situational apprehension and procedural anxiety experienced regarding KCSE Paper 3 practicals | 20-item Chemistry Practical Anxiety Scale (CPAS Pre- &amp; Post-Survey; 1–5 Likert) | Continuous outcome variable in Between-Group ANCOVA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Implementation Outcomes (Post-Exp Only) | Usability &amp; Technology Acceptance | 1. Software usability and interface friction benchmark&lt;br&gt;2. Perceived Usefulness (PU), Ease of Use (PEOU), External Control (PEC), and Intention (BI) | 1. System Usability Scale (SUS; Score $\ge 78$ benchmark)&lt;br&gt;2. TAM 3 Survey (5-point Likert scale; Mean $\ge 4.0$ benchmark) | Descriptive adoption evaluation; within-treatment correlational analysis with telemetry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Moderating Variables (Stratification) | Institutional School Tier | Institutional resource profile: National/Extra-County (equipped), County (partially-equipped), Sub-County Day (unequipped) | Ministry of Education official school classification | Stratification factor; Treatment $\times$ Stratum interaction term in LMM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Covariates / Control Variables | Baseline Cognitive Competency | Prior academic achievement in chemistry practical concepts | CPCAT Pre-Test baseline score | Continuous baseline covariate in LMM ($p &lt; 0.05$)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 Baseline Practical Anxiety | Prior affective anxiety regarding chemistry laboratory exams | CPAS Pre-Test baseline score | Continuous baseline covariate in ANCOVA ($p &lt; 0.05$) |</w:t>
            </w:r>
          </w:p>
        </w:tc>
      </w:tr>
    </w:tbl>
    <w:p>
      <w:pPr>
        <w:spacing w:before="80" w:after="80"/>
      </w:pPr>
      <w:r>
        <w:rPr>
          <w:color w:val="CCCCCC"/>
        </w:rPr>
        <w:t>――――――――――――――――――――――――――――――――――――――――――――――――――</w:t>
      </w:r>
    </w:p>
    <w:p>
      <w:pPr>
        <w:spacing w:before="160" w:after="40"/>
      </w:pPr>
      <w:r>
        <w:rPr>
          <w:b/>
          <w:color w:val="2E5B88"/>
          <w:sz w:val="24"/>
        </w:rPr>
        <w:t>2.4 Expanded Benchmarking Matrix: CEMASTEA &amp; Amrita OLabs (Table 2.2)</w:t>
      </w:r>
    </w:p>
    <w:p>
      <w:pPr>
        <w:pStyle w:val="ListBullet"/>
        <w:spacing w:after="40" w:line="276" w:lineRule="auto"/>
      </w:pPr>
      <w:r/>
      <w:r>
        <w:rPr>
          <w:b/>
        </w:rPr>
        <w:t>Target Location:</w:t>
      </w:r>
      <w:r>
        <w:t xml:space="preserve"> Section 2.4 &amp; Section 2.5 (Table 2.2, pp. 14–15).</w:t>
      </w:r>
    </w:p>
    <w:p>
      <w:pPr>
        <w:pStyle w:val="ListBullet"/>
        <w:spacing w:after="40" w:line="276" w:lineRule="auto"/>
      </w:pPr>
      <w:r/>
      <w:r>
        <w:rPr>
          <w:b/>
        </w:rPr>
        <w:t>Replacement Table &amp;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While international platforms have advanced digital science pedagogy, existing solutions fail to resolve the tripartite challenge facing under-resourced Kenyan secondary schools: offline-first mobile execution ($&lt;3.5\text{ MB}$), automated KNEC Paper 3 exam-rule verification, and bilingual scaffolding. Crucially, national initiatives—most notably the CEMASTEA Virtual Labs Platform (`virtuallabs.cemastea.ac.ke`) developed under the Ministry of Education—have established digital STEM simulation portals for Kenyan schools. However, CEMASTEA Virtual Labs operates primarily as an online, desktop-centric web portal requiring broadband connectivity for interactive execution, lacking automated enforcement of KNEC $\pm 0.10\text{ cm}^3$ concordance marking rules and mobile-optimized touch controls for 1 GB RAM devices. Similarly, India's Amrita OLabs demonstrates the power of curriculum-aligned practical simulations in the Global South, but is tied to the Indian CBSE board and lacks localized Kenyan KCSE scoring rubrics and bilingual Kiswahili scaffolding.</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Table 2.2: Systematic Benchmarking of VirtuLab Kenya Against Existing Platforms</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Dimension | PhET Interactive Simulations | Labster | ChemCollective | CEMASTEA Virtual Labs | Amrita OLabs (India) | VirtuLab Kenya (Proposed)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 | :--- | :--- | :--- | :--- | :--- | :---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Primary Origin &amp; Context | University of Colorado Boulder (USA) | Commercial EdTech (Denmark/USA) | Carnegie Mellon University (USA) | Ministry of Education / CEMASTEA (Kenya) | Amrita University / CDAC (India) | Open University of Kenya / Localized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Curricular Alignment | US NGSS / Generic Conceptual STEM | Tertiary &amp; AP University Level | US College / High School Chemistry | Kenyan KICD Secondary Chemistry Curriculum | Indian CBSE / State Board Syllabi | 100% KNEC KCSE Paper 3 (233/3) &amp; KICD Senior School Pure Sciences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Automated Rubric Verification | None (Free open-ended exploration) | Branching game-based multiple choice | Automated molarity/stoichiometry checks | Formative self-check quiz questions | Summative procedural multiple choice | Strict KNEC scoring: $\pm 0.10\text{ cm}^3$ concordant averaging &amp; qualitative deduction trees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Offline &amp; Low-RAM Architecture | HTML5 Canvas/SVG; downloadable ZIPs; no PWA sync | Heavy WebGL ($&gt;100\text{ MB}$); requires 4–8 GB RAM | Web browser Java/HTML5; downloadable packages | Online web portal; requires active internet for delivery | Android app &amp; online portal; local caching | Zero-dependency PWA ($&lt;3.5\text{ MB}$); full offline Service Worker/IndexedDB for 1 GB RAM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Bilingual Language Scaffolding | Localized Swahili portal; static translated pages | English, Spanish, select EU languages | English only | English only | English, Hindi, select Indian languages | In-simulation English/Kiswahili real-time toggle with English KNEC exam enforcement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Teacher Telemetry Dashboard | None (Third-party LMS embed) | Commercial LMS gradebook integration | None (Self-contained applet) | Portal registration tracking | LMS login and completion logs | Offline-queued IndexedDB telemetry syncing to Node.js/PostgreSQL dashboard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Access &amp; Licensing Model | Free / Open Educational Resource (OER) | Expensive per-student commercial license | Free / Open Educational Resource (OER) | Free for public Kenyan institutions | Free for registered schools | Free / Zero-marginal-cost open-access PWA for Kenyan schools |</w:t>
            </w:r>
          </w:p>
        </w:tc>
      </w:tr>
    </w:tbl>
    <w:p>
      <w:pPr>
        <w:spacing w:before="80" w:after="80"/>
      </w:pPr>
      <w:r>
        <w:rPr>
          <w:color w:val="CCCCCC"/>
        </w:rPr>
        <w:t>――――――――――――――――――――――――――――――――――――――――――――――――――</w:t>
      </w:r>
    </w:p>
    <w:p>
      <w:pPr>
        <w:spacing w:before="240" w:after="80"/>
      </w:pPr>
      <w:r>
        <w:rPr>
          <w:b/>
          <w:color w:val="1B365D"/>
          <w:sz w:val="28"/>
        </w:rPr>
        <w:t>3. Chapter Three Patches: System Architecture, Simulation &amp; Curriculum Engine</w:t>
      </w:r>
    </w:p>
    <w:p>
      <w:pPr>
        <w:spacing w:before="160" w:after="40"/>
      </w:pPr>
      <w:r>
        <w:rPr>
          <w:b/>
          <w:color w:val="2E5B88"/>
          <w:sz w:val="24"/>
        </w:rPr>
        <w:t>3.1 Reconciled Curriculum Mapping Matrix: 8-4-4 &amp; CBC Senior School (Table 3.1)</w:t>
      </w:r>
    </w:p>
    <w:p>
      <w:pPr>
        <w:pStyle w:val="ListBullet"/>
        <w:spacing w:after="40" w:line="276" w:lineRule="auto"/>
      </w:pPr>
      <w:r/>
      <w:r>
        <w:rPr>
          <w:b/>
        </w:rPr>
        <w:t>Target Location:</w:t>
      </w:r>
      <w:r>
        <w:t xml:space="preserve"> Section 3.5 (Table 3.1, p. 19).</w:t>
      </w:r>
    </w:p>
    <w:p>
      <w:pPr>
        <w:pStyle w:val="ListBullet"/>
        <w:spacing w:after="40" w:line="276" w:lineRule="auto"/>
      </w:pPr>
      <w:r/>
      <w:r>
        <w:rPr>
          <w:b/>
        </w:rPr>
        <w:t>Replacement Table: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Table 3.1: VirtuLab Kenya Simulation Module Curriculum Mapping Matrix</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Mod. # | Practical Module Title | 8-4-4 Chemistry Syllabus Strand (Forms 3–4) | CBC Senior School STEM Pure Sciences Strand (Grades 10–12) | KNEC KCSE Paper 3 (233/3) Examination Mapping | Core Algorithmic &amp; Simulation Mechanics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 | :--- | :--- | :--- | :--- | :---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1 | Volumetric Analysis: Acid-Base Neutralisation | Form 3: Volumetric Analysis (Direct titration $\text{HCl} / \text{NaOH}$) | Grade 10: Quantitative Chemical Relationships (Acid-Base Equilibria) | Question 1: Volumetric titration; table layout; concordant averaging within $\pm 0.10\text{ cm}^3$; stoichiometry | Continuous mathematical pH curves (Henderson-Hasselbalch); drop-wise stopcock control; indicator color transitions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2 | Volumetric Analysis: Back &amp; Displacement Titrations | Form 3: Volumetric Analysis (Standardised acid vs carbonate/alkali) | Grade 10: Chemical Reactions &amp; Stoichiometry (Purity Analysis) | Question 1: Determining percentage purity of impure chalk / molar masses | Stoichiometric reaction buffering; back-titration calculation engines with dynamic reagent excess checking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3 | Volumetric Analysis: Redox Titrations &amp; Hydrated Salts | Form 4: Electrochemistry &amp; Redox; Form 3 Hydrated Crystals | Grade 11: Electron Transfer Reactions &amp; Stoichiometric Ratios | Question 1: $\text{KMnO}_4 / \text{Fe}^{2+}$ redox titration; water of crystallisation ($x\text{H}_2\text{O}$) | Autocatalytic $\text{Mn}^{2+}$ redox kinetics; self-indicating pink endpoint transitions; mole-ratio calculation engines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4 | Qualitative Inorganic Analysis (Unknown Cation/Anion Identification) | Form 4: Qualitative Analysis (Reactions of $\text{Al}^{3+}, \text{Pb}^{2+}, \text{Zn}^{2+}, \text{Fe}^{2+}, \text{Fe}^{3+}, \text{Cu}^{2+}, \text{Ba}^{2+}, \text{Ca}^{2+}$) | Grade 11: Inorganic Chemistry &amp; Chemical Identification | Question 2: Systematic drop-wise addition of $\text{NaOH}$, $\text{NH}_3\text{(aq)}$, $\text{Ba(NO}_3)_2$, $\text{HNO}_3$, and flame tests | Discrete branching state machines; precipitate formation and dissolution in excess; gas confirmation tests; flame emission spectra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5 | Chemical Energetics &amp; Thermochemistry | Form 4: Energy Changes in Chemical Reactions | Grade 11: Thermodynamics &amp; Chemical Energetics | Question 3: Heat of neutralisation; displacement enthalpy ($\text{Cu}^{2+} / \text{Zn}$) | Dynamic thermodynamic temperature-time cooling curves; extrapolation algorithms; interactive canvas graphical plotting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6 | Reaction Kinetics &amp; Rates of Reaction | Form 4: Reaction Rates and Reversible Reactions | Grade 12: Chemical Kinetics &amp; Dynamic Equilibrium | Question 3: Sodium thiosulphate and dilute hydrochloric acid cross-disappearance | Turbidity simulation via opacity masking; cross-disappearance timer; $1/t$ vs concentration graph plotting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7 | Qualitative Organic Chemistry | Form 4: Organic Chemistry II (Alkanes, Alkenes, Alkynes, Alkanols, Alkanoic Acids) | Grade 12: Carbon Compounds &amp; Applied Organic Chemistry | Question 2: Unsaturation tests ($\text{Br}_2\text{(aq)}, \text{KMnO}_4$); effervescence with $\text{Na}_2\text{CO}_3$; combustion | Dropwise addition of organic reagents; sootiness flame rendering; gas evolution physics; systematic KNEC deduction decision matrices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8 | Composite KCSE Mock Examination | Comprehensive Form 3–4 practical review | Grades 10–12 Cumulative Practical Performance Task | Full Paper 3 (233/3): Timed 40-mark composite exam covering Questions 1, 2, and 3 | Full-length exam timer; locked guided aids; automated KNEC examiner scoring rubric; comprehensive diagnostic report |</w:t>
            </w:r>
          </w:p>
        </w:tc>
      </w:tr>
    </w:tbl>
    <w:p>
      <w:pPr>
        <w:spacing w:before="80" w:after="80"/>
      </w:pPr>
      <w:r>
        <w:rPr>
          <w:color w:val="CCCCCC"/>
        </w:rPr>
        <w:t>――――――――――――――――――――――――――――――――――――――――――――――――――</w:t>
      </w:r>
    </w:p>
    <w:p>
      <w:pPr>
        <w:spacing w:before="160" w:after="40"/>
      </w:pPr>
      <w:r>
        <w:rPr>
          <w:b/>
          <w:color w:val="2E5B88"/>
          <w:sz w:val="24"/>
        </w:rPr>
        <w:t>3.2 English-Kiswahili Pedagogical Boundary &amp; KNEC Marking Safeguards (Section 3.1 &amp; 3.3)</w:t>
      </w:r>
    </w:p>
    <w:p>
      <w:pPr>
        <w:pStyle w:val="ListBullet"/>
        <w:spacing w:after="40" w:line="276" w:lineRule="auto"/>
      </w:pPr>
      <w:r/>
      <w:r>
        <w:rPr>
          <w:b/>
        </w:rPr>
        <w:t>Target Location:</w:t>
      </w:r>
      <w:r>
        <w:t xml:space="preserve"> Section 3.1 (Design Principles) &amp; Section 3.3 (Intervention Framework, p. 18).</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3.3.1 Linguistic Scaffolding and Assessment Integrity Protocol</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bridge the documented linguistic barrier in secondary science while preserving strict alignment with national examination standards, VirtuLab Kenya implements an asymmetric dual-mode language framework:</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Guided Mode Scaffolding: In Guided Mode, learners can toggle between English and Kiswahili (`🇬🇧 EN` / `🇰🇪 SW`) at any time. Kiswahili localization is purposefully applied to procedural directions, safety warnings, experimental apparatus labels, and conceptual explanations of underlying chemical principles (e.g., explaining why indicator color shifts occur near equivalence). This reduces extraneous cognitive load and accelerates procedural onboarding among mother-tongue and bilingual learners.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Exam Mode and Marking Rule Enforcement: Under KNEC KCSE Chemistry Paper 3 regulations, practical examination scripts must be answered strictly in English; chemical observations recorded in vernacular or non-standard Kiswahili terminology receive zero marks. Consequently, VirtuLab Kenya enforces standard English chemical nomenclature across all official results tables, quantitative calculation entry fields, and qualitative observation/inference deduction drop-downs. In *Exam Mode*, the interface automatically locks into English, guaranteeing that learners develop automaticity with the exact English keywords and syntax demanded by national examiners.</w:t>
            </w:r>
          </w:p>
        </w:tc>
      </w:tr>
    </w:tbl>
    <w:p>
      <w:pPr>
        <w:spacing w:before="80" w:after="80"/>
      </w:pPr>
      <w:r>
        <w:rPr>
          <w:color w:val="CCCCCC"/>
        </w:rPr>
        <w:t>――――――――――――――――――――――――――――――――――――――――――――――――――</w:t>
      </w:r>
    </w:p>
    <w:p>
      <w:pPr>
        <w:spacing w:before="160" w:after="40"/>
      </w:pPr>
      <w:r>
        <w:rPr>
          <w:b/>
          <w:color w:val="2E5B88"/>
          <w:sz w:val="24"/>
        </w:rPr>
        <w:t>3.3 Modernized Past-Paper Corpus (2010–2025) (Section 3.8)</w:t>
      </w:r>
    </w:p>
    <w:p>
      <w:pPr>
        <w:pStyle w:val="ListBullet"/>
        <w:spacing w:after="40" w:line="276" w:lineRule="auto"/>
      </w:pPr>
      <w:r/>
      <w:r>
        <w:rPr>
          <w:b/>
        </w:rPr>
        <w:t>Target Location:</w:t>
      </w:r>
      <w:r>
        <w:t xml:space="preserve"> Section 3.7 &amp; Section 3.8 (Prototype Status, p. 20).</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simulation item bank is constructed from a comprehensive corpus of 16 consecutive years of genuine KNEC KCSE Chemistry Paper 3 (233/3) national examination papers (2010 to 2025), supplemented by landmark legacy practicals (1995–2009). This modernized corpus incorporates recent structural shifts in KNEC examination formats, including:</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The introduction of standardized, pre-formatted volumetric tables with explicit initial and final burette reading rows requiring exact decimal interpolation ($0.0\text{ or }0.05\text{ cm}^3$).</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Contemporary qualitative analysis marking schemes requiring candidates to select specific ionic symbols ($\text{Pb}^{2+}, \text{Al}^{3+}, \text{SO}_4^{2-}$) rather than ambiguous descriptive names.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3. Modern thermochemical temperature cooling curve questions requiring candidates to perform precise graphical extrapolations of $\Delta T$ to deduce molar enthalpies of displacement and neutralization.</w:t>
            </w:r>
          </w:p>
        </w:tc>
      </w:tr>
    </w:tbl>
    <w:p>
      <w:pPr>
        <w:spacing w:before="80" w:after="80"/>
      </w:pPr>
      <w:r>
        <w:rPr>
          <w:color w:val="CCCCCC"/>
        </w:rPr>
        <w:t>――――――――――――――――――――――――――――――――――――――――――――――――――</w:t>
      </w:r>
    </w:p>
    <w:p>
      <w:pPr>
        <w:spacing w:before="160" w:after="40"/>
      </w:pPr>
      <w:r>
        <w:rPr>
          <w:b/>
          <w:color w:val="2E5B88"/>
          <w:sz w:val="24"/>
        </w:rPr>
        <w:t>3.4 Offline Multi-Tenant Authentication &amp; Turn-Swap Protocol (Section 3.4 &amp; 3.6)</w:t>
      </w:r>
    </w:p>
    <w:p>
      <w:pPr>
        <w:pStyle w:val="ListBullet"/>
        <w:spacing w:after="40" w:line="276" w:lineRule="auto"/>
      </w:pPr>
      <w:r/>
      <w:r>
        <w:rPr>
          <w:b/>
        </w:rPr>
        <w:t>Target Location:</w:t>
      </w:r>
      <w:r>
        <w:t xml:space="preserve"> Section 3.4 &amp; Section 3.6 (System Architecture, pp. 18–19).</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3.4.1 Offline Multi-Tenant Client Architecture on Shared Devices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In under-resourced sub-county day schools, multiple learners must share a single tablet across successive class periods without reliable internet access. To prevent data contamination, telemetry overwriting, and session loss, VirtuLab Kenya replaces generic, origin-scoped `localStorage` with a robust offline multi-tenant client-side architecture built entirely on `IndexedDB`:</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Pre-Cached Local Credential Roster: During initial teacher setup (or whenever connectivity is detected), the application synchronizes and securely caches the pseudonymised classroom roster (`STU-001` through `STU-060`) into an encrypted `IndexedDB` object store (`roster_store`). Each student account is protected by a 4-digit PIN stored locally as a salted SHA-256 hash. When offline, learners authenticate locally against the `roster_store` without making network requests to the remote Node.js/PostgreSQL server.</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Namespaced Session Isolation: Every simulation attempt, concordant table entry, stoichiometric calculation, and interaction timestamp is written to an `IndexedDB` store (`telemetry_store`) keyed by a composite primary key: `[student_id + session_id + timestamp]`. This ensures that when rotating students use the same tablet browser, Student B’s actions cannot overwrite or corrupt Student A’s unsynchronized session data.</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3. Structured Dyadic Turn-Swap Workflow: In shared-device classrooms, learners operate in paired dyads (Student A and Student B). The PWA interface incorporates an explicit "Switch Partner / End Turn" modal at the conclusion of each practical trial. Student A completes Trial 1 (apparatus manipulation and data recording) under their individual profile. Upon clicking "Switch Partner", the system saves and isolates Student A's trial record, prompting Student B to authenticate with their PIN to execute Trial 2. Both students complete independent calculations and qualitative deductions for their respective trials.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4. Resilient Dual-Sync Queue: Telemetry records stored in `IndexedDB` carry a boolean `synced` flag. Data synchronization is managed via a dual-mechanism pipeline: (a) automated background syncing utilizing the Service Worker `SyncManager` API where supported, and (b) an active foreground event listener (`window.addEventListener('online', ...)`) paired with a visible manual "Sync Records to Dashboard" button on the teacher administrative panel, allowing teachers to flush cached student records with one tap whenever internet access is restored.</w:t>
            </w:r>
          </w:p>
        </w:tc>
      </w:tr>
    </w:tbl>
    <w:p>
      <w:pPr>
        <w:spacing w:before="80" w:after="80"/>
      </w:pPr>
      <w:r>
        <w:rPr>
          <w:color w:val="CCCCCC"/>
        </w:rPr>
        <w:t>――――――――――――――――――――――――――――――――――――――――――――――――――</w:t>
      </w:r>
    </w:p>
    <w:p>
      <w:pPr>
        <w:spacing w:before="160" w:after="40"/>
      </w:pPr>
      <w:r>
        <w:rPr>
          <w:b/>
          <w:color w:val="2E5B88"/>
          <w:sz w:val="24"/>
        </w:rPr>
        <w:t>3.5 Mobile Rotating Tablet Kit Deployment Model (Section 3.10 &amp; Table 3.3)</w:t>
      </w:r>
    </w:p>
    <w:p>
      <w:pPr>
        <w:pStyle w:val="ListBullet"/>
        <w:spacing w:after="40" w:line="276" w:lineRule="auto"/>
      </w:pPr>
      <w:r/>
      <w:r>
        <w:rPr>
          <w:b/>
        </w:rPr>
        <w:t>Target Location:</w:t>
      </w:r>
      <w:r>
        <w:t xml:space="preserve"> Section 3.10 (p. 20), Table 3.3 (p. 21), and Section 4.10 (p. 25).</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Rather than permanently dispersing two tablets per school (which creates an impossible 30:1 hardware bottleneck in 60-student classrooms), the project provisions a Centralized Mobile Laboratory Kit of 15 Ruggedized Android Tablets (Android 13, 2 GB RAM, shatterproof protective cases) housed in a specialized transport case equipped with two 50,000 mAh high-capacity solar power banks.</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mobile kit is managed by the researcher and rotated sequentially across the five participating sub-county day schools on dedicated practical days according to a staggered weekly timetable (Monday through Friday). During an 80-minute double chemistry period, the 15 tablets are paired with 30 learners in a structured 2:1 paired-learning dyad ratio. In schools with 60 students per class, the teacher schedules a back-to-back station rotation, ensuring every learner receives authentic hands-on simulation exposure every week.</w:t>
            </w:r>
          </w:p>
        </w:tc>
      </w:tr>
    </w:tbl>
    <w:p>
      <w:pPr>
        <w:pStyle w:val="ListBullet"/>
        <w:spacing w:after="40" w:line="276" w:lineRule="auto"/>
      </w:pPr>
      <w:r/>
      <w:r>
        <w:rPr>
          <w:b/>
        </w:rPr>
        <w:t>Reconciled Budget Item in Table 3.3 (Item 2 &amp; Item 4, p. 21):</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Item 2: Mobile Pilot Hardware Kit: Procurement of 15 refurbished, ruggedized Android tablets (KES 10,000 each) + 2 high-capacity solar charging power banks (KES 10,000) + padded transport case (KES 10,000). Total: KES 170,000.</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Item 4: Printing and Evaluation Materials: Standardized printing of 600 sets of multi-page CPCAT pre- and post-test booklets and parental consent/assent forms (KES 70 per set). The CPAS anxiety scale, SUS usability survey, and TAM 3 questionnaires are administered digitally within the VirtuLab Kenya PWA on the mobile tablets, eliminating survey reprographic costs. Total: KES 42,000.</w:t>
            </w:r>
          </w:p>
        </w:tc>
      </w:tr>
    </w:tbl>
    <w:p>
      <w:pPr>
        <w:spacing w:before="80" w:after="80"/>
      </w:pPr>
      <w:r>
        <w:rPr>
          <w:color w:val="CCCCCC"/>
        </w:rPr>
        <w:t>――――――――――――――――――――――――――――――――――――――――――――――――――</w:t>
      </w:r>
    </w:p>
    <w:p>
      <w:pPr>
        <w:spacing w:before="160" w:after="40"/>
      </w:pPr>
      <w:r>
        <w:rPr>
          <w:b/>
          <w:color w:val="2E5B88"/>
          <w:sz w:val="24"/>
        </w:rPr>
        <w:t>3.6 Runtime Modernization &amp; Scholarly Voice (Sections 3.6 &amp; 3.15)</w:t>
      </w:r>
    </w:p>
    <w:p>
      <w:pPr>
        <w:pStyle w:val="ListBullet"/>
        <w:spacing w:after="40" w:line="276" w:lineRule="auto"/>
      </w:pPr>
      <w:r/>
      <w:r>
        <w:rPr>
          <w:b/>
        </w:rPr>
        <w:t>Target Location:</w:t>
      </w:r>
      <w:r>
        <w:t xml:space="preserve"> Section 3.6 (p. 19) &amp; Section 3.15 (p. 22).</w:t>
      </w:r>
    </w:p>
    <w:p>
      <w:pPr>
        <w:pStyle w:val="ListBullet"/>
        <w:spacing w:after="40" w:line="276" w:lineRule="auto"/>
      </w:pPr>
      <w:r/>
      <w:r>
        <w:rPr>
          <w:b/>
        </w:rPr>
        <w:t>Replacement in Section 3.6:</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backend REST API is built on Node.js 20 LTS using Express 4.x and PostgreSQL 15, matching current industry long-term support standards..."*</w:t>
            </w:r>
          </w:p>
        </w:tc>
      </w:tr>
    </w:tbl>
    <w:p>
      <w:pPr>
        <w:pStyle w:val="ListBullet"/>
        <w:spacing w:after="40" w:line="276" w:lineRule="auto"/>
      </w:pPr>
      <w:r/>
      <w:r>
        <w:rPr>
          <w:b/>
        </w:rPr>
        <w:t>Replacement in Section 3.15:</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researcher will also collaborate with County Education offices and CEMASTEA to explore formal institutional endorsement..."*</w:t>
            </w:r>
          </w:p>
        </w:tc>
      </w:tr>
    </w:tbl>
    <w:p>
      <w:pPr>
        <w:spacing w:before="80" w:after="80"/>
      </w:pPr>
      <w:r>
        <w:rPr>
          <w:color w:val="CCCCCC"/>
        </w:rPr>
        <w:t>――――――――――――――――――――――――――――――――――――――――――――――――――</w:t>
      </w:r>
    </w:p>
    <w:p>
      <w:pPr>
        <w:spacing w:before="240" w:after="80"/>
      </w:pPr>
      <w:r>
        <w:rPr>
          <w:b/>
          <w:color w:val="1B365D"/>
          <w:sz w:val="28"/>
        </w:rPr>
        <w:t>4. Chapter Four Patches: Implementation, Statistical Modeling &amp; Governance</w:t>
      </w:r>
    </w:p>
    <w:p>
      <w:pPr>
        <w:spacing w:before="160" w:after="40"/>
      </w:pPr>
      <w:r>
        <w:rPr>
          <w:b/>
          <w:color w:val="2E5B88"/>
          <w:sz w:val="24"/>
        </w:rPr>
        <w:t>4.1 Linear Mixed-Effects Model (LMM) with Cluster Controls (Section 4.4 &amp; 4.5)</w:t>
      </w:r>
    </w:p>
    <w:p>
      <w:pPr>
        <w:pStyle w:val="ListBullet"/>
        <w:spacing w:after="40" w:line="276" w:lineRule="auto"/>
      </w:pPr>
      <w:r/>
      <w:r>
        <w:rPr>
          <w:b/>
        </w:rPr>
        <w:t>Target Location:</w:t>
      </w:r>
      <w:r>
        <w:t xml:space="preserve"> Section 2.6.7 (p. 16), Section 4.4 (p. 23), and Section 4.5 (p. 24).</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4.5.1 Statistical Model: Two-Level Linear Mixed-Effects Model (LMM)</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Because the quasi-experimental evaluation samples learners nested within intact classrooms ($J = 20$) across 10 secondary schools, student-level observations are not statistically independent. Conducting standard Ordinary Least Squares (OLS) ANCOVA on clustered data ignores the Intraclass Correlation Coefficient (ICC), which deflates standard error estimates and inflates Type I error rates ($\alpha$).</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provide an unassailable statistical evaluation that accounts for hierarchical clustering, the primary hypothesis ($H_{01}$ vs. $H_{A1}$) will be evaluated using a Two-Level Linear Mixed-Effects Model (LMM) with restricted maximum likelihood (REML) estimation, specified as:</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$$\text{PostCPCAT}_{ij} = \beta_0 + \beta_1(\text{PreCPCAT}_{ij}) + \beta_2(\text{Treatment}_j) + \beta_3(\text{Stratum}_j) + \beta_4(\text{Treatment}_j \times \text{Stratum}_j) + u_j + \epsilon_{ij}$$</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Where:</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$\text{PostCPCAT}_{ij}$: Post-test achievement score for student $i$ in classroom/school cluster $j$.</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$\text{PreCPCAT}_{ij}$: Baseline covariate adjusting for prior chemistry competency.</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$\text{Treatment}_j$: Fixed between-group factor ($1 = \text{VirtuLab Kenya Experimental}, 0 = \text{Conventional Control}$).</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$\text{Stratum}_j$: Institutional tier fixed effect ($1 = \text{National}, 2 = \text{County}, 3 = \text{Sub-County Day}$).</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$\beta_4$: Treatment $\times$ Stratum interaction coefficient, testing whether simulation efficacy is moderated by school infrastructure level.</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$u_j \sim \mathcal{N}(0, \sigma_u^2)$: Random intercept representing cluster-level variance across the 20 intact classrooms.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$\epsilon_{ij} \sim \mathcal{N}(0, \sigma_e^2)$: Individual student residual variance.</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In addition to the LMM, the researcher will estimate standard ANCOVA models with Cluster-Robust Standard Errors (CRSE) adjusted at the school level (Huber-White cluster sandwich estimators) to verify that inferential conclusions remain robust across analytical specifications.</w:t>
            </w:r>
          </w:p>
        </w:tc>
      </w:tr>
    </w:tbl>
    <w:p>
      <w:pPr>
        <w:spacing w:before="80" w:after="80"/>
      </w:pPr>
      <w:r>
        <w:rPr>
          <w:color w:val="CCCCCC"/>
        </w:rPr>
        <w:t>――――――――――――――――――――――――――――――――――――――――――――――――――</w:t>
      </w:r>
    </w:p>
    <w:p>
      <w:pPr>
        <w:spacing w:before="160" w:after="40"/>
      </w:pPr>
      <w:r>
        <w:rPr>
          <w:b/>
          <w:color w:val="2E5B88"/>
          <w:sz w:val="24"/>
        </w:rPr>
        <w:t>4.2 Reconciliation of Sub-County Active Account Targets (Table 4.1)</w:t>
      </w:r>
    </w:p>
    <w:p>
      <w:pPr>
        <w:pStyle w:val="ListBullet"/>
        <w:spacing w:after="40" w:line="276" w:lineRule="auto"/>
      </w:pPr>
      <w:r/>
      <w:r>
        <w:rPr>
          <w:b/>
        </w:rPr>
        <w:t>Target Location:</w:t>
      </w:r>
      <w:r>
        <w:t xml:space="preserve"> Section 4.8 (Table 4.1, p. 24).</w:t>
      </w:r>
    </w:p>
    <w:p>
      <w:pPr>
        <w:pStyle w:val="ListBullet"/>
        <w:spacing w:after="40" w:line="276" w:lineRule="auto"/>
      </w:pPr>
      <w:r/>
      <w:r>
        <w:rPr>
          <w:b/>
        </w:rPr>
        <w:t>Replacement Row in Table 4.1:</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Target Metric | Success Criterion | Analytical Method of Verification | Data Source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 | :--- | :--- | :---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Cognitive Practical Mastery | Adjusted Post-test CPCAT: $p &lt; 0.05$; Mean gain $\langle g \rangle \ge 0.40$ | Two-level Linear Mixed-Effects Model (LMM) with baseline pre-test covariate | CPCAT Pre- and Post-test scripts graded by blind certified KCSE examiners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Practical Anxiety Reduction | Adjusted Post-test CPAS: $p &lt; 0.05$; paired pre-to-post reduction | Between-group ANCOVA controlling for baseline anxiety + paired $t$-test | 20-item CPAS survey administered pre- and post-intervention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Sub-County Account Participation | $\ge 150$ unique active Sub-County accounts during 10-week trial; $\ge 300$ cumulative post-crossover | Database audit of unique registered student UUIDs logging active simulation trials | PostgreSQL 15 database `lab_sessions` audit logs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Interface Usability Benchmark | System Usability Scale (SUS) score $\ge 78$ across strata | Descriptive mean computation against Brooke's (1996) percentile tables | 10-item SUS digital questionnaire administered at Week 10 |</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Teacher Acceptance Level | Mean rating $\ge 4.0$ on a 5-point scale across PU, PEOU, PEC, and BI | Descriptive means and standard deviations across TAM 3 construct subscales | Digital TAM 3 questionnaire administered to all 20 participating teachers |</w:t>
            </w:r>
          </w:p>
        </w:tc>
      </w:tr>
    </w:tbl>
    <w:p>
      <w:pPr>
        <w:spacing w:before="80" w:after="80"/>
      </w:pPr>
      <w:r>
        <w:rPr>
          <w:color w:val="CCCCCC"/>
        </w:rPr>
        <w:t>――――――――――――――――――――――――――――――――――――――――――――――――――</w:t>
      </w:r>
    </w:p>
    <w:p>
      <w:pPr>
        <w:spacing w:before="160" w:after="40"/>
      </w:pPr>
      <w:r>
        <w:rPr>
          <w:b/>
          <w:color w:val="2E5B88"/>
          <w:sz w:val="24"/>
        </w:rPr>
        <w:t>4.3 Tier-Specific Control Group Protocols &amp; Stratum Interaction (Section 4.5 &amp; 4.6)</w:t>
      </w:r>
    </w:p>
    <w:p>
      <w:pPr>
        <w:pStyle w:val="ListBullet"/>
        <w:spacing w:after="40" w:line="276" w:lineRule="auto"/>
      </w:pPr>
      <w:r/>
      <w:r>
        <w:rPr>
          <w:b/>
        </w:rPr>
        <w:t>Target Location:</w:t>
      </w:r>
      <w:r>
        <w:t xml:space="preserve"> Section 2.6.1 (p. 15) &amp; Section 4.6 (p. 24).</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2.6.1.1 Tier-Specific Instructional Protocols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prevent internal validity confounding and uphold ethical research standards across diverse institutional strata, the control group protocol is structured to reflect authentic "business-as-usual" instruction tailored to each school tier:</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1. Stratum 1 (National/Extra-County Schools): Control cohorts execute their routine hands-on physical practicals in fully equipped laboratories according to standard school timetables. Experimental cohorts follow a blended learning model, utilizing VirtuLab Kenya for structured 20-minute digital pre-laboratory preparation prior to conducting the physical practical. This evaluates the *supplementary enhancement effect* of digital scaffolding in well-resourced environments.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2. Stratum 2 (County Schools): Control cohorts utilize partial physical laboratories where students observe teacher demonstrations or share glassware in large groups (8–10 learners per bench). Experimental cohorts utilize VirtuLab Kenya in paired dyads to perform individual trials before group apparatus work.</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3. Stratum 3 (Sub-County Day Schools): Control cohorts receive conventional instruction (chalkboard diagrams, textbook reading, and dry data-analysis worksheets without physical or digital lab access). Experimental cohorts utilize VirtuLab Kenya as a direct virtual replacement workbench. This evaluates the *compensatory compensatory effect* of digital laboratories in completely unequipped environments.</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By incorporating a $\text{Treatment} \times \text{Stratum}$ interaction term into the Linear Mixed-Effects Model, the study formally tests whether VirtuLab Kenya enables disadvantaged Sub-County learners to bridge the practical performance gap relative to baseline National school standards.</w:t>
            </w:r>
          </w:p>
        </w:tc>
      </w:tr>
    </w:tbl>
    <w:p>
      <w:pPr>
        <w:spacing w:before="80" w:after="80"/>
      </w:pPr>
      <w:r>
        <w:rPr>
          <w:color w:val="CCCCCC"/>
        </w:rPr>
        <w:t>――――――――――――――――――――――――――――――――――――――――――――――――――</w:t>
      </w:r>
    </w:p>
    <w:p>
      <w:pPr>
        <w:spacing w:before="160" w:after="40"/>
      </w:pPr>
      <w:r>
        <w:rPr>
          <w:b/>
          <w:color w:val="2E5B88"/>
          <w:sz w:val="24"/>
        </w:rPr>
        <w:t>4.4 Psychometric Validation &amp; Scope of CPCAT (Section 2.6.3 &amp; 2.6.5)</w:t>
      </w:r>
    </w:p>
    <w:p>
      <w:pPr>
        <w:pStyle w:val="ListBullet"/>
        <w:spacing w:after="40" w:line="276" w:lineRule="auto"/>
      </w:pPr>
      <w:r/>
      <w:r>
        <w:rPr>
          <w:b/>
        </w:rPr>
        <w:t>Target Location:</w:t>
      </w:r>
      <w:r>
        <w:t xml:space="preserve"> Section 2.6.3 &amp; Section 2.6.5 (pp. 15–16).</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2.6.3 Instrument Scope and Psychometric Validation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primary quantitative outcome instrument is the Chemistry Practical Competency Achievement Test (CPCAT), a 40-mark criterion-referenced test constructed from authentic KNEC KCSE Paper 3 rubrics.</w:t>
            </w:r>
          </w:p>
        </w:tc>
      </w:tr>
    </w:tbl>
    <w:p>
      <w:pPr>
        <w:spacing w:after="80" w:line="276" w:lineRule="auto"/>
      </w:pPr>
      <w:r>
        <w:t>&gt;</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Cognitive vs. Psychomotor Scope Framing: The researcher explicitly notes that the written CPCAT evaluates cognitive, procedural, and analytical practical readiness (including apparatus selection, decimal interpolation of magnified meniscus readings, concordant titre selection within $\pm 0.10\text{ cm}^3$, stoichiometric calculations, and qualitative chemical inferences). It does not purport to measure physical psychomotor dexterity (e.g., tactile burette stopcock friction control or physical pipette suction).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Instrument Reliability: Prior to field deployment, the CPCAT instrument will be piloted with 80 Form 4 learners in a non-participating school. Item-level internal consistency will be established using the Kuder-Richardson Formula 20 ($\text{KR-20} \ge 0.80$).</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 Inter-Rater Examiner Reliability: Open-ended qualitative deduction scripts and stoichiometric calculation workings will be graded independently by two certified KNEC national chemistry examiners blind to cohort assignments. Inter-rater scoring consistency will be verified using Cohen’s Kappa ($\kappa \ge 0.85$) and two-way mixed Intraclass Correlation Coefficients ($\text{ICC} \ge 0.85$).</w:t>
            </w:r>
          </w:p>
        </w:tc>
      </w:tr>
    </w:tbl>
    <w:p>
      <w:pPr>
        <w:spacing w:before="80" w:after="80"/>
      </w:pPr>
      <w:r>
        <w:rPr>
          <w:color w:val="CCCCCC"/>
        </w:rPr>
        <w:t>――――――――――――――――――――――――――――――――――――――――――――――――――</w:t>
      </w:r>
    </w:p>
    <w:p>
      <w:pPr>
        <w:spacing w:before="160" w:after="40"/>
      </w:pPr>
      <w:r>
        <w:rPr>
          <w:b/>
          <w:color w:val="2E5B88"/>
          <w:sz w:val="24"/>
        </w:rPr>
        <w:t>4.5 Prospective Reframing of Proposal Findings (Sections 4.12, 4.13, 4.16)</w:t>
      </w:r>
    </w:p>
    <w:p>
      <w:pPr>
        <w:pStyle w:val="ListBullet"/>
        <w:spacing w:after="40" w:line="276" w:lineRule="auto"/>
      </w:pPr>
      <w:r/>
      <w:r>
        <w:rPr>
          <w:b/>
        </w:rPr>
        <w:t>Target Location:</w:t>
      </w:r>
      <w:r>
        <w:t xml:space="preserve"> Sections 4.12, 4.13, and 4.16 (pp. 25–26).</w:t>
      </w:r>
    </w:p>
    <w:p>
      <w:pPr>
        <w:pStyle w:val="ListBullet"/>
        <w:spacing w:after="40" w:line="276" w:lineRule="auto"/>
      </w:pPr>
      <w:r/>
      <w:r>
        <w:rPr>
          <w:b/>
        </w:rPr>
        <w:t>Replacement in Section 4.12 (Lessons Learned):</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*"Formative development and local laboratory usability testing suggest that in high-stakes assessment environments like KCSE, educators and learners adopt digital tools primarily when simulations authentically mirror national examination formatting and scoring conventions..."*</w:t>
            </w:r>
          </w:p>
        </w:tc>
      </w:tr>
    </w:tbl>
    <w:p>
      <w:pPr>
        <w:pStyle w:val="ListBullet"/>
        <w:spacing w:after="40" w:line="276" w:lineRule="auto"/>
      </w:pPr>
      <w:r/>
      <w:r>
        <w:rPr>
          <w:b/>
        </w:rPr>
        <w:t>Replacement in Section 4.13 (Policy Recommendations):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*"Contingent upon validating the target learning gain ($\langle g \rangle \ge 0.40$) and usability ($\text{SUS} \ge 78$) benchmarks during the field pilot, the study will advance three actionable policy recommendations..."*</w:t>
            </w:r>
          </w:p>
        </w:tc>
      </w:tr>
    </w:tbl>
    <w:p>
      <w:pPr>
        <w:pStyle w:val="ListBullet"/>
        <w:spacing w:after="40" w:line="276" w:lineRule="auto"/>
      </w:pPr>
      <w:r/>
      <w:r>
        <w:rPr>
          <w:b/>
        </w:rPr>
        <w:t>Replacement in Section 4.16 (Conclusion):</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*"VirtuLab Kenya is engineered to demonstrate that thoughtful instructional design and lightweight offline web technologies can dismantle educational barriers in secondary science..."*</w:t>
            </w:r>
          </w:p>
        </w:tc>
      </w:tr>
    </w:tbl>
    <w:p>
      <w:pPr>
        <w:spacing w:before="80" w:after="80"/>
      </w:pPr>
      <w:r>
        <w:rPr>
          <w:color w:val="CCCCCC"/>
        </w:rPr>
        <w:t>――――――――――――――――――――――――――――――――――――――――――――――――――</w:t>
      </w:r>
    </w:p>
    <w:p>
      <w:pPr>
        <w:spacing w:before="160" w:after="40"/>
      </w:pPr>
      <w:r>
        <w:rPr>
          <w:b/>
          <w:color w:val="2E5B88"/>
          <w:sz w:val="24"/>
        </w:rPr>
        <w:t>4.6 Institutional Governance Accuracy in Policy Briefs (Section 4.13)</w:t>
      </w:r>
    </w:p>
    <w:p>
      <w:pPr>
        <w:pStyle w:val="ListBullet"/>
        <w:spacing w:after="40" w:line="276" w:lineRule="auto"/>
      </w:pPr>
      <w:r/>
      <w:r>
        <w:rPr>
          <w:b/>
        </w:rPr>
        <w:t>Target Location:</w:t>
      </w:r>
      <w:r>
        <w:t xml:space="preserve"> Section 4.13 (Recommendation 3, p. 25).</w:t>
      </w:r>
    </w:p>
    <w:p>
      <w:pPr>
        <w:pStyle w:val="ListBullet"/>
        <w:spacing w:after="40" w:line="276" w:lineRule="auto"/>
      </w:pPr>
      <w:r/>
      <w:r>
        <w:rPr>
          <w:b/>
        </w:rPr>
        <w:t>Replacement Text:</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the Ministry of Education (State Department for Basic Education) and NG-CDF Committees: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Under Kenya's constitutional framework and the Basic Education Act, secondary education is a national government function funded through Free Day Secondary Education (FDSE) capitation. The study recommends that the Ministry of Education earmark targeted ICT infrastructure grants within the FDSE capitation formula for unequipped Sub-County day schools. Concurrently, National Government Constituencies Development Fund (NG-CDF) education committees should prioritize allocating local infrastructure funds toward purchasing low-cost Android tablet kits for public day school libraries. County Education Boards (CEBs) should provide local administrative coordination and needs-assessment oversight to ensure device kits are safeguarded and deployed effectively across school clusters.</w:t>
            </w:r>
          </w:p>
        </w:tc>
      </w:tr>
    </w:tbl>
    <w:p>
      <w:pPr>
        <w:spacing w:before="80" w:after="80"/>
      </w:pPr>
      <w:r>
        <w:rPr>
          <w:color w:val="CCCCCC"/>
        </w:rPr>
        <w:t>――――――――――――――――――――――――――――――――――――――――――――――――――</w:t>
      </w:r>
    </w:p>
    <w:p>
      <w:pPr>
        <w:spacing w:before="240" w:after="80"/>
      </w:pPr>
      <w:r>
        <w:rPr>
          <w:b/>
          <w:color w:val="1B365D"/>
          <w:sz w:val="28"/>
        </w:rPr>
        <w:t>5. Complete APA 7th References List Audit</w:t>
      </w:r>
    </w:p>
    <w:p>
      <w:pPr>
        <w:pStyle w:val="ListBullet"/>
        <w:spacing w:after="40" w:line="276" w:lineRule="auto"/>
      </w:pPr>
      <w:r/>
      <w:r>
        <w:rPr>
          <w:b/>
        </w:rPr>
        <w:t>Target Location:</w:t>
      </w:r>
      <w:r>
        <w:t xml:space="preserve"> References Section (pp. 26–28).</w:t>
      </w:r>
    </w:p>
    <w:p>
      <w:pPr>
        <w:pStyle w:val="ListBullet"/>
        <w:spacing w:after="40" w:line="276" w:lineRule="auto"/>
      </w:pPr>
      <w:r/>
      <w:r>
        <w:rPr>
          <w:b/>
        </w:rPr>
        <w:t>Action:</w:t>
      </w:r>
      <w:r>
        <w:t xml:space="preserve"> Replace corrupted DOIs, inaccurate page ranges, and unverifiable citations with the following verified APA 7th entries: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Pr>
          <w:p>
            <w:pPr>
              <w:spacing w:line="240" w:lineRule="auto" w:after="40"/>
            </w:pPr>
            <w:r>
              <w:rPr>
                <w:rFonts w:ascii="Consolas" w:hAnsi="Consolas"/>
                <w:color w:val="24292E"/>
                <w:sz w:val="18"/>
              </w:rPr>
              <w:t>American Psychological Association. (2020). Publication manual of the American Psychological Association (7th ed.). https://doi.org/10.1037/0000165-000</w:t>
              <w:br/>
              <w:br/>
              <w:t>Brooke, J. (1996). SUS: A "quick and dirty" usability scale. In P. W. Jordan, B. Thomas, B. A. Weerdmeester, &amp; I. L. McClelland (Eds.), Usability evaluation in industry (pp. 189–194). Taylor &amp; Francis.</w:t>
              <w:br/>
              <w:br/>
              <w:t>Bybee, R. W. (2009). The BSCS 5E instructional model and 21st century skills (Commissioned Workshop Paper). Board on Science Education, National Research Council.</w:t>
              <w:br/>
              <w:br/>
              <w:t>CEMASTEA. (2020). Status of science and mathematics education in Kenya: National secondary school survey report. Centre for Mathematics, Science and Technology Education in Africa.</w:t>
              <w:br/>
              <w:br/>
              <w:t>CEMASTEA. (2024). CEMASTEA virtual labs platform. Centre for Mathematics, Science and Technology Education in Africa, Ministry of Education Kenya. https://virtuallabs.cemastea.ac.ke</w:t>
              <w:br/>
              <w:br/>
              <w:t>Chebii, R., Wachanga, S., &amp; Kiboss, J. (2012). Effects of science process skills mastery learning approach on students' acquisition of selected chemistry practical skills in school. Creative Education, 3(8), 1291–1296. https://doi.org/10.4236/ce.2012.38188</w:t>
              <w:br/>
              <w:br/>
              <w:t>Davenport, J. L., Rafferty, A. N., Timms, M. J., Yaron, D., &amp; Karabinos, M. (2012). ChemVLab+: Evaluating a virtual lab tutor for high school chemistry. In S. A. Cerri, W. J. Clancey, G. Papadourakis, &amp; K. Panourgia (Eds.), Intelligent tutoring systems (pp. 586–588). Springer. https://doi.org/10.1007/978-3-642-30950-2_76</w:t>
              <w:br/>
              <w:br/>
              <w:t>Gitira, C. (2025). Virtual laboratories and secondary school chemistry achievement in semi-arid educational zones. East African Journal of Education Studies, 8(3), 180–190. https://doi.org/10.37284/eajes.8.3.3454</w:t>
              <w:br/>
              <w:br/>
              <w:t>Hake, R. R. (1998). Interactive-engagement versus traditional methods: A six-thousand-student survey of mechanics test data for introductory physics courses. American Journal of Physics, 66(1), 64–74. https://doi.org/10.1119/1.18809</w:t>
              <w:br/>
              <w:br/>
              <w:t>Kenya Institute of Curriculum Development. (2019). Secondary education curriculum designs: Chemistry Forms 1–4. KICD.</w:t>
              <w:br/>
              <w:br/>
              <w:t>Kenya Institute of Curriculum Development. (2024). Senior school curriculum designs: Pure sciences STEM pathway (Chemistry Grades 10–12). KICD.</w:t>
              <w:br/>
              <w:br/>
              <w:t>Kenya National Examinations Council. (2022). Kenya Certificate of Secondary Education: 2021 examination performance report (Chemistry Paper 233/3). KNEC.</w:t>
              <w:br/>
              <w:br/>
              <w:t>Learning Equality. (2024). Kolibri offline-first learning platform and EdTech ecosystem. Learning Equality. https://learningequality.org/kolibri/</w:t>
              <w:br/>
              <w:br/>
              <w:t>Mayer, R. E. (2009). Multimedia learning (2nd ed.). Cambridge University Press. https://doi.org/10.1017/CBO9780511811677</w:t>
              <w:br/>
              <w:br/>
              <w:t>Mtebe, J. S., &amp; Raisamo, R. (2014). Challenges and barriers to the acceptance of mobile learning in higher education in East Africa. Knowledge Management &amp; E-Learning, 6(1), 60–82. https://doi.org/10.34105/j.kmel.2014.06.005</w:t>
              <w:br/>
              <w:br/>
              <w:t>Nedungadi, P., Malini, P., &amp; Raman, R. (2013). Inquiry-based learning pedagogy for chemistry practical experiments using OLabs. In 2013 IEEE Fifth International Conference on Technology for Education (pp. 81–84). IEEE. https://doi.org/10.1109/T4E.2013.29</w:t>
              <w:br/>
              <w:br/>
              <w:t>Nizeyimana, G., &amp; Musengimana, J. (2026). Enhancing chemistry practical skills through virtual laboratory simulations in rural secondary schools. Research Square. https://doi.org/10.21203/rs.3.rs-9403467/v1</w:t>
              <w:br/>
              <w:br/>
              <w:t>Piaget, J. (1973). To understand is to invent: The future of education. Grossman Publishers.</w:t>
              <w:br/>
              <w:br/>
              <w:t>Sifuna, D. N., &amp; Kaime, J. G. (2007). The impact of in-service education and training (INSET) on school science teachers' classroom instructional practice in Kenya. International Journal of Educational Development, 27(2), 176–188. https://doi.org/10.1016/j.ijedudev.2006.07.009</w:t>
              <w:br/>
              <w:br/>
              <w:t>Spielberger, C. D. (1983). State-trait anxiety inventory for adults (Form Y). Mind Garden.</w:t>
              <w:br/>
              <w:br/>
              <w:t>Venkatesh, V., &amp; Bala, H. (2008). Technology acceptance model 3 and a research agenda on interventions. Decision Sciences, 39(2), 273–315. https://doi.org/10.1111/j.1540-5915.2008.00192.x</w:t>
              <w:br/>
              <w:br/>
              <w:t>Venkatesh, V., Morris, M. G., Davis, G. B., &amp; Davis, F. D. (2003). User acceptance of information technology: Toward a unified view. MIS Quarterly, 27(3), 425–478. https://doi.org/10.2307/30036540</w:t>
              <w:br/>
              <w:br/>
              <w:t>Vygotsky, L. S. (1978). Mind in society: The development of higher psychological processes. Harvard University Press.</w:t>
              <w:br/>
              <w:br/>
              <w:t>Williams, D. P., O'Hanlon, C. F., &amp; Sanders, K. A. (2019). The Royal Society of Chemistry Titration Screen Experiment: Design and student perceptions of a pre-laboratory virtual simulation. Journal of Chemical Education, 96(8), 1632–1638. https://doi.org/10.1021/acs.jchemed.9b00084</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