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B365D"/>
          <w:sz w:val="36"/>
        </w:rPr>
        <w:t>VirtuLab Kenya: Comprehensive Capstone Proposal Revision Plan (V10 $\rightarrow$ V11)</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Document Target: `VirtuLab_Kenya_Capstone_Proposal_V11_Resolved.docx`</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Source Document: `VirtuLab_Kenya_Capstone_Proposal_V10_Resolved.docx`</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Author: Capstone Candidate</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Target Audience: Academic Review Panel, External Examiners, NACOSTI, KICD, CEMASTEA</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Timeline: 10 Working Days (Structured Execution)</w:t>
            </w:r>
          </w:p>
        </w:tc>
      </w:tr>
    </w:tbl>
    <w:p>
      <w:pPr>
        <w:spacing w:before="80" w:after="80"/>
      </w:pPr>
      <w:r>
        <w:rPr>
          <w:color w:val="CCCCCC"/>
        </w:rPr>
        <w:t>――――――――――――――――――――――――――――――――――――――――――――――――――</w:t>
      </w:r>
    </w:p>
    <w:p>
      <w:pPr>
        <w:spacing w:before="240" w:after="80"/>
      </w:pPr>
      <w:r>
        <w:rPr>
          <w:b/>
          <w:color w:val="1B365D"/>
          <w:sz w:val="28"/>
        </w:rPr>
        <w:t>Executive Overview</w:t>
      </w:r>
    </w:p>
    <w:p>
      <w:pPr>
        <w:spacing w:after="80" w:line="276" w:lineRule="auto"/>
      </w:pPr>
      <w:r>
        <w:t>The deep review of `VirtuLab_Kenya_Capstone_Proposal_V10_Resolved.docx` confirmed that the core premise of VirtuLab Kenya—an ultralight ($&lt;3.5\text{ MB}$), zero-dependency, offline-first virtual chemistry lab Progressive Web App (PWA) designed for resource-constrained Kenyan secondary schools—possesses extraordinary practical significance and strong technical feasibility.</w:t>
      </w:r>
    </w:p>
    <w:p>
      <w:pPr>
        <w:spacing w:after="80" w:line="276" w:lineRule="auto"/>
      </w:pPr>
      <w:r>
        <w:t xml:space="preserve">However, the proposal contains </w:t>
      </w:r>
      <w:r>
        <w:rPr>
          <w:b/>
        </w:rPr>
        <w:t>five major structural vulnerabilities</w:t>
      </w:r>
      <w:r>
        <w:t xml:space="preserve"> that must be resolved to ensure unconditional defense approval:</w:t>
      </w:r>
    </w:p>
    <w:p>
      <w:pPr>
        <w:pStyle w:val="ListNumber"/>
        <w:spacing w:after="40" w:line="276" w:lineRule="auto"/>
      </w:pPr>
      <w:r/>
      <w:r>
        <w:rPr>
          <w:b/>
        </w:rPr>
        <w:t>Statistical &amp; Quasi-Experimental Vulnerabilities:</w:t>
      </w:r>
      <w:r>
        <w:t xml:space="preserve"> Neglected cluster correlation (ICC) across 10 schools/20 classrooms, conflated $H_1$ formulation, missing anxiety hypothesis, and an arithmetic clash between the Sub-County sample size ($n=300$) and target active database accounts.</w:t>
      </w:r>
    </w:p>
    <w:p>
      <w:pPr>
        <w:pStyle w:val="ListNumber"/>
        <w:spacing w:after="40" w:line="276" w:lineRule="auto"/>
      </w:pPr>
      <w:r/>
      <w:r>
        <w:rPr>
          <w:b/>
        </w:rPr>
        <w:t>Hardware &amp; Offline Multi-Tenant Bottlenecks:</w:t>
      </w:r>
      <w:r>
        <w:t xml:space="preserve"> Dispersing 10 tablets across 5 schools ($2\text{ tablets/school}$) makes 50-student class sessions impossible; offline rotating students on shared tablets collide in origin-level `localStorage` without local multi-tenant auth.</w:t>
      </w:r>
    </w:p>
    <w:p>
      <w:pPr>
        <w:pStyle w:val="ListNumber"/>
        <w:spacing w:after="40" w:line="276" w:lineRule="auto"/>
      </w:pPr>
      <w:r/>
      <w:r>
        <w:rPr>
          <w:b/>
        </w:rPr>
        <w:t>Curricular &amp; Assessment Misalignments:</w:t>
      </w:r>
      <w:r>
        <w:t xml:space="preserve"> Out-of-syllabus undergraduate titrations (complexometric/argentometric), missing the 2014–2025 KCSE past paper shift, missing the bridge to CBC Senior Secondary (Grades 10–12 Pure Sciences), and unaddressed Kiswahili penalties under KNEC English marking rubrics.</w:t>
      </w:r>
    </w:p>
    <w:p>
      <w:pPr>
        <w:pStyle w:val="ListNumber"/>
        <w:spacing w:after="40" w:line="276" w:lineRule="auto"/>
      </w:pPr>
      <w:r/>
      <w:r>
        <w:rPr>
          <w:b/>
        </w:rPr>
        <w:t>Literature Gaps &amp; Citation Credibility:</w:t>
      </w:r>
      <w:r>
        <w:t xml:space="preserve"> Omission of the national precedent (</w:t>
      </w:r>
      <w:r>
        <w:rPr>
          <w:b/>
        </w:rPr>
        <w:t>CEMASTEA Virtual Labs Platform</w:t>
      </w:r>
      <w:r>
        <w:t>) and Global South precedents (</w:t>
      </w:r>
      <w:r>
        <w:rPr>
          <w:b/>
        </w:rPr>
        <w:t>Amrita OLabs</w:t>
      </w:r>
      <w:r>
        <w:t>); broken DOIs, incorrect journal volumes/pages, and unverifiable regional citations.</w:t>
      </w:r>
    </w:p>
    <w:p>
      <w:pPr>
        <w:pStyle w:val="ListNumber"/>
        <w:spacing w:after="40" w:line="276" w:lineRule="auto"/>
      </w:pPr>
      <w:r/>
      <w:r>
        <w:rPr>
          <w:b/>
        </w:rPr>
        <w:t>Institutional Governance &amp; Retrospective Tone:</w:t>
      </w:r>
      <w:r>
        <w:t xml:space="preserve"> Erroneous attribution of capitation grants to County Education Boards (instead of Ministry of Education / NG-CDF), unbudgeted solar power banks, and premature retrospective claims ("pilot proved...") in Chapter 4.</w:t>
      </w:r>
    </w:p>
    <w:p>
      <w:pPr>
        <w:spacing w:before="80" w:after="80"/>
      </w:pPr>
      <w:r>
        <w:rPr>
          <w:color w:val="CCCCCC"/>
        </w:rPr>
        <w:t>――――――――――――――――――――――――――――――――――――――――――――――――――</w:t>
      </w:r>
    </w:p>
    <w:p>
      <w:pPr>
        <w:spacing w:before="240" w:after="80"/>
      </w:pPr>
      <w:r>
        <w:rPr>
          <w:b/>
          <w:color w:val="1B365D"/>
          <w:sz w:val="28"/>
        </w:rPr>
        <w:t>Revision Architecture Matrix (7 Phases)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flowchart TD</w:t>
              <w:br/>
              <w:t xml:space="preserve">    P1["Phase 1: Quick-Hit Factual &amp; Typographical Fixes (Day 1)"] --&gt; P2["Phase 2: Curricular &amp; Assessment Alignment (Day 2)"]</w:t>
              <w:br/>
              <w:t xml:space="preserve">    P2 --&gt; P3["Phase 3: Literature, Benchmarking &amp; Citation Overhaul (Days 3-4)"]</w:t>
              <w:br/>
              <w:t xml:space="preserve">    P3 --&gt; P4["Phase 4: Methodological &amp; Statistical Re-Engineering (Days 5-6)"]</w:t>
              <w:br/>
              <w:t xml:space="preserve">    P4 --&gt; P5["Phase 5: Offline Multi-Tenancy &amp; Hardware Deployment (Days 7-8)"]</w:t>
              <w:br/>
              <w:t xml:space="preserve">    P5 --&gt; P6["Phase 6: Visual Figures, Architecture Diagrams &amp; ERD (Day 9)"]</w:t>
              <w:br/>
              <w:t xml:space="preserve">    P6 --&gt; P7["Phase 7: Proposal Tone, Governance &amp; Final Compilation (Day 10)"]</w:t>
              <w:br/>
              <w:t xml:space="preserve">    </w:t>
              <w:br/>
              <w:t xml:space="preserve">    style P1 fill:#e1f5fe,stroke:#03a9f4,stroke-width:2px</w:t>
              <w:br/>
              <w:t xml:space="preserve">    style P2 fill:#fff3e0,stroke:#ff9800,stroke-width:2px</w:t>
              <w:br/>
              <w:t xml:space="preserve">    style P3 fill:#fce4ec,stroke:#e91e63,stroke-width:2px</w:t>
              <w:br/>
              <w:t xml:space="preserve">    style P4 fill:#ede7f6,stroke:#673ab7,stroke-width:2px</w:t>
              <w:br/>
              <w:t xml:space="preserve">    style P5 fill:#e8f5e9,stroke:#4caf50,stroke-width:2px</w:t>
              <w:br/>
              <w:t xml:space="preserve">    style P6 fill:#fffde7,stroke:#fbc02d,stroke-width:2px</w:t>
              <w:br/>
              <w:t xml:space="preserve">    style P7 fill:#efebe9,stroke:#795548,stroke-width:2px</w:t>
            </w:r>
          </w:p>
        </w:tc>
      </w:tr>
    </w:tbl>
    <w:p>
      <w:pPr>
        <w:spacing w:after="80"/>
      </w:pPr>
    </w:p>
    <w:p>
      <w:pPr>
        <w:spacing w:before="80" w:after="80"/>
      </w:pPr>
      <w:r>
        <w:rPr>
          <w:color w:val="CCCCCC"/>
        </w:rPr>
        <w:t>――――――――――――――――――――――――――――――――――――――――――――――――――</w:t>
      </w:r>
    </w:p>
    <w:p>
      <w:pPr>
        <w:spacing w:before="240" w:after="80"/>
      </w:pPr>
      <w:r>
        <w:rPr>
          <w:b/>
          <w:color w:val="1B365D"/>
          <w:sz w:val="28"/>
        </w:rPr>
        <w:t>Detailed Phase-by-Phase Revision Tasks</w:t>
      </w:r>
    </w:p>
    <w:p>
      <w:pPr>
        <w:spacing w:before="160" w:after="40"/>
      </w:pPr>
      <w:r>
        <w:rPr>
          <w:b/>
          <w:color w:val="2E5B88"/>
          <w:sz w:val="24"/>
        </w:rPr>
        <w:t>Phase 1: Quick-Hit Factual, Governance &amp; Typographical Fixes</w:t>
      </w:r>
    </w:p>
    <w:p>
      <w:pPr>
        <w:pStyle w:val="ListBullet"/>
        <w:spacing w:after="40" w:line="276" w:lineRule="auto"/>
      </w:pPr>
      <w:r/>
      <w:r>
        <w:rPr>
          <w:b/>
        </w:rPr>
        <w:t>Target Days:</w:t>
      </w:r>
      <w:r>
        <w:t xml:space="preserve"> Day 1</w:t>
      </w:r>
    </w:p>
    <w:p>
      <w:pPr>
        <w:pStyle w:val="ListBullet"/>
        <w:spacing w:after="40" w:line="276" w:lineRule="auto"/>
      </w:pPr>
      <w:r/>
      <w:r>
        <w:rPr>
          <w:b/>
        </w:rPr>
        <w:t>Objective:</w:t>
      </w:r>
      <w:r>
        <w:t xml:space="preserve"> Clean up administrative errors, template residue, and factual inaccuracies that undermine academic presentation.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F4E79"/>
          </w:tcPr>
          <w:p>
            <w:pPr>
              <w:jc w:val="center"/>
            </w:pPr>
            <w:r>
              <w:rPr>
                <w:b/>
                <w:color w:val="FFFFFF"/>
                <w:sz w:val="19"/>
              </w:rPr>
              <w:t>Item</w:t>
            </w:r>
          </w:p>
        </w:tc>
        <w:tc>
          <w:tcPr>
            <w:tcW w:type="dxa" w:w="2340"/>
            <w:tcMar>
              <w:top w:w="80" w:type="dxa"/>
              <w:bottom w:w="80" w:type="dxa"/>
              <w:left w:w="120" w:type="dxa"/>
              <w:right w:w="120" w:type="dxa"/>
            </w:tcMar>
            <w:shd w:fill="1F4E79"/>
          </w:tcPr>
          <w:p>
            <w:pPr>
              <w:jc w:val="center"/>
            </w:pPr>
            <w:r>
              <w:rPr>
                <w:b/>
                <w:color w:val="FFFFFF"/>
                <w:sz w:val="19"/>
              </w:rPr>
              <w:t>Location in V10</w:t>
            </w:r>
          </w:p>
        </w:tc>
        <w:tc>
          <w:tcPr>
            <w:tcW w:type="dxa" w:w="2340"/>
            <w:tcMar>
              <w:top w:w="80" w:type="dxa"/>
              <w:bottom w:w="80" w:type="dxa"/>
              <w:left w:w="120" w:type="dxa"/>
              <w:right w:w="120" w:type="dxa"/>
            </w:tcMar>
            <w:shd w:fill="1F4E79"/>
          </w:tcPr>
          <w:p>
            <w:pPr>
              <w:jc w:val="center"/>
            </w:pPr>
            <w:r>
              <w:rPr>
                <w:b/>
                <w:color w:val="FFFFFF"/>
                <w:sz w:val="19"/>
              </w:rPr>
              <w:t>Issue in V10</w:t>
            </w:r>
          </w:p>
        </w:tc>
        <w:tc>
          <w:tcPr>
            <w:tcW w:type="dxa" w:w="2340"/>
            <w:tcMar>
              <w:top w:w="80" w:type="dxa"/>
              <w:bottom w:w="80" w:type="dxa"/>
              <w:left w:w="120" w:type="dxa"/>
              <w:right w:w="120" w:type="dxa"/>
            </w:tcMar>
            <w:shd w:fill="1F4E79"/>
          </w:tcPr>
          <w:p>
            <w:pPr>
              <w:jc w:val="center"/>
            </w:pPr>
            <w:r>
              <w:rPr>
                <w:b/>
                <w:color w:val="FFFFFF"/>
                <w:sz w:val="19"/>
              </w:rPr>
              <w:t>Planned Action in V11</w:t>
            </w:r>
          </w:p>
        </w:tc>
      </w:tr>
      <w:tr>
        <w:tc>
          <w:tcPr>
            <w:tcW w:type="dxa" w:w="2340"/>
            <w:tcMar>
              <w:top w:w="80" w:type="dxa"/>
              <w:bottom w:w="80" w:type="dxa"/>
              <w:left w:w="120" w:type="dxa"/>
              <w:right w:w="120" w:type="dxa"/>
            </w:tcMar>
            <w:shd w:fill="F2F4F7"/>
          </w:tcPr>
          <w:p>
            <w:r>
              <w:rPr>
                <w:color w:val="333333"/>
                <w:sz w:val="19"/>
              </w:rPr>
              <w:t>1.1</w:t>
            </w:r>
          </w:p>
        </w:tc>
        <w:tc>
          <w:tcPr>
            <w:tcW w:type="dxa" w:w="2340"/>
            <w:tcMar>
              <w:top w:w="80" w:type="dxa"/>
              <w:bottom w:w="80" w:type="dxa"/>
              <w:left w:w="120" w:type="dxa"/>
              <w:right w:w="120" w:type="dxa"/>
            </w:tcMar>
            <w:shd w:fill="F2F4F7"/>
          </w:tcPr>
          <w:p>
            <w:r>
              <w:rPr>
                <w:color w:val="333333"/>
                <w:sz w:val="19"/>
              </w:rPr>
              <w:t>Front Matter (p. 2)</w:t>
            </w:r>
          </w:p>
        </w:tc>
        <w:tc>
          <w:tcPr>
            <w:tcW w:type="dxa" w:w="2340"/>
            <w:tcMar>
              <w:top w:w="80" w:type="dxa"/>
              <w:bottom w:w="80" w:type="dxa"/>
              <w:left w:w="120" w:type="dxa"/>
              <w:right w:w="120" w:type="dxa"/>
            </w:tcMar>
            <w:shd w:fill="F2F4F7"/>
          </w:tcPr>
          <w:p>
            <w:r>
              <w:rPr>
                <w:color w:val="333333"/>
                <w:sz w:val="19"/>
              </w:rPr>
              <w:t>Leftover MS Word template text: *"Click (or Ctrl + Click)... choose 'Update Field'..."*</w:t>
            </w:r>
          </w:p>
        </w:tc>
        <w:tc>
          <w:tcPr>
            <w:tcW w:type="dxa" w:w="2340"/>
            <w:tcMar>
              <w:top w:w="80" w:type="dxa"/>
              <w:bottom w:w="80" w:type="dxa"/>
              <w:left w:w="120" w:type="dxa"/>
              <w:right w:w="120" w:type="dxa"/>
            </w:tcMar>
            <w:shd w:fill="F2F4F7"/>
          </w:tcPr>
          <w:p>
            <w:r>
              <w:rPr>
                <w:color w:val="333333"/>
                <w:sz w:val="19"/>
              </w:rPr>
              <w:t>Delete the prompt entirely. Insert clean, professional Table of Contents.</w:t>
            </w:r>
          </w:p>
        </w:tc>
      </w:tr>
      <w:tr>
        <w:tc>
          <w:tcPr>
            <w:tcW w:type="dxa" w:w="2340"/>
            <w:tcMar>
              <w:top w:w="80" w:type="dxa"/>
              <w:bottom w:w="80" w:type="dxa"/>
              <w:left w:w="120" w:type="dxa"/>
              <w:right w:w="120" w:type="dxa"/>
            </w:tcMar>
            <w:shd w:fill="FFFFFF"/>
          </w:tcPr>
          <w:p>
            <w:r>
              <w:rPr>
                <w:color w:val="333333"/>
                <w:sz w:val="19"/>
              </w:rPr>
              <w:t>1.2</w:t>
            </w:r>
          </w:p>
        </w:tc>
        <w:tc>
          <w:tcPr>
            <w:tcW w:type="dxa" w:w="2340"/>
            <w:tcMar>
              <w:top w:w="80" w:type="dxa"/>
              <w:bottom w:w="80" w:type="dxa"/>
              <w:left w:w="120" w:type="dxa"/>
              <w:right w:w="120" w:type="dxa"/>
            </w:tcMar>
            <w:shd w:fill="FFFFFF"/>
          </w:tcPr>
          <w:p>
            <w:r>
              <w:rPr>
                <w:color w:val="333333"/>
                <w:sz w:val="19"/>
              </w:rPr>
              <w:t>Title &amp; Abbreviations (pp. 1, 5, 7)</w:t>
            </w:r>
          </w:p>
        </w:tc>
        <w:tc>
          <w:tcPr>
            <w:tcW w:type="dxa" w:w="2340"/>
            <w:tcMar>
              <w:top w:w="80" w:type="dxa"/>
              <w:bottom w:w="80" w:type="dxa"/>
              <w:left w:w="120" w:type="dxa"/>
              <w:right w:w="120" w:type="dxa"/>
            </w:tcMar>
            <w:shd w:fill="FFFFFF"/>
          </w:tcPr>
          <w:p>
            <w:r>
              <w:rPr>
                <w:color w:val="333333"/>
                <w:sz w:val="19"/>
              </w:rPr>
              <w:t>Acronym mismatch: Title uses CBE; body and acronyms define CBC.</w:t>
            </w:r>
          </w:p>
        </w:tc>
        <w:tc>
          <w:tcPr>
            <w:tcW w:type="dxa" w:w="2340"/>
            <w:tcMar>
              <w:top w:w="80" w:type="dxa"/>
              <w:bottom w:w="80" w:type="dxa"/>
              <w:left w:w="120" w:type="dxa"/>
              <w:right w:w="120" w:type="dxa"/>
            </w:tcMar>
            <w:shd w:fill="FFFFFF"/>
          </w:tcPr>
          <w:p>
            <w:r>
              <w:rPr>
                <w:color w:val="333333"/>
                <w:sz w:val="19"/>
              </w:rPr>
              <w:t>Standardize on CBC/CBE: Define CBE (*Competency-Based Education*) in Abbreviations and explain its relationship with CBC (*Competency-Based Curriculum*).</w:t>
            </w:r>
          </w:p>
        </w:tc>
      </w:tr>
      <w:tr>
        <w:tc>
          <w:tcPr>
            <w:tcW w:type="dxa" w:w="2340"/>
            <w:tcMar>
              <w:top w:w="80" w:type="dxa"/>
              <w:bottom w:w="80" w:type="dxa"/>
              <w:left w:w="120" w:type="dxa"/>
              <w:right w:w="120" w:type="dxa"/>
            </w:tcMar>
            <w:shd w:fill="F2F4F7"/>
          </w:tcPr>
          <w:p>
            <w:r>
              <w:rPr>
                <w:color w:val="333333"/>
                <w:sz w:val="19"/>
              </w:rPr>
              <w:t>1.3</w:t>
            </w:r>
          </w:p>
        </w:tc>
        <w:tc>
          <w:tcPr>
            <w:tcW w:type="dxa" w:w="2340"/>
            <w:tcMar>
              <w:top w:w="80" w:type="dxa"/>
              <w:bottom w:w="80" w:type="dxa"/>
              <w:left w:w="120" w:type="dxa"/>
              <w:right w:w="120" w:type="dxa"/>
            </w:tcMar>
            <w:shd w:fill="F2F4F7"/>
          </w:tcPr>
          <w:p>
            <w:r>
              <w:rPr>
                <w:color w:val="333333"/>
                <w:sz w:val="19"/>
              </w:rPr>
              <w:t>Definitions (pp. 5–6, 11)</w:t>
            </w:r>
          </w:p>
        </w:tc>
        <w:tc>
          <w:tcPr>
            <w:tcW w:type="dxa" w:w="2340"/>
            <w:tcMar>
              <w:top w:w="80" w:type="dxa"/>
              <w:bottom w:w="80" w:type="dxa"/>
              <w:left w:w="120" w:type="dxa"/>
              <w:right w:w="120" w:type="dxa"/>
            </w:tcMar>
            <w:shd w:fill="F2F4F7"/>
          </w:tcPr>
          <w:p>
            <w:r>
              <w:rPr>
                <w:color w:val="333333"/>
                <w:sz w:val="19"/>
              </w:rPr>
              <w:t>Duplicate operational definitions in both Front Matter and Section 1.15.</w:t>
            </w:r>
          </w:p>
        </w:tc>
        <w:tc>
          <w:tcPr>
            <w:tcW w:type="dxa" w:w="2340"/>
            <w:tcMar>
              <w:top w:w="80" w:type="dxa"/>
              <w:bottom w:w="80" w:type="dxa"/>
              <w:left w:w="120" w:type="dxa"/>
              <w:right w:w="120" w:type="dxa"/>
            </w:tcMar>
            <w:shd w:fill="F2F4F7"/>
          </w:tcPr>
          <w:p>
            <w:r>
              <w:rPr>
                <w:color w:val="333333"/>
                <w:sz w:val="19"/>
              </w:rPr>
              <w:t>Consolidate: Delete duplicate front-matter definition block; maintain Section 1.15 in Chapter One as per university guidelines.</w:t>
            </w:r>
          </w:p>
        </w:tc>
      </w:tr>
      <w:tr>
        <w:tc>
          <w:tcPr>
            <w:tcW w:type="dxa" w:w="2340"/>
            <w:tcMar>
              <w:top w:w="80" w:type="dxa"/>
              <w:bottom w:w="80" w:type="dxa"/>
              <w:left w:w="120" w:type="dxa"/>
              <w:right w:w="120" w:type="dxa"/>
            </w:tcMar>
            <w:shd w:fill="FFFFFF"/>
          </w:tcPr>
          <w:p>
            <w:r>
              <w:rPr>
                <w:color w:val="333333"/>
                <w:sz w:val="19"/>
              </w:rPr>
              <w:t>1.4</w:t>
            </w:r>
          </w:p>
        </w:tc>
        <w:tc>
          <w:tcPr>
            <w:tcW w:type="dxa" w:w="2340"/>
            <w:tcMar>
              <w:top w:w="80" w:type="dxa"/>
              <w:bottom w:w="80" w:type="dxa"/>
              <w:left w:w="120" w:type="dxa"/>
              <w:right w:w="120" w:type="dxa"/>
            </w:tcMar>
            <w:shd w:fill="FFFFFF"/>
          </w:tcPr>
          <w:p>
            <w:r>
              <w:rPr>
                <w:color w:val="333333"/>
                <w:sz w:val="19"/>
              </w:rPr>
              <w:t>Framework Terminology (pp. 5, 15)</w:t>
            </w:r>
          </w:p>
        </w:tc>
        <w:tc>
          <w:tcPr>
            <w:tcW w:type="dxa" w:w="2340"/>
            <w:tcMar>
              <w:top w:w="80" w:type="dxa"/>
              <w:bottom w:w="80" w:type="dxa"/>
              <w:left w:w="120" w:type="dxa"/>
              <w:right w:w="120" w:type="dxa"/>
            </w:tcMar>
            <w:shd w:fill="FFFFFF"/>
          </w:tcPr>
          <w:p>
            <w:r>
              <w:rPr>
                <w:color w:val="333333"/>
                <w:sz w:val="19"/>
              </w:rPr>
              <w:t>Mentions ADDE instead of industry standard ADDIE.</w:t>
            </w:r>
          </w:p>
        </w:tc>
        <w:tc>
          <w:tcPr>
            <w:tcW w:type="dxa" w:w="2340"/>
            <w:tcMar>
              <w:top w:w="80" w:type="dxa"/>
              <w:bottom w:w="80" w:type="dxa"/>
              <w:left w:w="120" w:type="dxa"/>
              <w:right w:w="120" w:type="dxa"/>
            </w:tcMar>
            <w:shd w:fill="FFFFFF"/>
          </w:tcPr>
          <w:p>
            <w:r>
              <w:rPr>
                <w:color w:val="333333"/>
                <w:sz w:val="19"/>
              </w:rPr>
              <w:t>Update to ADDIE (*Analysis, Design, Development, Implementation, Evaluation*) or explicitly note why Implementation is compressed into Design-Development.</w:t>
            </w:r>
          </w:p>
        </w:tc>
      </w:tr>
      <w:tr>
        <w:tc>
          <w:tcPr>
            <w:tcW w:type="dxa" w:w="2340"/>
            <w:tcMar>
              <w:top w:w="80" w:type="dxa"/>
              <w:bottom w:w="80" w:type="dxa"/>
              <w:left w:w="120" w:type="dxa"/>
              <w:right w:w="120" w:type="dxa"/>
            </w:tcMar>
            <w:shd w:fill="F2F4F7"/>
          </w:tcPr>
          <w:p>
            <w:r>
              <w:rPr>
                <w:color w:val="333333"/>
                <w:sz w:val="19"/>
              </w:rPr>
              <w:t>1.5</w:t>
            </w:r>
          </w:p>
        </w:tc>
        <w:tc>
          <w:tcPr>
            <w:tcW w:type="dxa" w:w="2340"/>
            <w:tcMar>
              <w:top w:w="80" w:type="dxa"/>
              <w:bottom w:w="80" w:type="dxa"/>
              <w:left w:w="120" w:type="dxa"/>
              <w:right w:w="120" w:type="dxa"/>
            </w:tcMar>
            <w:shd w:fill="F2F4F7"/>
          </w:tcPr>
          <w:p>
            <w:r>
              <w:rPr>
                <w:color w:val="333333"/>
                <w:sz w:val="19"/>
              </w:rPr>
              <w:t>Backend Runtime (Section 3.6, p. 19)</w:t>
            </w:r>
          </w:p>
        </w:tc>
        <w:tc>
          <w:tcPr>
            <w:tcW w:type="dxa" w:w="2340"/>
            <w:tcMar>
              <w:top w:w="80" w:type="dxa"/>
              <w:bottom w:w="80" w:type="dxa"/>
              <w:left w:w="120" w:type="dxa"/>
              <w:right w:w="120" w:type="dxa"/>
            </w:tcMar>
            <w:shd w:fill="F2F4F7"/>
          </w:tcPr>
          <w:p>
            <w:r>
              <w:rPr>
                <w:color w:val="333333"/>
                <w:sz w:val="19"/>
              </w:rPr>
              <w:t>Cites Node.js 18, which reached official End-of-Life (EOL) in April 2025.</w:t>
            </w:r>
          </w:p>
        </w:tc>
        <w:tc>
          <w:tcPr>
            <w:tcW w:type="dxa" w:w="2340"/>
            <w:tcMar>
              <w:top w:w="80" w:type="dxa"/>
              <w:bottom w:w="80" w:type="dxa"/>
              <w:left w:w="120" w:type="dxa"/>
              <w:right w:w="120" w:type="dxa"/>
            </w:tcMar>
            <w:shd w:fill="F2F4F7"/>
          </w:tcPr>
          <w:p>
            <w:r>
              <w:rPr>
                <w:color w:val="333333"/>
                <w:sz w:val="19"/>
              </w:rPr>
              <w:t>Update to Node.js 20 LTS or Node.js 22 LTS, matching the actual repository package.json ("node": "&gt;=20.0.0").</w:t>
            </w:r>
          </w:p>
        </w:tc>
      </w:tr>
      <w:tr>
        <w:tc>
          <w:tcPr>
            <w:tcW w:type="dxa" w:w="2340"/>
            <w:tcMar>
              <w:top w:w="80" w:type="dxa"/>
              <w:bottom w:w="80" w:type="dxa"/>
              <w:left w:w="120" w:type="dxa"/>
              <w:right w:w="120" w:type="dxa"/>
            </w:tcMar>
            <w:shd w:fill="FFFFFF"/>
          </w:tcPr>
          <w:p>
            <w:r>
              <w:rPr>
                <w:color w:val="333333"/>
                <w:sz w:val="19"/>
              </w:rPr>
              <w:t>1.6</w:t>
            </w:r>
          </w:p>
        </w:tc>
        <w:tc>
          <w:tcPr>
            <w:tcW w:type="dxa" w:w="2340"/>
            <w:tcMar>
              <w:top w:w="80" w:type="dxa"/>
              <w:bottom w:w="80" w:type="dxa"/>
              <w:left w:w="120" w:type="dxa"/>
              <w:right w:w="120" w:type="dxa"/>
            </w:tcMar>
            <w:shd w:fill="FFFFFF"/>
          </w:tcPr>
          <w:p>
            <w:r>
              <w:rPr>
                <w:color w:val="333333"/>
                <w:sz w:val="19"/>
              </w:rPr>
              <w:t>Voice &amp; Pronoun (Section 3.15, p. 22)</w:t>
            </w:r>
          </w:p>
        </w:tc>
        <w:tc>
          <w:tcPr>
            <w:tcW w:type="dxa" w:w="2340"/>
            <w:tcMar>
              <w:top w:w="80" w:type="dxa"/>
              <w:bottom w:w="80" w:type="dxa"/>
              <w:left w:w="120" w:type="dxa"/>
              <w:right w:w="120" w:type="dxa"/>
            </w:tcMar>
            <w:shd w:fill="FFFFFF"/>
          </w:tcPr>
          <w:p>
            <w:r>
              <w:rPr>
                <w:color w:val="333333"/>
                <w:sz w:val="19"/>
              </w:rPr>
              <w:t>Unexpected shift to first person: *"I will also work with County Education offices..."*</w:t>
            </w:r>
          </w:p>
        </w:tc>
        <w:tc>
          <w:tcPr>
            <w:tcW w:type="dxa" w:w="2340"/>
            <w:tcMar>
              <w:top w:w="80" w:type="dxa"/>
              <w:bottom w:w="80" w:type="dxa"/>
              <w:left w:w="120" w:type="dxa"/>
              <w:right w:w="120" w:type="dxa"/>
            </w:tcMar>
            <w:shd w:fill="FFFFFF"/>
          </w:tcPr>
          <w:p>
            <w:r>
              <w:rPr>
                <w:color w:val="333333"/>
                <w:sz w:val="19"/>
              </w:rPr>
              <w:t>Rewrite in objective scholarly voice: *"The researcher will collaborate with County Education offices and CEMASTEA..."*</w:t>
            </w:r>
          </w:p>
        </w:tc>
      </w:tr>
      <w:tr>
        <w:tc>
          <w:tcPr>
            <w:tcW w:type="dxa" w:w="2340"/>
            <w:tcMar>
              <w:top w:w="80" w:type="dxa"/>
              <w:bottom w:w="80" w:type="dxa"/>
              <w:left w:w="120" w:type="dxa"/>
              <w:right w:w="120" w:type="dxa"/>
            </w:tcMar>
            <w:shd w:fill="F2F4F7"/>
          </w:tcPr>
          <w:p>
            <w:r>
              <w:rPr>
                <w:color w:val="333333"/>
                <w:sz w:val="19"/>
              </w:rPr>
              <w:t>1.7</w:t>
            </w:r>
          </w:p>
        </w:tc>
        <w:tc>
          <w:tcPr>
            <w:tcW w:type="dxa" w:w="2340"/>
            <w:tcMar>
              <w:top w:w="80" w:type="dxa"/>
              <w:bottom w:w="80" w:type="dxa"/>
              <w:left w:w="120" w:type="dxa"/>
              <w:right w:w="120" w:type="dxa"/>
            </w:tcMar>
            <w:shd w:fill="F2F4F7"/>
          </w:tcPr>
          <w:p>
            <w:r>
              <w:rPr>
                <w:color w:val="333333"/>
                <w:sz w:val="19"/>
              </w:rPr>
              <w:t>Institutional Governance (Section 4.13, p. 25)</w:t>
            </w:r>
          </w:p>
        </w:tc>
        <w:tc>
          <w:tcPr>
            <w:tcW w:type="dxa" w:w="2340"/>
            <w:tcMar>
              <w:top w:w="80" w:type="dxa"/>
              <w:bottom w:w="80" w:type="dxa"/>
              <w:left w:w="120" w:type="dxa"/>
              <w:right w:w="120" w:type="dxa"/>
            </w:tcMar>
            <w:shd w:fill="F2F4F7"/>
          </w:tcPr>
          <w:p>
            <w:r>
              <w:rPr>
                <w:color w:val="333333"/>
                <w:sz w:val="19"/>
              </w:rPr>
              <w:t>Recommends *County Education Boards* allocate capitation grants for tablets.</w:t>
            </w:r>
          </w:p>
        </w:tc>
        <w:tc>
          <w:tcPr>
            <w:tcW w:type="dxa" w:w="2340"/>
            <w:tcMar>
              <w:top w:w="80" w:type="dxa"/>
              <w:bottom w:w="80" w:type="dxa"/>
              <w:left w:w="120" w:type="dxa"/>
              <w:right w:w="120" w:type="dxa"/>
            </w:tcMar>
            <w:shd w:fill="F2F4F7"/>
          </w:tcPr>
          <w:p>
            <w:r>
              <w:rPr>
                <w:color w:val="333333"/>
                <w:sz w:val="19"/>
              </w:rPr>
              <w:t>Correct governance framework: Direct capitation recommendations to the Ministry of Education (State Department for Basic Education) under Free Day Secondary Education (FDSE), and infrastructure equipment funding to NG-CDF (National Government Constituencies Development Fund) committees. Relegate CEBs to regional coordination.</w:t>
            </w:r>
          </w:p>
        </w:tc>
      </w:tr>
      <w:tr>
        <w:tc>
          <w:tcPr>
            <w:tcW w:type="dxa" w:w="2340"/>
            <w:tcMar>
              <w:top w:w="80" w:type="dxa"/>
              <w:bottom w:w="80" w:type="dxa"/>
              <w:left w:w="120" w:type="dxa"/>
              <w:right w:w="120" w:type="dxa"/>
            </w:tcMar>
            <w:shd w:fill="FFFFFF"/>
          </w:tcPr>
          <w:p>
            <w:r>
              <w:rPr>
                <w:color w:val="333333"/>
                <w:sz w:val="19"/>
              </w:rPr>
              <w:t>1.8</w:t>
            </w:r>
          </w:p>
        </w:tc>
        <w:tc>
          <w:tcPr>
            <w:tcW w:type="dxa" w:w="2340"/>
            <w:tcMar>
              <w:top w:w="80" w:type="dxa"/>
              <w:bottom w:w="80" w:type="dxa"/>
              <w:left w:w="120" w:type="dxa"/>
              <w:right w:w="120" w:type="dxa"/>
            </w:tcMar>
            <w:shd w:fill="FFFFFF"/>
          </w:tcPr>
          <w:p>
            <w:r>
              <w:rPr>
                <w:color w:val="333333"/>
                <w:sz w:val="19"/>
              </w:rPr>
              <w:t>Expansion Module Consistency (Sections 3.15 vs. 4.15)</w:t>
            </w:r>
          </w:p>
        </w:tc>
        <w:tc>
          <w:tcPr>
            <w:tcW w:type="dxa" w:w="2340"/>
            <w:tcMar>
              <w:top w:w="80" w:type="dxa"/>
              <w:bottom w:w="80" w:type="dxa"/>
              <w:left w:w="120" w:type="dxa"/>
              <w:right w:w="120" w:type="dxa"/>
            </w:tcMar>
            <w:shd w:fill="FFFFFF"/>
          </w:tcPr>
          <w:p>
            <w:r>
              <w:rPr>
                <w:color w:val="333333"/>
                <w:sz w:val="19"/>
              </w:rPr>
              <w:t>Mismatched module naming: *"focal length determinations / enzyme kinetics"* vs. *"lens focal lengths / enzyme digestion"*.</w:t>
            </w:r>
          </w:p>
        </w:tc>
        <w:tc>
          <w:tcPr>
            <w:tcW w:type="dxa" w:w="2340"/>
            <w:tcMar>
              <w:top w:w="80" w:type="dxa"/>
              <w:bottom w:w="80" w:type="dxa"/>
              <w:left w:w="120" w:type="dxa"/>
              <w:right w:w="120" w:type="dxa"/>
            </w:tcMar>
            <w:shd w:fill="FFFFFF"/>
          </w:tcPr>
          <w:p>
            <w:r>
              <w:rPr>
                <w:color w:val="333333"/>
                <w:sz w:val="19"/>
              </w:rPr>
              <w:t>Standardize across both sections: *"thin lens focal length determinations"* (Physics) and *"digestive enzyme kinetics"* (Biology).</w:t>
            </w:r>
          </w:p>
        </w:tc>
      </w:tr>
    </w:tbl>
    <w:p>
      <w:pPr>
        <w:spacing w:after="120"/>
      </w:pPr>
    </w:p>
    <w:p>
      <w:pPr>
        <w:spacing w:before="80" w:after="80"/>
      </w:pPr>
      <w:r>
        <w:rPr>
          <w:color w:val="CCCCCC"/>
        </w:rPr>
        <w:t>――――――――――――――――――――――――――――――――――――――――――――――――――</w:t>
      </w:r>
    </w:p>
    <w:p>
      <w:pPr>
        <w:spacing w:before="160" w:after="40"/>
      </w:pPr>
      <w:r>
        <w:rPr>
          <w:b/>
          <w:color w:val="2E5B88"/>
          <w:sz w:val="24"/>
        </w:rPr>
        <w:t>Phase 2: Curricular &amp; Assessment Alignment</w:t>
      </w:r>
    </w:p>
    <w:p>
      <w:pPr>
        <w:pStyle w:val="ListBullet"/>
        <w:spacing w:after="40" w:line="276" w:lineRule="auto"/>
      </w:pPr>
      <w:r/>
      <w:r>
        <w:rPr>
          <w:b/>
        </w:rPr>
        <w:t>Target Days:</w:t>
      </w:r>
      <w:r>
        <w:t xml:space="preserve"> Day 2</w:t>
      </w:r>
    </w:p>
    <w:p>
      <w:pPr>
        <w:pStyle w:val="ListBullet"/>
        <w:spacing w:after="40" w:line="276" w:lineRule="auto"/>
      </w:pPr>
      <w:r/>
      <w:r>
        <w:rPr>
          <w:b/>
        </w:rPr>
        <w:t>Objective:</w:t>
      </w:r>
      <w:r>
        <w:t xml:space="preserve"> Align all simulation topics, past paper banks, and linguistic scaffolding strictly with KICD standards, KNEC Paper 3 marking schemes, and the CBC Senior School transition.</w:t>
      </w:r>
    </w:p>
    <w:p>
      <w:pPr>
        <w:spacing w:before="120" w:after="40"/>
      </w:pPr>
      <w:r>
        <w:rPr>
          <w:b/>
          <w:color w:val="333333"/>
          <w:sz w:val="22"/>
        </w:rPr>
        <w:t>2.1 Purge Post-Secondary Content &amp; Reconcile Volumetric Models</w:t>
      </w:r>
    </w:p>
    <w:p>
      <w:pPr>
        <w:pStyle w:val="ListBullet"/>
        <w:spacing w:after="40" w:line="276" w:lineRule="auto"/>
      </w:pPr>
      <w:r/>
      <w:r>
        <w:rPr>
          <w:b/>
        </w:rPr>
        <w:t>Problem in V10:</w:t>
      </w:r>
      <w:r>
        <w:t xml:space="preserve"> Table 3.1 and Section 3.8 include *Complexometric titrations* (EDTA chelation) and *Precipitation titrations* (Mohr argentometry) under KCSE Paper 3 (233/3) volumetric analysis. These are university-level analytical chemistry topics not tested in KCSE Paper 3.</w:t>
      </w:r>
    </w:p>
    <w:p>
      <w:pPr>
        <w:pStyle w:val="ListBullet"/>
        <w:spacing w:after="40" w:line="276" w:lineRule="auto"/>
      </w:pPr>
      <w:r/>
      <w:r>
        <w:rPr>
          <w:b/>
        </w:rPr>
        <w:t>Revision Action:</w:t>
      </w:r>
      <w:r/>
    </w:p>
    <w:p>
      <w:pPr>
        <w:pStyle w:val="ListNumber"/>
        <w:spacing w:after="40" w:line="276" w:lineRule="auto"/>
      </w:pPr>
      <w:r>
        <w:t>Remove Complexometric and Argentometric titrations from the KCSE Paper 3 Question 1 volumetric scope.</w:t>
      </w:r>
    </w:p>
    <w:p>
      <w:pPr>
        <w:pStyle w:val="ListNumber"/>
        <w:spacing w:after="40" w:line="276" w:lineRule="auto"/>
      </w:pPr>
      <w:r>
        <w:t>Replace them with authentic KNEC volumetric practicals:</w:t>
      </w:r>
    </w:p>
    <w:p>
      <w:pPr>
        <w:pStyle w:val="ListBullet"/>
        <w:spacing w:after="40" w:line="276" w:lineRule="auto"/>
      </w:pPr>
      <w:r/>
      <w:r>
        <w:rPr>
          <w:b/>
        </w:rPr>
        <w:t>Direct Acid-Base Neutralisation:</w:t>
      </w:r>
      <w:r>
        <w:t xml:space="preserve"> e.g., $\text{HCl}$ vs $\text{Na}_2\text{CO}_3$ / $\text{NaOH}$.</w:t>
      </w:r>
    </w:p>
    <w:p>
      <w:pPr>
        <w:pStyle w:val="ListBullet"/>
        <w:spacing w:after="40" w:line="276" w:lineRule="auto"/>
      </w:pPr>
      <w:r/>
      <w:r>
        <w:rPr>
          <w:b/>
        </w:rPr>
        <w:t>Back-Titration / Displacement Titration:</w:t>
      </w:r>
      <w:r>
        <w:t xml:space="preserve"> e.g., determining the percentage purity of impure chalk or magnesium ribbon reaction with excess standard acid followed by back-titration.</w:t>
      </w:r>
    </w:p>
    <w:p>
      <w:pPr>
        <w:pStyle w:val="ListBullet"/>
        <w:spacing w:after="40" w:line="276" w:lineRule="auto"/>
      </w:pPr>
      <w:r/>
      <w:r>
        <w:rPr>
          <w:b/>
        </w:rPr>
        <w:t>Redox Volumetric Analysis:</w:t>
      </w:r>
      <w:r>
        <w:t xml:space="preserve"> e.g., Standardised acidified $\text{KMnO}_4$ vs Ammonium Iron(II) sulphate, or Sodium thiosulphate vs lodine ($\text{Na}_2\text{S}_2\text{O}_3 / \text{I}_2$ starch indicator).</w:t>
      </w:r>
    </w:p>
    <w:p>
      <w:pPr>
        <w:pStyle w:val="ListBullet"/>
        <w:spacing w:after="40" w:line="276" w:lineRule="auto"/>
      </w:pPr>
      <w:r/>
      <w:r>
        <w:rPr>
          <w:b/>
        </w:rPr>
        <w:t>Water of Crystallisation / Molar Mass Determination:</w:t>
      </w:r>
      <w:r>
        <w:t xml:space="preserve"> e.g., Ethanedioic acid crystals ($\text{H}_2\text{C}_2\text{O}_4 \cdot x\text{H}_2\text{O}$).</w:t>
      </w:r>
    </w:p>
    <w:p>
      <w:pPr>
        <w:spacing w:before="120" w:after="40"/>
      </w:pPr>
      <w:r>
        <w:rPr>
          <w:b/>
          <w:color w:val="333333"/>
          <w:sz w:val="22"/>
        </w:rPr>
        <w:t>2.2 Modernize Past-Paper Question Bank</w:t>
      </w:r>
    </w:p>
    <w:p>
      <w:pPr>
        <w:pStyle w:val="ListBullet"/>
        <w:spacing w:after="40" w:line="276" w:lineRule="auto"/>
      </w:pPr>
      <w:r/>
      <w:r>
        <w:rPr>
          <w:b/>
        </w:rPr>
        <w:t>Problem in V10:</w:t>
      </w:r>
      <w:r>
        <w:t xml:space="preserve"> Section 3.7 and 3.8 cite past papers from `1989–2013` (omitting the last 12 years of exams).</w:t>
      </w:r>
    </w:p>
    <w:p>
      <w:pPr>
        <w:pStyle w:val="ListBullet"/>
        <w:spacing w:after="40" w:line="276" w:lineRule="auto"/>
      </w:pPr>
      <w:r/>
      <w:r>
        <w:rPr>
          <w:b/>
        </w:rPr>
        <w:t>Revision Action:</w:t>
      </w:r>
      <w:r>
        <w:t xml:space="preserve"> Expand the corpus to `2010–2025`. Highlight contemporary KNEC practical formats, including recent variations in qualitative reporting tables, concordant averaging rules, and thermochemical/stoichiometric curve calculations.</w:t>
      </w:r>
    </w:p>
    <w:p>
      <w:pPr>
        <w:spacing w:before="120" w:after="40"/>
      </w:pPr>
      <w:r>
        <w:rPr>
          <w:b/>
          <w:color w:val="333333"/>
          <w:sz w:val="22"/>
        </w:rPr>
        <w:t>2.3 Establish the Bridge to CBC Senior Secondary STEM Pathways</w:t>
      </w:r>
    </w:p>
    <w:p>
      <w:pPr>
        <w:pStyle w:val="ListBullet"/>
        <w:spacing w:after="40" w:line="276" w:lineRule="auto"/>
      </w:pPr>
      <w:r/>
      <w:r>
        <w:rPr>
          <w:b/>
        </w:rPr>
        <w:t>Problem in V10:</w:t>
      </w:r>
      <w:r>
        <w:t xml:space="preserve"> Proposal claims to serve CBC learners, but references only legacy 8-4-4 Form 1–4 curriculum designs.</w:t>
      </w:r>
    </w:p>
    <w:p>
      <w:pPr>
        <w:pStyle w:val="ListBullet"/>
        <w:spacing w:after="40" w:line="276" w:lineRule="auto"/>
      </w:pPr>
      <w:r/>
      <w:r>
        <w:rPr>
          <w:b/>
        </w:rPr>
        <w:t>Revision Action:</w:t>
      </w:r>
      <w:r/>
    </w:p>
    <w:p>
      <w:pPr>
        <w:pStyle w:val="ListNumber"/>
        <w:spacing w:after="40" w:line="276" w:lineRule="auto"/>
      </w:pPr>
      <w:r>
        <w:t xml:space="preserve">Add citations to the </w:t>
      </w:r>
      <w:r>
        <w:rPr>
          <w:b/>
        </w:rPr>
        <w:t>KICD (2024) Senior School Curriculum Designs: Pure Sciences STEM Pathway (Grades 10–12 Chemistry)</w:t>
      </w:r>
      <w:r>
        <w:t>.</w:t>
      </w:r>
    </w:p>
    <w:p>
      <w:pPr>
        <w:pStyle w:val="ListNumber"/>
        <w:spacing w:after="40" w:line="276" w:lineRule="auto"/>
      </w:pPr>
      <w:r>
        <w:t>Add a dedicated column in Table 3.1 mapping each virtual lab module to:</w:t>
      </w:r>
    </w:p>
    <w:p>
      <w:pPr>
        <w:pStyle w:val="ListBullet"/>
        <w:spacing w:after="40" w:line="276" w:lineRule="auto"/>
      </w:pPr>
      <w:r>
        <w:t>8-4-4 Form 1–4 Syllabus Units (Forms 3 &amp; 4 Volumetric &amp; Qualitative Analysis).</w:t>
      </w:r>
    </w:p>
    <w:p>
      <w:pPr>
        <w:pStyle w:val="ListBullet"/>
        <w:spacing w:after="40" w:line="276" w:lineRule="auto"/>
      </w:pPr>
      <w:r>
        <w:t>CBC Senior School Strands &amp; Sub-Strands (e.g., *Matter: Quantitative Chemical Relationships; Inorganic Chemical Reactions*).</w:t>
      </w:r>
    </w:p>
    <w:p>
      <w:pPr>
        <w:pStyle w:val="ListBullet"/>
        <w:spacing w:after="40" w:line="276" w:lineRule="auto"/>
      </w:pPr>
      <w:r>
        <w:t>Competency-Based Assessment (CBA) practical rubric criteria.</w:t>
      </w:r>
    </w:p>
    <w:p>
      <w:pPr>
        <w:spacing w:before="120" w:after="40"/>
      </w:pPr>
      <w:r>
        <w:rPr>
          <w:b/>
          <w:color w:val="333333"/>
          <w:sz w:val="22"/>
        </w:rPr>
        <w:t>2.4 Eliminate the Kiswahili Marking Penalty Trap</w:t>
      </w:r>
    </w:p>
    <w:p>
      <w:pPr>
        <w:pStyle w:val="ListBullet"/>
        <w:spacing w:after="40" w:line="276" w:lineRule="auto"/>
      </w:pPr>
      <w:r/>
      <w:r>
        <w:rPr>
          <w:b/>
        </w:rPr>
        <w:t>Problem in V10:</w:t>
      </w:r>
      <w:r>
        <w:t xml:space="preserve"> KNEC KCSE Paper 3 strictly penalizes observations written in Kiswahili. If students write *"rangi ya kahawia"* or *"mchanga mweupe"*, they receive 0 marks.</w:t>
      </w:r>
    </w:p>
    <w:p>
      <w:pPr>
        <w:pStyle w:val="ListBullet"/>
        <w:spacing w:after="40" w:line="276" w:lineRule="auto"/>
      </w:pPr>
      <w:r/>
      <w:r>
        <w:rPr>
          <w:b/>
        </w:rPr>
        <w:t>Revision Action:</w:t>
      </w:r>
      <w:r>
        <w:t xml:space="preserve"> Explicitly state the linguistic operational boundary:</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*"Bilingual English/Kiswahili toggles are operationalized exclusively in Guided Mode to scaffold conceptual mechanisms, chemical safety warnings, and procedural prompts. Crucially, to prevent negative linguistic transfer during national assessments, all official data tables, qualitative observation records, inference drop-downs, and Exam Mode trials strictly enforce standard KNEC English chemical nomenclature."*</w:t>
            </w:r>
          </w:p>
        </w:tc>
      </w:tr>
    </w:tbl>
    <w:p>
      <w:pPr>
        <w:spacing w:before="80" w:after="80"/>
      </w:pPr>
      <w:r>
        <w:rPr>
          <w:color w:val="CCCCCC"/>
        </w:rPr>
        <w:t>――――――――――――――――――――――――――――――――――――――――――――――――――</w:t>
      </w:r>
    </w:p>
    <w:p>
      <w:pPr>
        <w:spacing w:before="160" w:after="40"/>
      </w:pPr>
      <w:r>
        <w:rPr>
          <w:b/>
          <w:color w:val="2E5B88"/>
          <w:sz w:val="24"/>
        </w:rPr>
        <w:t>Phase 3: Literature Review, Benchmarking Matrix &amp; Citation Overhaul</w:t>
      </w:r>
    </w:p>
    <w:p>
      <w:pPr>
        <w:pStyle w:val="ListBullet"/>
        <w:spacing w:after="40" w:line="276" w:lineRule="auto"/>
      </w:pPr>
      <w:r/>
      <w:r>
        <w:rPr>
          <w:b/>
        </w:rPr>
        <w:t>Target Days:</w:t>
      </w:r>
      <w:r>
        <w:t xml:space="preserve"> Days 3–4</w:t>
      </w:r>
    </w:p>
    <w:p>
      <w:pPr>
        <w:pStyle w:val="ListBullet"/>
        <w:spacing w:after="40" w:line="276" w:lineRule="auto"/>
      </w:pPr>
      <w:r/>
      <w:r>
        <w:rPr>
          <w:b/>
        </w:rPr>
        <w:t>Objective:</w:t>
      </w:r>
      <w:r>
        <w:t xml:space="preserve"> Restore scholarly integrity, benchmark against national and Global South platforms, and audit every bibliographic entry.</w:t>
      </w:r>
    </w:p>
    <w:p>
      <w:pPr>
        <w:spacing w:before="120" w:after="40"/>
      </w:pPr>
      <w:r>
        <w:rPr>
          <w:b/>
          <w:color w:val="333333"/>
          <w:sz w:val="22"/>
        </w:rPr>
        <w:t>3.1 Integrate CEMASTEA Virtual Labs &amp; Global South Baselines</w:t>
      </w:r>
    </w:p>
    <w:p>
      <w:pPr>
        <w:pStyle w:val="ListBullet"/>
        <w:spacing w:after="40" w:line="276" w:lineRule="auto"/>
      </w:pPr>
      <w:r/>
      <w:r>
        <w:rPr>
          <w:b/>
        </w:rPr>
        <w:t>Problem in V10:</w:t>
      </w:r>
      <w:r>
        <w:t xml:space="preserve"> Proposal claims all virtual labs are foreign/commercial (PhET, Labster) and that Kenyan schools lack any localized platforms. This ignores the official </w:t>
      </w:r>
      <w:r>
        <w:rPr>
          <w:b/>
        </w:rPr>
        <w:t>CEMASTEA Virtual Labs Platform</w:t>
      </w:r>
      <w:r>
        <w:t xml:space="preserve"> (`virtuallabs.cemastea.ac.ke`) and Global South precedents like </w:t>
      </w:r>
      <w:r>
        <w:rPr>
          <w:b/>
        </w:rPr>
        <w:t>Amrita OLabs</w:t>
      </w:r>
      <w:r>
        <w:t>.</w:t>
      </w:r>
    </w:p>
    <w:p>
      <w:pPr>
        <w:pStyle w:val="ListBullet"/>
        <w:spacing w:after="40" w:line="276" w:lineRule="auto"/>
      </w:pPr>
      <w:r/>
      <w:r>
        <w:rPr>
          <w:b/>
        </w:rPr>
        <w:t>Revision Action:</w:t>
      </w:r>
      <w:r>
        <w:t xml:space="preserve"> Update Section 1.3, Section 2.4, and Table 2.2:</w:t>
      </w:r>
    </w:p>
    <w:p>
      <w:pPr>
        <w:pStyle w:val="ListBullet"/>
        <w:spacing w:after="40" w:line="276" w:lineRule="auto"/>
      </w:pPr>
      <w:r/>
      <w:r>
        <w:rPr>
          <w:b/>
        </w:rPr>
        <w:t>CEMASTEA Virtual Labs (`virtuallabs.cemastea.ac.ke`):</w:t>
      </w:r>
      <w:r>
        <w:t xml:space="preserve"> Acknowledge the national platform developed under the Ministry of Education. Articulate VirtuLab Kenya’s complementary innovations: zero-install lightweight PWA ($&lt;3.5\text{ MB}$ vs. heavier portal assets), client-side offline Service Worker caching on 1 GB RAM devices, bilingual Kiswahili scaffolding, and strict automated enforcement of KNEC $\pm 0.10\text{ cm}^3$ concordance table grading.</w:t>
      </w:r>
    </w:p>
    <w:p>
      <w:pPr>
        <w:pStyle w:val="ListBullet"/>
        <w:spacing w:after="40" w:line="276" w:lineRule="auto"/>
      </w:pPr>
      <w:r/>
      <w:r>
        <w:rPr>
          <w:b/>
        </w:rPr>
        <w:t>Amrita OLabs (India):</w:t>
      </w:r>
      <w:r>
        <w:t xml:space="preserve"> Benchmark against OLabs as a proven Global South model for offline, board-exam-aligned secondary practical simulations.</w:t>
      </w:r>
    </w:p>
    <w:p>
      <w:pPr>
        <w:pStyle w:val="ListBullet"/>
        <w:spacing w:after="40" w:line="276" w:lineRule="auto"/>
      </w:pPr>
      <w:r/>
      <w:r>
        <w:rPr>
          <w:b/>
        </w:rPr>
        <w:t>Correct Inaccurate Claims:</w:t>
      </w:r>
      <w:r>
        <w:t xml:space="preserve"> Correct Table 2.2: PhET 2D HTML5 simulations do not require WebGL (Canvas/SVG fallbacks); PhET has a dedicated Swahili translation portal; ChemCollective provides downloadable offline installers.</w:t>
      </w:r>
    </w:p>
    <w:p>
      <w:pPr>
        <w:spacing w:before="120" w:after="40"/>
      </w:pPr>
      <w:r>
        <w:rPr>
          <w:b/>
          <w:color w:val="333333"/>
          <w:sz w:val="22"/>
        </w:rPr>
        <w:t>3.2 Align TAM 3 Theoretical Constructs</w:t>
      </w:r>
    </w:p>
    <w:p>
      <w:pPr>
        <w:pStyle w:val="ListBullet"/>
        <w:spacing w:after="40" w:line="276" w:lineRule="auto"/>
      </w:pPr>
      <w:r/>
      <w:r>
        <w:rPr>
          <w:b/>
        </w:rPr>
        <w:t>Problem in V10:</w:t>
      </w:r>
      <w:r>
        <w:t xml:space="preserve"> Proposal describes "Facilitating Conditions" as a direct determinant of Behavioural Intention within TAM 3. In TAM 3 (Venkatesh &amp; Bala, 2008), organizational support is operationalized as </w:t>
      </w:r>
      <w:r>
        <w:rPr>
          <w:b/>
        </w:rPr>
        <w:t>Perceptions of External Control (PEC)</w:t>
      </w:r>
      <w:r>
        <w:t xml:space="preserve">, an anchor for *Perceived Ease of Use*. Facilitating Conditions as a direct determinant originates in </w:t>
      </w:r>
      <w:r>
        <w:rPr>
          <w:b/>
        </w:rPr>
        <w:t>UTAUT</w:t>
      </w:r>
      <w:r>
        <w:t>.</w:t>
      </w:r>
    </w:p>
    <w:p>
      <w:pPr>
        <w:pStyle w:val="ListBullet"/>
        <w:spacing w:after="40" w:line="276" w:lineRule="auto"/>
      </w:pPr>
      <w:r/>
      <w:r>
        <w:rPr>
          <w:b/>
        </w:rPr>
        <w:t>Revision Action:</w:t>
      </w:r>
      <w:r>
        <w:t xml:space="preserve"> Update Section 2.3.3 and Table 2.1:</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*"Within the Technology Acceptance Model 3 (TAM 3; Venkatesh &amp; Bala, 2008), external technical and infrastructure factors are operationalized through Perceptions of External Control (PEC), which directly anchors Perceived Ease of Use (PEOU). Facilitating Conditions are adapted alongside PEC to assess the availability of offline-ready hardware and laboratory rotation support."*</w:t>
            </w:r>
          </w:p>
        </w:tc>
      </w:tr>
    </w:tbl>
    <w:p>
      <w:pPr>
        <w:spacing w:before="120" w:after="40"/>
      </w:pPr>
      <w:r>
        <w:rPr>
          <w:b/>
          <w:color w:val="333333"/>
          <w:sz w:val="22"/>
        </w:rPr>
        <w:t>3.3 Connect Bybee’s 5E Instructional Model</w:t>
      </w:r>
    </w:p>
    <w:p>
      <w:pPr>
        <w:pStyle w:val="ListBullet"/>
        <w:spacing w:after="40" w:line="276" w:lineRule="auto"/>
      </w:pPr>
      <w:r/>
      <w:r>
        <w:rPr>
          <w:b/>
        </w:rPr>
        <w:t>Revision Action:</w:t>
      </w:r>
      <w:r>
        <w:t xml:space="preserve"> Directly integrate Bybee's (2009) 5E model (*Engage, Explore, Explain, Elaborate, Evaluate*) into Section 2.3 (Theoretical Framework) and map each phase to VirtuLab Kenya's dual-mode interface:</w:t>
      </w:r>
    </w:p>
    <w:p>
      <w:pPr>
        <w:pStyle w:val="ListBullet"/>
        <w:spacing w:after="40" w:line="276" w:lineRule="auto"/>
      </w:pPr>
      <w:r/>
      <w:r>
        <w:rPr>
          <w:b/>
        </w:rPr>
        <w:t>Engage:</w:t>
      </w:r>
      <w:r>
        <w:t xml:space="preserve"> Interactive apparatus inspection and safety briefings in Guided Mode.</w:t>
      </w:r>
    </w:p>
    <w:p>
      <w:pPr>
        <w:pStyle w:val="ListBullet"/>
        <w:spacing w:after="40" w:line="276" w:lineRule="auto"/>
      </w:pPr>
      <w:r/>
      <w:r>
        <w:rPr>
          <w:b/>
        </w:rPr>
        <w:t>Explore:</w:t>
      </w:r>
      <w:r>
        <w:t xml:space="preserve"> Drop-wise burette titration and flame test manipulation on HTML5 Canvas.</w:t>
      </w:r>
    </w:p>
    <w:p>
      <w:pPr>
        <w:pStyle w:val="ListBullet"/>
        <w:spacing w:after="40" w:line="276" w:lineRule="auto"/>
      </w:pPr>
      <w:r/>
      <w:r>
        <w:rPr>
          <w:b/>
        </w:rPr>
        <w:t>Explain:</w:t>
      </w:r>
      <w:r>
        <w:t xml:space="preserve"> Bilingual popover explanations of indicator pH transitions and chemical equations.</w:t>
      </w:r>
    </w:p>
    <w:p>
      <w:pPr>
        <w:pStyle w:val="ListBullet"/>
        <w:spacing w:after="40" w:line="276" w:lineRule="auto"/>
      </w:pPr>
      <w:r/>
      <w:r>
        <w:rPr>
          <w:b/>
        </w:rPr>
        <w:t>Elaborate:</w:t>
      </w:r>
      <w:r>
        <w:t xml:space="preserve"> Complex stoichiometric calculations and multi-step qualitative salt deduction trees.</w:t>
      </w:r>
    </w:p>
    <w:p>
      <w:pPr>
        <w:pStyle w:val="ListBullet"/>
        <w:spacing w:after="40" w:line="276" w:lineRule="auto"/>
      </w:pPr>
      <w:r/>
      <w:r>
        <w:rPr>
          <w:b/>
        </w:rPr>
        <w:t>Evaluate:</w:t>
      </w:r>
      <w:r>
        <w:t xml:space="preserve"> Timed, unscaffolded KCSE 40-mark Exam Mode with automated KNEC rubric grading.</w:t>
      </w:r>
    </w:p>
    <w:p>
      <w:pPr>
        <w:spacing w:before="120" w:after="40"/>
      </w:pPr>
      <w:r>
        <w:rPr>
          <w:b/>
          <w:color w:val="333333"/>
          <w:sz w:val="22"/>
        </w:rPr>
        <w:t>3.4 Bibliographic &amp; DOI Audit Plan</w:t>
      </w:r>
    </w:p>
    <w:p>
      <w:pPr>
        <w:pStyle w:val="ListBullet"/>
        <w:spacing w:after="40" w:line="276" w:lineRule="auto"/>
      </w:pPr>
      <w:r/>
      <w:r>
        <w:rPr>
          <w:b/>
        </w:rPr>
        <w:t>Revision Action:</w:t>
      </w:r>
      <w:r>
        <w:t xml:space="preserve"> Audit and update the reference list:</w:t>
      </w:r>
    </w:p>
    <w:p>
      <w:pPr>
        <w:pStyle w:val="ListNumber"/>
        <w:spacing w:after="40" w:line="276" w:lineRule="auto"/>
      </w:pPr>
      <w:r>
        <w:t xml:space="preserve">Fix </w:t>
      </w:r>
      <w:r>
        <w:rPr>
          <w:b/>
        </w:rPr>
        <w:t>Chebii, Wachanga, &amp; Kiboss (2012)</w:t>
      </w:r>
      <w:r>
        <w:t>: *Creative Education*, 3(8), 1291–1296. DOI: `10.4236/ce.2012.38188`.</w:t>
      </w:r>
    </w:p>
    <w:p>
      <w:pPr>
        <w:pStyle w:val="ListNumber"/>
        <w:spacing w:after="40" w:line="276" w:lineRule="auto"/>
      </w:pPr>
      <w:r>
        <w:t xml:space="preserve">Fix </w:t>
      </w:r>
      <w:r>
        <w:rPr>
          <w:b/>
        </w:rPr>
        <w:t>Nizeyimana &amp; Musengimana (2026)</w:t>
      </w:r>
      <w:r>
        <w:t>: Research Square DOI: `10.21203/rs.3.rs-9403467/v1`.</w:t>
      </w:r>
    </w:p>
    <w:p>
      <w:pPr>
        <w:pStyle w:val="ListNumber"/>
        <w:spacing w:after="40" w:line="276" w:lineRule="auto"/>
      </w:pPr>
      <w:r>
        <w:t xml:space="preserve">Fix </w:t>
      </w:r>
      <w:r>
        <w:rPr>
          <w:b/>
        </w:rPr>
        <w:t>Gitira (2025)</w:t>
      </w:r>
      <w:r>
        <w:t>: *East African Journal of Education Studies*, 8(3), 180–190. DOI: `10.37284/eajes.8.3.3454`.</w:t>
      </w:r>
    </w:p>
    <w:p>
      <w:pPr>
        <w:pStyle w:val="ListNumber"/>
        <w:spacing w:after="40" w:line="276" w:lineRule="auto"/>
      </w:pPr>
      <w:r>
        <w:t xml:space="preserve">Fix </w:t>
      </w:r>
      <w:r>
        <w:rPr>
          <w:b/>
        </w:rPr>
        <w:t>Brooke (1996)</w:t>
      </w:r>
      <w:r>
        <w:t>: Reclassify as an edited book chapter in *Usability Evaluation in Industry* (Jordan et al., Eds.), Taylor &amp; Francis, pp. 189–194.</w:t>
      </w:r>
    </w:p>
    <w:p>
      <w:pPr>
        <w:pStyle w:val="ListNumber"/>
        <w:spacing w:after="40" w:line="276" w:lineRule="auto"/>
      </w:pPr>
      <w:r>
        <w:t>Replace broken regional citations (</w:t>
      </w:r>
      <w:r>
        <w:rPr>
          <w:b/>
        </w:rPr>
        <w:t>Awuor &amp; Ndiege, 2022; Amadalo et al., 2012; Wabwoba, 2021</w:t>
      </w:r>
      <w:r>
        <w:t>) with verified, indexed peer-reviewed studies on Kenyan science education and mobile learning (e.g., Mtebe &amp; Raisamo, 2014; Sifuna &amp; Kaime, 2007; CEMASTEA national impact reports).</w:t>
      </w:r>
    </w:p>
    <w:p>
      <w:pPr>
        <w:pStyle w:val="ListNumber"/>
        <w:spacing w:after="40" w:line="276" w:lineRule="auto"/>
      </w:pPr>
      <w:r>
        <w:t xml:space="preserve">Add formal references for </w:t>
      </w:r>
      <w:r>
        <w:rPr>
          <w:b/>
        </w:rPr>
        <w:t>Spielberger (STAI)</w:t>
      </w:r>
      <w:r>
        <w:t xml:space="preserve">, </w:t>
      </w:r>
      <w:r>
        <w:rPr>
          <w:b/>
        </w:rPr>
        <w:t>Labster</w:t>
      </w:r>
      <w:r>
        <w:t xml:space="preserve">, </w:t>
      </w:r>
      <w:r>
        <w:rPr>
          <w:b/>
        </w:rPr>
        <w:t>ChemCollective</w:t>
      </w:r>
      <w:r>
        <w:t xml:space="preserve">, </w:t>
      </w:r>
      <w:r>
        <w:rPr>
          <w:b/>
        </w:rPr>
        <w:t>CEMASTEA (2024)</w:t>
      </w:r>
      <w:r>
        <w:t xml:space="preserve">, and </w:t>
      </w:r>
      <w:r>
        <w:rPr>
          <w:b/>
        </w:rPr>
        <w:t>Nedungadi et al. (2013, OLabs)</w:t>
      </w:r>
      <w:r>
        <w:t>.</w:t>
      </w:r>
    </w:p>
    <w:p>
      <w:pPr>
        <w:spacing w:before="80" w:after="80"/>
      </w:pPr>
      <w:r>
        <w:rPr>
          <w:color w:val="CCCCCC"/>
        </w:rPr>
        <w:t>――――――――――――――――――――――――――――――――――――――――――――――――――</w:t>
      </w:r>
    </w:p>
    <w:p>
      <w:pPr>
        <w:spacing w:before="160" w:after="40"/>
      </w:pPr>
      <w:r>
        <w:rPr>
          <w:b/>
          <w:color w:val="2E5B88"/>
          <w:sz w:val="24"/>
        </w:rPr>
        <w:t>Phase 4: Methodological &amp; Statistical Re-Engineering</w:t>
      </w:r>
    </w:p>
    <w:p>
      <w:pPr>
        <w:pStyle w:val="ListBullet"/>
        <w:spacing w:after="40" w:line="276" w:lineRule="auto"/>
      </w:pPr>
      <w:r/>
      <w:r>
        <w:rPr>
          <w:b/>
        </w:rPr>
        <w:t>Target Days:</w:t>
      </w:r>
      <w:r>
        <w:t xml:space="preserve"> Days 5–6</w:t>
      </w:r>
    </w:p>
    <w:p>
      <w:pPr>
        <w:pStyle w:val="ListBullet"/>
        <w:spacing w:after="40" w:line="276" w:lineRule="auto"/>
      </w:pPr>
      <w:r/>
      <w:r>
        <w:rPr>
          <w:b/>
        </w:rPr>
        <w:t>Objective:</w:t>
      </w:r>
      <w:r>
        <w:t xml:space="preserve"> Resolve all statistical non-independence issues, decouple hypotheses, balance sample sizes, and establish psychometric rigor.</w:t>
      </w:r>
    </w:p>
    <w:p>
      <w:pPr>
        <w:spacing w:before="120" w:after="40"/>
      </w:pPr>
      <w:r>
        <w:rPr>
          <w:b/>
          <w:color w:val="333333"/>
          <w:sz w:val="22"/>
        </w:rPr>
        <w:t>4.1 Decouple Hypotheses and Add Affective Test Pair</w:t>
      </w:r>
    </w:p>
    <w:p>
      <w:pPr>
        <w:pStyle w:val="ListBullet"/>
        <w:spacing w:after="40" w:line="276" w:lineRule="auto"/>
      </w:pPr>
      <w:r/>
      <w:r>
        <w:rPr>
          <w:b/>
        </w:rPr>
        <w:t>Problem in V10:</w:t>
      </w:r>
      <w:r>
        <w:t xml:space="preserve"> $H_1$ conflates relative ANCOVA between-group tests ($\mu_{\text{exp}} &gt; \mu_{\text{ctrl}}$) with an absolute benchmark ($g \ge 0.40$). Affective anxiety reduction (RQ4) lacks formal statistical hypotheses.</w:t>
      </w:r>
    </w:p>
    <w:p>
      <w:pPr>
        <w:pStyle w:val="ListBullet"/>
        <w:spacing w:after="40" w:line="276" w:lineRule="auto"/>
      </w:pPr>
      <w:r/>
      <w:r>
        <w:rPr>
          <w:b/>
        </w:rPr>
        <w:t>Revision Action:</w:t>
      </w:r>
      <w:r>
        <w:t xml:space="preserve"> Update Section 1.9 and Section 2.6.7:</w:t>
      </w:r>
    </w:p>
    <w:p>
      <w:pPr>
        <w:pStyle w:val="ListBullet"/>
        <w:spacing w:after="40" w:line="276" w:lineRule="auto"/>
      </w:pPr>
      <w:r/>
      <w:r>
        <w:rPr>
          <w:b/>
        </w:rPr>
        <w:t>Hypothesis Pair 1 (Cognitive Achievement — CPCAT):</w:t>
      </w:r>
      <w:r/>
    </w:p>
    <w:p>
      <w:pPr>
        <w:pStyle w:val="ListBullet"/>
        <w:spacing w:after="40" w:line="276" w:lineRule="auto"/>
      </w:pPr>
      <w:r>
        <w:t>$H_{01}$: There is no statistically significant difference in adjusted post-test KCSE Chemistry Paper 3 achievement scores between learners instructed using VirtuLab Kenya and learners instructed through conventional methods ($\alpha = 0.05$).</w:t>
      </w:r>
    </w:p>
    <w:p>
      <w:pPr>
        <w:pStyle w:val="ListBullet"/>
        <w:spacing w:after="40" w:line="276" w:lineRule="auto"/>
      </w:pPr>
      <w:r>
        <w:t>$H_{A1}$: Learners instructed using VirtuLab Kenya achieve statistically significantly higher adjusted post-test KCSE Chemistry Paper 3 achievement scores than learners instructed through conventional methods ($\alpha = 0.05$).</w:t>
      </w:r>
    </w:p>
    <w:p>
      <w:pPr>
        <w:pStyle w:val="ListBullet"/>
        <w:spacing w:after="40" w:line="276" w:lineRule="auto"/>
      </w:pPr>
      <w:r/>
      <w:r>
        <w:rPr>
          <w:b/>
        </w:rPr>
        <w:t>Descriptive Benchmark Target (Hake's Gain):</w:t>
      </w:r>
      <w:r/>
    </w:p>
    <w:p>
      <w:pPr>
        <w:pStyle w:val="ListBullet"/>
        <w:spacing w:after="40" w:line="276" w:lineRule="auto"/>
      </w:pPr>
      <w:r>
        <w:t>The experimental cohort will achieve a mean normalised learning gain $\langle g \rangle \ge 0.40$ (medium-to-high gain threshold).</w:t>
      </w:r>
    </w:p>
    <w:p>
      <w:pPr>
        <w:pStyle w:val="ListBullet"/>
        <w:spacing w:after="40" w:line="276" w:lineRule="auto"/>
      </w:pPr>
      <w:r/>
      <w:r>
        <w:rPr>
          <w:b/>
        </w:rPr>
        <w:t>Hypothesis Pair 2 (Affective Anxiety Reduction — CPAS):</w:t>
      </w:r>
      <w:r/>
    </w:p>
    <w:p>
      <w:pPr>
        <w:pStyle w:val="ListBullet"/>
        <w:spacing w:after="40" w:line="276" w:lineRule="auto"/>
      </w:pPr>
      <w:r>
        <w:t>$H_{02}$: There is no statistically significant difference in post-intervention Chemistry Practical Anxiety Scale (CPAS) scores between experimental and control cohorts, controlling for baseline anxiety ($\alpha = 0.05$).</w:t>
      </w:r>
    </w:p>
    <w:p>
      <w:pPr>
        <w:pStyle w:val="ListBullet"/>
        <w:spacing w:after="40" w:line="276" w:lineRule="auto"/>
      </w:pPr>
      <w:r>
        <w:t>$H_{A2}$: Learners utilizing VirtuLab Kenya demonstrate statistically significantly lower post-intervention practical anxiety scores compared to control learners ($\alpha = 0.05$).</w:t>
      </w:r>
    </w:p>
    <w:p>
      <w:pPr>
        <w:spacing w:before="120" w:after="40"/>
      </w:pPr>
      <w:r>
        <w:rPr>
          <w:b/>
          <w:color w:val="333333"/>
          <w:sz w:val="22"/>
        </w:rPr>
        <w:t>4.2 Account for Clustering via Linear Mixed-Effects Models (LMM)</w:t>
      </w:r>
    </w:p>
    <w:p>
      <w:pPr>
        <w:pStyle w:val="ListBullet"/>
        <w:spacing w:after="40" w:line="276" w:lineRule="auto"/>
      </w:pPr>
      <w:r/>
      <w:r>
        <w:rPr>
          <w:b/>
        </w:rPr>
        <w:t>Problem in V10:</w:t>
      </w:r>
      <w:r>
        <w:t xml:space="preserve"> Nested student data (600 students across 20 classrooms in 10 schools) violates ANCOVA's independence assumption due to Intraclass Correlation (ICC).</w:t>
      </w:r>
    </w:p>
    <w:p>
      <w:pPr>
        <w:pStyle w:val="ListBullet"/>
        <w:spacing w:after="40" w:line="276" w:lineRule="auto"/>
      </w:pPr>
      <w:r/>
      <w:r>
        <w:rPr>
          <w:b/>
        </w:rPr>
        <w:t>Revision Action:</w:t>
      </w:r>
      <w:r>
        <w:t xml:space="preserve"> In Section 2.6.7 and Section 4.5, replace standard one-way ANCOVA with a </w:t>
      </w:r>
      <w:r>
        <w:rPr>
          <w:b/>
        </w:rPr>
        <w:t>Two-Level Linear Mixed-Effects Model (LMM)</w:t>
      </w:r>
      <w:r>
        <w:t>:</w:t>
      </w:r>
    </w:p>
    <w:p>
      <w:pPr>
        <w:spacing w:after="80" w:line="276" w:lineRule="auto"/>
      </w:pPr>
      <w:r>
        <w:t>$$\text{PostCPCAT}_{ij} = \beta_0 + \beta_1(\text{PreCPCAT}_{ij}) + \beta_2(\text{Treatment}_j) + \beta_3(\text{Stratum}_j) + \beta_4(\text{Treatment}_j \times \text{Stratum}_j) + u_j + \epsilon_{ij}$$</w:t>
      </w:r>
    </w:p>
    <w:p>
      <w:pPr>
        <w:pStyle w:val="ListBullet"/>
        <w:spacing w:after="40" w:line="276" w:lineRule="auto"/>
      </w:pPr>
      <w:r>
        <w:t>$i$: student index; $j$: school/classroom cluster index.</w:t>
      </w:r>
    </w:p>
    <w:p>
      <w:pPr>
        <w:pStyle w:val="ListBullet"/>
        <w:spacing w:after="40" w:line="276" w:lineRule="auto"/>
      </w:pPr>
      <w:r>
        <w:t>$u_j \sim \mathcal{N}(0, \sigma_u^2)$: random intercept capturing classroom/school clustering.</w:t>
      </w:r>
    </w:p>
    <w:p>
      <w:pPr>
        <w:pStyle w:val="ListBullet"/>
        <w:spacing w:after="40" w:line="276" w:lineRule="auto"/>
      </w:pPr>
      <w:r>
        <w:t>$\epsilon_{ij} \sim \mathcal{N}(0, \sigma_e^2)$: individual residual error.</w:t>
      </w:r>
    </w:p>
    <w:p>
      <w:pPr>
        <w:pStyle w:val="ListBullet"/>
        <w:spacing w:after="40" w:line="276" w:lineRule="auto"/>
      </w:pPr>
      <w:r>
        <w:t>Include Cluster-Robust Standard Errors (CRSE) as a sensitivity test.</w:t>
      </w:r>
    </w:p>
    <w:p>
      <w:pPr>
        <w:spacing w:before="120" w:after="40"/>
      </w:pPr>
      <w:r>
        <w:rPr>
          <w:b/>
          <w:color w:val="333333"/>
          <w:sz w:val="22"/>
        </w:rPr>
        <w:t>4.3 Reconcile Sample Sizes &amp; Database Audit Targets</w:t>
      </w:r>
    </w:p>
    <w:p>
      <w:pPr>
        <w:pStyle w:val="ListBullet"/>
        <w:spacing w:after="40" w:line="276" w:lineRule="auto"/>
      </w:pPr>
      <w:r/>
      <w:r>
        <w:rPr>
          <w:b/>
        </w:rPr>
        <w:t>Problem in V10:</w:t>
      </w:r>
      <w:r>
        <w:t xml:space="preserve"> Table 2.3 lists 300 Sub-County students across 5 schools (split into ~150 Experimental and ~150 Control). Table 4.1 sets a target of "$\ge 300$ active Sub-County student accounts" in the database.</w:t>
      </w:r>
    </w:p>
    <w:p>
      <w:pPr>
        <w:pStyle w:val="ListBullet"/>
        <w:spacing w:after="40" w:line="276" w:lineRule="auto"/>
      </w:pPr>
      <w:r/>
      <w:r>
        <w:rPr>
          <w:b/>
        </w:rPr>
        <w:t>Revision Action:</w:t>
      </w:r>
      <w:r>
        <w:t xml:space="preserve"> Update Table 4.1:</w:t>
      </w:r>
    </w:p>
    <w:p>
      <w:pPr>
        <w:pStyle w:val="ListBullet"/>
        <w:spacing w:after="40" w:line="276" w:lineRule="auto"/>
      </w:pPr>
      <w:r>
        <w:t>Specify: *"Database audit verifying $\ge 150$ unique active Sub-County student accounts during the 10-week experimental intervention."*</w:t>
      </w:r>
    </w:p>
    <w:p>
      <w:pPr>
        <w:pStyle w:val="ListBullet"/>
        <w:spacing w:after="40" w:line="276" w:lineRule="auto"/>
      </w:pPr>
      <w:r>
        <w:t>Add: *"Following post-test administration, the untreated control cohort will participate in a 2-day delayed-treatment (waitlist crossover) workshop, bringing cumulative registered active Sub-County accounts to $\ge 300$."*</w:t>
      </w:r>
    </w:p>
    <w:p>
      <w:pPr>
        <w:spacing w:before="120" w:after="40"/>
      </w:pPr>
      <w:r>
        <w:rPr>
          <w:b/>
          <w:color w:val="333333"/>
          <w:sz w:val="22"/>
        </w:rPr>
        <w:t>4.4 Define Unit of Assignment &amp; Contamination Barriers</w:t>
      </w:r>
    </w:p>
    <w:p>
      <w:pPr>
        <w:pStyle w:val="ListBullet"/>
        <w:spacing w:after="40" w:line="276" w:lineRule="auto"/>
      </w:pPr>
      <w:r/>
      <w:r>
        <w:rPr>
          <w:b/>
        </w:rPr>
        <w:t>Revision Action:</w:t>
      </w:r>
      <w:r/>
    </w:p>
    <w:p>
      <w:pPr>
        <w:pStyle w:val="ListNumber"/>
        <w:spacing w:after="40" w:line="276" w:lineRule="auto"/>
      </w:pPr>
      <w:r>
        <w:t xml:space="preserve">Specify a </w:t>
      </w:r>
      <w:r>
        <w:rPr>
          <w:b/>
        </w:rPr>
        <w:t>within-school parallel stream quasi-experimental design</w:t>
      </w:r>
      <w:r>
        <w:t xml:space="preserve"> in multi-stream schools (Stream A = Experimental, Stream B = Control), ensuring identical teacher instructional baseline.</w:t>
      </w:r>
    </w:p>
    <w:p>
      <w:pPr>
        <w:pStyle w:val="ListNumber"/>
        <w:spacing w:after="40" w:line="276" w:lineRule="auto"/>
      </w:pPr>
      <w:r>
        <w:t xml:space="preserve">Implement </w:t>
      </w:r>
      <w:r>
        <w:rPr>
          <w:b/>
        </w:rPr>
        <w:t>Cohort Token Access Controls</w:t>
      </w:r>
      <w:r>
        <w:t>: Experimental accounts require an encrypted activation token (`EXP-xxxx`). Control students cannot access simulation modules until after post-test completion.</w:t>
      </w:r>
    </w:p>
    <w:p>
      <w:pPr>
        <w:pStyle w:val="ListNumber"/>
        <w:spacing w:after="40" w:line="276" w:lineRule="auto"/>
      </w:pPr>
      <w:r>
        <w:t>Formally justify geographic selection of Nairobi, Kiambu, and Machakos: proximate for intense weekly researcher site visits and hardware distribution, while including rural peri-urban sub-county day schools (Machakos/Kiambu) and informal settlement schools (Nairobi) that lack physical laboratories.</w:t>
      </w:r>
    </w:p>
    <w:p>
      <w:pPr>
        <w:spacing w:before="120" w:after="40"/>
      </w:pPr>
      <w:r>
        <w:rPr>
          <w:b/>
          <w:color w:val="333333"/>
          <w:sz w:val="22"/>
        </w:rPr>
        <w:t>4.5 CPCAT Psychometrics &amp; Scope Framing</w:t>
      </w:r>
    </w:p>
    <w:p>
      <w:pPr>
        <w:pStyle w:val="ListBullet"/>
        <w:spacing w:after="40" w:line="276" w:lineRule="auto"/>
      </w:pPr>
      <w:r/>
      <w:r>
        <w:rPr>
          <w:b/>
        </w:rPr>
        <w:t>Revision Action:</w:t>
      </w:r>
      <w:r/>
    </w:p>
    <w:p>
      <w:pPr>
        <w:pStyle w:val="ListNumber"/>
        <w:spacing w:after="40" w:line="276" w:lineRule="auto"/>
      </w:pPr>
      <w:r>
        <w:t xml:space="preserve">Explicitly state in Section 2.6.3 that the written 40-mark CPCAT measures </w:t>
      </w:r>
      <w:r>
        <w:rPr>
          <w:b/>
        </w:rPr>
        <w:t>cognitive and procedural practical readiness</w:t>
      </w:r>
      <w:r>
        <w:t xml:space="preserve"> (meniscus interpolation, table tabulation, stoichiometric deduction), rather than </w:t>
      </w:r>
      <w:r>
        <w:rPr>
          <w:b/>
        </w:rPr>
        <w:t>tactile psychomotor dexterity</w:t>
      </w:r>
      <w:r>
        <w:t xml:space="preserve"> (e.g., burette tap physical control).</w:t>
      </w:r>
    </w:p>
    <w:p>
      <w:pPr>
        <w:pStyle w:val="ListNumber"/>
        <w:spacing w:after="40" w:line="276" w:lineRule="auto"/>
      </w:pPr>
      <w:r>
        <w:t>Report psychometric reliability protocols in Section 2.6.5: Kuder-Richardson Formula 20 ($\text{KR-20} \ge 0.80$) for binary/item-level CPCAT consistency, and Cohen’s Kappa / Intra-Class Correlation ($\text{ICC} \ge 0.85$) across certified KNEC examiners marking open-ended calculation and observation scripts.</w:t>
      </w:r>
    </w:p>
    <w:p>
      <w:pPr>
        <w:spacing w:before="80" w:after="80"/>
      </w:pPr>
      <w:r>
        <w:rPr>
          <w:color w:val="CCCCCC"/>
        </w:rPr>
        <w:t>――――――――――――――――――――――――――――――――――――――――――――――――――</w:t>
      </w:r>
    </w:p>
    <w:p>
      <w:pPr>
        <w:spacing w:before="160" w:after="40"/>
      </w:pPr>
      <w:r>
        <w:rPr>
          <w:b/>
          <w:color w:val="2E5B88"/>
          <w:sz w:val="24"/>
        </w:rPr>
        <w:t>Phase 5: Technical Architecture, Shared Hardware &amp; Offline Multi-Tenancy</w:t>
      </w:r>
    </w:p>
    <w:p>
      <w:pPr>
        <w:pStyle w:val="ListBullet"/>
        <w:spacing w:after="40" w:line="276" w:lineRule="auto"/>
      </w:pPr>
      <w:r/>
      <w:r>
        <w:rPr>
          <w:b/>
        </w:rPr>
        <w:t>Target Days:</w:t>
      </w:r>
      <w:r>
        <w:t xml:space="preserve"> Days 7–8</w:t>
      </w:r>
    </w:p>
    <w:p>
      <w:pPr>
        <w:pStyle w:val="ListBullet"/>
        <w:spacing w:after="40" w:line="276" w:lineRule="auto"/>
      </w:pPr>
      <w:r/>
      <w:r>
        <w:rPr>
          <w:b/>
        </w:rPr>
        <w:t>Objective:</w:t>
      </w:r>
      <w:r>
        <w:t xml:space="preserve"> Eliminate operational bottlenecks in offline, low-resource classrooms sharing devices.</w:t>
      </w:r>
    </w:p>
    <w:p>
      <w:pPr>
        <w:spacing w:before="120" w:after="40"/>
      </w:pPr>
      <w:r>
        <w:rPr>
          <w:b/>
          <w:color w:val="333333"/>
          <w:sz w:val="22"/>
        </w:rPr>
        <w:t>5.1 Re-engineer Hardware Deployment: The Mobile Rotating Kit</w:t>
      </w:r>
    </w:p>
    <w:p>
      <w:pPr>
        <w:pStyle w:val="ListBullet"/>
        <w:spacing w:after="40" w:line="276" w:lineRule="auto"/>
      </w:pPr>
      <w:r/>
      <w:r>
        <w:rPr>
          <w:b/>
        </w:rPr>
        <w:t>Problem in V10:</w:t>
      </w:r>
      <w:r>
        <w:t xml:space="preserve"> 10 tablets distributed permanently across 5 schools = </w:t>
      </w:r>
      <w:r>
        <w:rPr>
          <w:b/>
        </w:rPr>
        <w:t>2 tablets per school</w:t>
      </w:r>
      <w:r>
        <w:t>. In classes of 50–60 students, 2 tablets cannot support weekly lessons or timed mock exams.</w:t>
      </w:r>
    </w:p>
    <w:p>
      <w:pPr>
        <w:pStyle w:val="ListBullet"/>
        <w:spacing w:after="40" w:line="276" w:lineRule="auto"/>
      </w:pPr>
      <w:r/>
      <w:r>
        <w:rPr>
          <w:b/>
        </w:rPr>
        <w:t>Revision Action:</w:t>
      </w:r>
      <w:r>
        <w:t xml:space="preserve"> In Section 3.10, Table 3.3, and Section 4.10, replace permanent 2-tablet distribution with a </w:t>
      </w:r>
      <w:r>
        <w:rPr>
          <w:b/>
        </w:rPr>
        <w:t>Centralized Mobile Laboratory Kit</w:t>
      </w:r>
      <w:r>
        <w: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ensure adequate time-on-task, the study procures a centralized mobile kit of 15 ruggedized Android tablets housed in a protective transport case with high-capacity solar charging banks. The kit is rotated sequentially across the five participating sub-county day schools on scheduled practical days, supporting 30 learners in 2:1 paired-learning dyads during 80-minute double laboratory periods."*</w:t>
            </w:r>
          </w:p>
        </w:tc>
      </w:tr>
    </w:tbl>
    <w:p>
      <w:pPr>
        <w:spacing w:before="120" w:after="40"/>
      </w:pPr>
      <w:r>
        <w:rPr>
          <w:b/>
          <w:color w:val="333333"/>
          <w:sz w:val="22"/>
        </w:rPr>
        <w:t>5.2 Offline Multi-Tenant Authentication &amp; Session Isolation</w:t>
      </w:r>
    </w:p>
    <w:p>
      <w:pPr>
        <w:pStyle w:val="ListBullet"/>
        <w:spacing w:after="40" w:line="276" w:lineRule="auto"/>
      </w:pPr>
      <w:r/>
      <w:r>
        <w:rPr>
          <w:b/>
        </w:rPr>
        <w:t>Problem in V10:</w:t>
      </w:r>
      <w:r>
        <w:t xml:space="preserve"> Remote JWT/bcrypt authentication fails during internet outages. Origin-scoped `localStorage` causes rotating students on shared tablets to overwrite each other’s session progress and corrupt telemetry logs.</w:t>
      </w:r>
    </w:p>
    <w:p>
      <w:pPr>
        <w:pStyle w:val="ListBullet"/>
        <w:spacing w:after="40" w:line="276" w:lineRule="auto"/>
      </w:pPr>
      <w:r/>
      <w:r>
        <w:rPr>
          <w:b/>
        </w:rPr>
        <w:t>Revision Action:</w:t>
      </w:r>
      <w:r>
        <w:t xml:space="preserve"> In Section 3.4 and Section 3.6, detail the </w:t>
      </w:r>
      <w:r>
        <w:rPr>
          <w:b/>
        </w:rPr>
        <w:t>Offline Multi-Tenant Client Architecture</w:t>
      </w:r>
      <w:r>
        <w:t>:</w:t>
      </w:r>
    </w:p>
    <w:p>
      <w:pPr>
        <w:pStyle w:val="ListNumber"/>
        <w:spacing w:after="40" w:line="276" w:lineRule="auto"/>
      </w:pPr>
      <w:r/>
      <w:r>
        <w:rPr>
          <w:b/>
        </w:rPr>
        <w:t>Pre-Cached Credential Roster:</w:t>
      </w:r>
      <w:r>
        <w:t xml:space="preserve"> During initial teacher setup, the PWA syncs the pseudonymised class roster (`STU-001` to `STU-060`) and pre-computed SHA-256 local PIN hashes into an `IndexedDB` object store (`auth_roster`).</w:t>
      </w:r>
    </w:p>
    <w:p>
      <w:pPr>
        <w:pStyle w:val="ListNumber"/>
        <w:spacing w:after="40" w:line="276" w:lineRule="auto"/>
      </w:pPr>
      <w:r/>
      <w:r>
        <w:rPr>
          <w:b/>
        </w:rPr>
        <w:t>Namespaced Storage in IndexedDB:</w:t>
      </w:r>
      <w:r>
        <w:t xml:space="preserve"> Completely eliminate generic `localStorage` for session data. All simulation trials, concordant table inputs, and telemetry events are saved to `IndexedDB` keyed strictly by `[student_id, session_id, timestamp]`.</w:t>
      </w:r>
    </w:p>
    <w:p>
      <w:pPr>
        <w:pStyle w:val="ListNumber"/>
        <w:spacing w:after="40" w:line="276" w:lineRule="auto"/>
      </w:pPr>
      <w:r/>
      <w:r>
        <w:rPr>
          <w:b/>
        </w:rPr>
        <w:t>Turn-Swap Dyad Protocol:</w:t>
      </w:r>
      <w:r>
        <w:t xml:space="preserve"> At the end of each titration trial, the interface prompts: *"Switch Partner / End Turn"*. The active partner logs out with one tap, and the second partner enters their 4-digit PIN. Each learner independently performs apparatus manipulation and data calculation on alternate trials.</w:t>
      </w:r>
    </w:p>
    <w:p>
      <w:pPr>
        <w:pStyle w:val="ListNumber"/>
        <w:spacing w:after="40" w:line="276" w:lineRule="auto"/>
      </w:pPr>
      <w:r/>
      <w:r>
        <w:rPr>
          <w:b/>
        </w:rPr>
        <w:t>Telemetry Resiliency:</w:t>
      </w:r>
      <w:r>
        <w:t xml:space="preserve"> Supplement Service Worker Background Sync with a foreground listener (`window.addEventListener('online')`) and a visible manual *"Sync Records"* button on the teacher dashboard.</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 Architecture Snippet for V11 Section 3.6</w:t>
              <w:br/>
              <w:t>const dbRequest = indexedDB.open("VirtuLab_Kenya_DB", 2);</w:t>
              <w:br/>
              <w:t>dbRequest.onupgradeneeded = (e) =&gt; {</w:t>
              <w:br/>
              <w:t xml:space="preserve">  const db = e.target.result;</w:t>
              <w:br/>
              <w:t xml:space="preserve">  if (!db.objectStoreNames.contains("auth_roster")) {</w:t>
              <w:br/>
              <w:t xml:space="preserve">    db.createObjectStore("auth_roster", { keyPath: "student_id" });</w:t>
              <w:br/>
              <w:t xml:space="preserve">  }</w:t>
              <w:br/>
              <w:t xml:space="preserve">  if (!db.objectStoreNames.contains("telemetry_queue")) {</w:t>
              <w:br/>
              <w:t xml:space="preserve">    const telemetryStore = db.createObjectStore("telemetry_queue", { keyPath: "log_id", autoIncrement: true });</w:t>
              <w:br/>
              <w:t xml:space="preserve">    telemetryStore.createIndex("by_student", "student_id", { unique: false });</w:t>
              <w:br/>
              <w:t xml:space="preserve">    telemetryStore.createIndex("by_sync_status", "synced", { unique: false });</w:t>
              <w:br/>
              <w:t xml:space="preserve">  }</w:t>
              <w:br/>
              <w:t>};</w:t>
            </w:r>
          </w:p>
        </w:tc>
      </w:tr>
    </w:tbl>
    <w:p>
      <w:pPr>
        <w:spacing w:after="80"/>
      </w:pPr>
    </w:p>
    <w:p>
      <w:pPr>
        <w:spacing w:before="80" w:after="80"/>
      </w:pPr>
      <w:r>
        <w:rPr>
          <w:color w:val="CCCCCC"/>
        </w:rPr>
        <w:t>――――――――――――――――――――――――――――――――――――――――――――――――――</w:t>
      </w:r>
    </w:p>
    <w:p>
      <w:pPr>
        <w:spacing w:before="160" w:after="40"/>
      </w:pPr>
      <w:r>
        <w:rPr>
          <w:b/>
          <w:color w:val="2E5B88"/>
          <w:sz w:val="24"/>
        </w:rPr>
        <w:t>Phase 6: Visual Figures, Architecture Diagrams &amp; ERD</w:t>
      </w:r>
    </w:p>
    <w:p>
      <w:pPr>
        <w:pStyle w:val="ListBullet"/>
        <w:spacing w:after="40" w:line="276" w:lineRule="auto"/>
      </w:pPr>
      <w:r/>
      <w:r>
        <w:rPr>
          <w:b/>
        </w:rPr>
        <w:t>Target Days:</w:t>
      </w:r>
      <w:r>
        <w:t xml:space="preserve"> Day 9</w:t>
      </w:r>
    </w:p>
    <w:p>
      <w:pPr>
        <w:pStyle w:val="ListBullet"/>
        <w:spacing w:after="40" w:line="276" w:lineRule="auto"/>
      </w:pPr>
      <w:r/>
      <w:r>
        <w:rPr>
          <w:b/>
        </w:rPr>
        <w:t>Objective:</w:t>
      </w:r>
      <w:r>
        <w:t xml:space="preserve"> Transform the text-heavy proposal into a highly professional document with structured architectural and schematic diagrams.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F4E79"/>
          </w:tcPr>
          <w:p>
            <w:pPr>
              <w:jc w:val="center"/>
            </w:pPr>
            <w:r>
              <w:rPr>
                <w:b/>
                <w:color w:val="FFFFFF"/>
                <w:sz w:val="19"/>
              </w:rPr>
              <w:t>Figure No.</w:t>
            </w:r>
          </w:p>
        </w:tc>
        <w:tc>
          <w:tcPr>
            <w:tcW w:type="dxa" w:w="2340"/>
            <w:tcMar>
              <w:top w:w="80" w:type="dxa"/>
              <w:bottom w:w="80" w:type="dxa"/>
              <w:left w:w="120" w:type="dxa"/>
              <w:right w:w="120" w:type="dxa"/>
            </w:tcMar>
            <w:shd w:fill="1F4E79"/>
          </w:tcPr>
          <w:p>
            <w:pPr>
              <w:jc w:val="center"/>
            </w:pPr>
            <w:r>
              <w:rPr>
                <w:b/>
                <w:color w:val="FFFFFF"/>
                <w:sz w:val="19"/>
              </w:rPr>
              <w:t>Section</w:t>
            </w:r>
          </w:p>
        </w:tc>
        <w:tc>
          <w:tcPr>
            <w:tcW w:type="dxa" w:w="2340"/>
            <w:tcMar>
              <w:top w:w="80" w:type="dxa"/>
              <w:bottom w:w="80" w:type="dxa"/>
              <w:left w:w="120" w:type="dxa"/>
              <w:right w:w="120" w:type="dxa"/>
            </w:tcMar>
            <w:shd w:fill="1F4E79"/>
          </w:tcPr>
          <w:p>
            <w:pPr>
              <w:jc w:val="center"/>
            </w:pPr>
            <w:r>
              <w:rPr>
                <w:b/>
                <w:color w:val="FFFFFF"/>
                <w:sz w:val="19"/>
              </w:rPr>
              <w:t>Diagram Title</w:t>
            </w:r>
          </w:p>
        </w:tc>
        <w:tc>
          <w:tcPr>
            <w:tcW w:type="dxa" w:w="2340"/>
            <w:tcMar>
              <w:top w:w="80" w:type="dxa"/>
              <w:bottom w:w="80" w:type="dxa"/>
              <w:left w:w="120" w:type="dxa"/>
              <w:right w:w="120" w:type="dxa"/>
            </w:tcMar>
            <w:shd w:fill="1F4E79"/>
          </w:tcPr>
          <w:p>
            <w:pPr>
              <w:jc w:val="center"/>
            </w:pPr>
            <w:r>
              <w:rPr>
                <w:b/>
                <w:color w:val="FFFFFF"/>
                <w:sz w:val="19"/>
              </w:rPr>
              <w:t>Description / Content</w:t>
            </w:r>
          </w:p>
        </w:tc>
      </w:tr>
      <w:tr>
        <w:tc>
          <w:tcPr>
            <w:tcW w:type="dxa" w:w="2340"/>
            <w:tcMar>
              <w:top w:w="80" w:type="dxa"/>
              <w:bottom w:w="80" w:type="dxa"/>
              <w:left w:w="120" w:type="dxa"/>
              <w:right w:w="120" w:type="dxa"/>
            </w:tcMar>
            <w:shd w:fill="F2F4F7"/>
          </w:tcPr>
          <w:p>
            <w:r>
              <w:rPr>
                <w:color w:val="333333"/>
                <w:sz w:val="19"/>
              </w:rPr>
              <w:t>Figure 1</w:t>
            </w:r>
          </w:p>
        </w:tc>
        <w:tc>
          <w:tcPr>
            <w:tcW w:type="dxa" w:w="2340"/>
            <w:tcMar>
              <w:top w:w="80" w:type="dxa"/>
              <w:bottom w:w="80" w:type="dxa"/>
              <w:left w:w="120" w:type="dxa"/>
              <w:right w:w="120" w:type="dxa"/>
            </w:tcMar>
            <w:shd w:fill="F2F4F7"/>
          </w:tcPr>
          <w:p>
            <w:r>
              <w:rPr>
                <w:color w:val="333333"/>
                <w:sz w:val="19"/>
              </w:rPr>
              <w:t>Section 2.3.4</w:t>
            </w:r>
          </w:p>
        </w:tc>
        <w:tc>
          <w:tcPr>
            <w:tcW w:type="dxa" w:w="2340"/>
            <w:tcMar>
              <w:top w:w="80" w:type="dxa"/>
              <w:bottom w:w="80" w:type="dxa"/>
              <w:left w:w="120" w:type="dxa"/>
              <w:right w:w="120" w:type="dxa"/>
            </w:tcMar>
            <w:shd w:fill="F2F4F7"/>
          </w:tcPr>
          <w:p>
            <w:r>
              <w:rPr>
                <w:color w:val="333333"/>
                <w:sz w:val="19"/>
              </w:rPr>
              <w:t>*Conceptual Framework of VirtuLab Kenya*</w:t>
            </w:r>
          </w:p>
        </w:tc>
        <w:tc>
          <w:tcPr>
            <w:tcW w:type="dxa" w:w="2340"/>
            <w:tcMar>
              <w:top w:w="80" w:type="dxa"/>
              <w:bottom w:w="80" w:type="dxa"/>
              <w:left w:w="120" w:type="dxa"/>
              <w:right w:w="120" w:type="dxa"/>
            </w:tcMar>
            <w:shd w:fill="F2F4F7"/>
          </w:tcPr>
          <w:p>
            <w:r>
              <w:rPr>
                <w:color w:val="333333"/>
                <w:sz w:val="19"/>
              </w:rPr>
              <w:t>Flowchart illustrating Independent Variables (Modules, bilingual toggles, concordant checking), Moderating Variables (School Strata, Prior Device Experience), Mediating Variables (TAM 3 constructs, SUS), and Dependent Outcomes (CPCAT gains, CPAS anxiety reduction).</w:t>
            </w:r>
          </w:p>
        </w:tc>
      </w:tr>
      <w:tr>
        <w:tc>
          <w:tcPr>
            <w:tcW w:type="dxa" w:w="2340"/>
            <w:tcMar>
              <w:top w:w="80" w:type="dxa"/>
              <w:bottom w:w="80" w:type="dxa"/>
              <w:left w:w="120" w:type="dxa"/>
              <w:right w:w="120" w:type="dxa"/>
            </w:tcMar>
            <w:shd w:fill="FFFFFF"/>
          </w:tcPr>
          <w:p>
            <w:r>
              <w:rPr>
                <w:color w:val="333333"/>
                <w:sz w:val="19"/>
              </w:rPr>
              <w:t>Figure 2</w:t>
            </w:r>
          </w:p>
        </w:tc>
        <w:tc>
          <w:tcPr>
            <w:tcW w:type="dxa" w:w="2340"/>
            <w:tcMar>
              <w:top w:w="80" w:type="dxa"/>
              <w:bottom w:w="80" w:type="dxa"/>
              <w:left w:w="120" w:type="dxa"/>
              <w:right w:w="120" w:type="dxa"/>
            </w:tcMar>
            <w:shd w:fill="FFFFFF"/>
          </w:tcPr>
          <w:p>
            <w:r>
              <w:rPr>
                <w:color w:val="333333"/>
                <w:sz w:val="19"/>
              </w:rPr>
              <w:t>Section 3.4</w:t>
            </w:r>
          </w:p>
        </w:tc>
        <w:tc>
          <w:tcPr>
            <w:tcW w:type="dxa" w:w="2340"/>
            <w:tcMar>
              <w:top w:w="80" w:type="dxa"/>
              <w:bottom w:w="80" w:type="dxa"/>
              <w:left w:w="120" w:type="dxa"/>
              <w:right w:w="120" w:type="dxa"/>
            </w:tcMar>
            <w:shd w:fill="FFFFFF"/>
          </w:tcPr>
          <w:p>
            <w:r>
              <w:rPr>
                <w:color w:val="333333"/>
                <w:sz w:val="19"/>
              </w:rPr>
              <w:t>*Three-Tier Offline-First System Architecture*</w:t>
            </w:r>
          </w:p>
        </w:tc>
        <w:tc>
          <w:tcPr>
            <w:tcW w:type="dxa" w:w="2340"/>
            <w:tcMar>
              <w:top w:w="80" w:type="dxa"/>
              <w:bottom w:w="80" w:type="dxa"/>
              <w:left w:w="120" w:type="dxa"/>
              <w:right w:w="120" w:type="dxa"/>
            </w:tcMar>
            <w:shd w:fill="FFFFFF"/>
          </w:tcPr>
          <w:p>
            <w:r>
              <w:rPr>
                <w:color w:val="333333"/>
                <w:sz w:val="19"/>
              </w:rPr>
              <w:t>Block diagram showing Client Tier (Vanilla JS, HTML5 Canvas, Service Worker, IndexedDB multi-tenant stores), Network/Sync Layer (Background Sync API + Foreground Fallback), and Server Tier (Node.js/Express REST API, PostgreSQL 15, Teacher Analytics Dashboard).</w:t>
            </w:r>
          </w:p>
        </w:tc>
      </w:tr>
      <w:tr>
        <w:tc>
          <w:tcPr>
            <w:tcW w:type="dxa" w:w="2340"/>
            <w:tcMar>
              <w:top w:w="80" w:type="dxa"/>
              <w:bottom w:w="80" w:type="dxa"/>
              <w:left w:w="120" w:type="dxa"/>
              <w:right w:w="120" w:type="dxa"/>
            </w:tcMar>
            <w:shd w:fill="F2F4F7"/>
          </w:tcPr>
          <w:p>
            <w:r>
              <w:rPr>
                <w:color w:val="333333"/>
                <w:sz w:val="19"/>
              </w:rPr>
              <w:t>Figure 3</w:t>
            </w:r>
          </w:p>
        </w:tc>
        <w:tc>
          <w:tcPr>
            <w:tcW w:type="dxa" w:w="2340"/>
            <w:tcMar>
              <w:top w:w="80" w:type="dxa"/>
              <w:bottom w:w="80" w:type="dxa"/>
              <w:left w:w="120" w:type="dxa"/>
              <w:right w:w="120" w:type="dxa"/>
            </w:tcMar>
            <w:shd w:fill="F2F4F7"/>
          </w:tcPr>
          <w:p>
            <w:r>
              <w:rPr>
                <w:color w:val="333333"/>
                <w:sz w:val="19"/>
              </w:rPr>
              <w:t>Section 3.6</w:t>
            </w:r>
          </w:p>
        </w:tc>
        <w:tc>
          <w:tcPr>
            <w:tcW w:type="dxa" w:w="2340"/>
            <w:tcMar>
              <w:top w:w="80" w:type="dxa"/>
              <w:bottom w:w="80" w:type="dxa"/>
              <w:left w:w="120" w:type="dxa"/>
              <w:right w:w="120" w:type="dxa"/>
            </w:tcMar>
            <w:shd w:fill="F2F4F7"/>
          </w:tcPr>
          <w:p>
            <w:r>
              <w:rPr>
                <w:color w:val="333333"/>
                <w:sz w:val="19"/>
              </w:rPr>
              <w:t>*PostgreSQL 15 Relational Entity-Relationship Diagram (ERD)*</w:t>
            </w:r>
          </w:p>
        </w:tc>
        <w:tc>
          <w:tcPr>
            <w:tcW w:type="dxa" w:w="2340"/>
            <w:tcMar>
              <w:top w:w="80" w:type="dxa"/>
              <w:bottom w:w="80" w:type="dxa"/>
              <w:left w:w="120" w:type="dxa"/>
              <w:right w:w="120" w:type="dxa"/>
            </w:tcMar>
            <w:shd w:fill="F2F4F7"/>
          </w:tcPr>
          <w:p>
            <w:r>
              <w:rPr>
                <w:color w:val="333333"/>
                <w:sz w:val="19"/>
              </w:rPr>
              <w:t>Crow’s foot ERD showing the 7 core tables: schools, users, classes, lab_sessions, telemetry_logs, assignments, and badges with foreign-key cascade rules.</w:t>
            </w:r>
          </w:p>
        </w:tc>
      </w:tr>
      <w:tr>
        <w:tc>
          <w:tcPr>
            <w:tcW w:type="dxa" w:w="2340"/>
            <w:tcMar>
              <w:top w:w="80" w:type="dxa"/>
              <w:bottom w:w="80" w:type="dxa"/>
              <w:left w:w="120" w:type="dxa"/>
              <w:right w:w="120" w:type="dxa"/>
            </w:tcMar>
            <w:shd w:fill="FFFFFF"/>
          </w:tcPr>
          <w:p>
            <w:r>
              <w:rPr>
                <w:color w:val="333333"/>
                <w:sz w:val="19"/>
              </w:rPr>
              <w:t>Figure 4</w:t>
            </w:r>
          </w:p>
        </w:tc>
        <w:tc>
          <w:tcPr>
            <w:tcW w:type="dxa" w:w="2340"/>
            <w:tcMar>
              <w:top w:w="80" w:type="dxa"/>
              <w:bottom w:w="80" w:type="dxa"/>
              <w:left w:w="120" w:type="dxa"/>
              <w:right w:w="120" w:type="dxa"/>
            </w:tcMar>
            <w:shd w:fill="FFFFFF"/>
          </w:tcPr>
          <w:p>
            <w:r>
              <w:rPr>
                <w:color w:val="333333"/>
                <w:sz w:val="19"/>
              </w:rPr>
              <w:t>Section 3.6</w:t>
            </w:r>
          </w:p>
        </w:tc>
        <w:tc>
          <w:tcPr>
            <w:tcW w:type="dxa" w:w="2340"/>
            <w:tcMar>
              <w:top w:w="80" w:type="dxa"/>
              <w:bottom w:w="80" w:type="dxa"/>
              <w:left w:w="120" w:type="dxa"/>
              <w:right w:w="120" w:type="dxa"/>
            </w:tcMar>
            <w:shd w:fill="FFFFFF"/>
          </w:tcPr>
          <w:p>
            <w:r>
              <w:rPr>
                <w:color w:val="333333"/>
                <w:sz w:val="19"/>
              </w:rPr>
              <w:t>*Volumetric Mathematical Equilibrium Engine Flowchart*</w:t>
            </w:r>
          </w:p>
        </w:tc>
        <w:tc>
          <w:tcPr>
            <w:tcW w:type="dxa" w:w="2340"/>
            <w:tcMar>
              <w:top w:w="80" w:type="dxa"/>
              <w:bottom w:w="80" w:type="dxa"/>
              <w:left w:w="120" w:type="dxa"/>
              <w:right w:w="120" w:type="dxa"/>
            </w:tcMar>
            <w:shd w:fill="FFFFFF"/>
          </w:tcPr>
          <w:p>
            <w:r>
              <w:rPr>
                <w:color w:val="333333"/>
                <w:sz w:val="19"/>
              </w:rPr>
              <w:t>Flow diagram displaying Henderson-Hasselbalch continuous pH modeling, indicator transition thresholds, drop-wise addition logic, and KNEC $\pm 0.10\text{ cm}^3$ concordance verification algorithms.</w:t>
            </w:r>
          </w:p>
        </w:tc>
      </w:tr>
      <w:tr>
        <w:tc>
          <w:tcPr>
            <w:tcW w:type="dxa" w:w="2340"/>
            <w:tcMar>
              <w:top w:w="80" w:type="dxa"/>
              <w:bottom w:w="80" w:type="dxa"/>
              <w:left w:w="120" w:type="dxa"/>
              <w:right w:w="120" w:type="dxa"/>
            </w:tcMar>
            <w:shd w:fill="F2F4F7"/>
          </w:tcPr>
          <w:p>
            <w:r>
              <w:rPr>
                <w:color w:val="333333"/>
                <w:sz w:val="19"/>
              </w:rPr>
              <w:t>Figure 5</w:t>
            </w:r>
          </w:p>
        </w:tc>
        <w:tc>
          <w:tcPr>
            <w:tcW w:type="dxa" w:w="2340"/>
            <w:tcMar>
              <w:top w:w="80" w:type="dxa"/>
              <w:bottom w:w="80" w:type="dxa"/>
              <w:left w:w="120" w:type="dxa"/>
              <w:right w:w="120" w:type="dxa"/>
            </w:tcMar>
            <w:shd w:fill="F2F4F7"/>
          </w:tcPr>
          <w:p>
            <w:r>
              <w:rPr>
                <w:color w:val="333333"/>
                <w:sz w:val="19"/>
              </w:rPr>
              <w:t>Section 3.8 / 3.11</w:t>
            </w:r>
          </w:p>
        </w:tc>
        <w:tc>
          <w:tcPr>
            <w:tcW w:type="dxa" w:w="2340"/>
            <w:tcMar>
              <w:top w:w="80" w:type="dxa"/>
              <w:bottom w:w="80" w:type="dxa"/>
              <w:left w:w="120" w:type="dxa"/>
              <w:right w:w="120" w:type="dxa"/>
            </w:tcMar>
            <w:shd w:fill="F2F4F7"/>
          </w:tcPr>
          <w:p>
            <w:r>
              <w:rPr>
                <w:color w:val="333333"/>
                <w:sz w:val="19"/>
              </w:rPr>
              <w:t>*Five-Tab Mobile UI Wireframe &amp; Meniscus Lens Viewport*</w:t>
            </w:r>
          </w:p>
        </w:tc>
        <w:tc>
          <w:tcPr>
            <w:tcW w:type="dxa" w:w="2340"/>
            <w:tcMar>
              <w:top w:w="80" w:type="dxa"/>
              <w:bottom w:w="80" w:type="dxa"/>
              <w:left w:w="120" w:type="dxa"/>
              <w:right w:w="120" w:type="dxa"/>
            </w:tcMar>
            <w:shd w:fill="F2F4F7"/>
          </w:tcPr>
          <w:p>
            <w:r>
              <w:rPr>
                <w:color w:val="333333"/>
                <w:sz w:val="19"/>
              </w:rPr>
              <w:t>Annotated visual wireframes showing Mayer’s spatial contiguity design: Procedure, Simulation Workbench with Magnified Viewfinder, KNEC Results Table, Calculations, and Guided Notes.</w:t>
            </w:r>
          </w:p>
        </w:tc>
      </w:tr>
    </w:tbl>
    <w:p>
      <w:pPr>
        <w:spacing w:after="120"/>
      </w:pPr>
    </w:p>
    <w:p>
      <w:pPr>
        <w:spacing w:before="80" w:after="80"/>
      </w:pPr>
      <w:r>
        <w:rPr>
          <w:color w:val="CCCCCC"/>
        </w:rPr>
        <w:t>――――――――――――――――――――――――――――――――――――――――――――――――――</w:t>
      </w:r>
    </w:p>
    <w:p>
      <w:pPr>
        <w:spacing w:before="160" w:after="40"/>
      </w:pPr>
      <w:r>
        <w:rPr>
          <w:b/>
          <w:color w:val="2E5B88"/>
          <w:sz w:val="24"/>
        </w:rPr>
        <w:t>Phase 7: Proposal Tone, Governance &amp; Final Compilation</w:t>
      </w:r>
    </w:p>
    <w:p>
      <w:pPr>
        <w:pStyle w:val="ListBullet"/>
        <w:spacing w:after="40" w:line="276" w:lineRule="auto"/>
      </w:pPr>
      <w:r/>
      <w:r>
        <w:rPr>
          <w:b/>
        </w:rPr>
        <w:t>Target Days:</w:t>
      </w:r>
      <w:r>
        <w:t xml:space="preserve"> Day 10</w:t>
      </w:r>
    </w:p>
    <w:p>
      <w:pPr>
        <w:pStyle w:val="ListBullet"/>
        <w:spacing w:after="40" w:line="276" w:lineRule="auto"/>
      </w:pPr>
      <w:r/>
      <w:r>
        <w:rPr>
          <w:b/>
        </w:rPr>
        <w:t>Objective:</w:t>
      </w:r>
      <w:r>
        <w:t xml:space="preserve"> Ensure flawless scholarly tone, budget alignment, pagination synchronization, and export to final document format.</w:t>
      </w:r>
    </w:p>
    <w:p>
      <w:pPr>
        <w:spacing w:before="120" w:after="40"/>
      </w:pPr>
      <w:r>
        <w:rPr>
          <w:b/>
          <w:color w:val="333333"/>
          <w:sz w:val="22"/>
        </w:rPr>
        <w:t>7.1 Reframe Claims Prospectively</w:t>
      </w:r>
    </w:p>
    <w:p>
      <w:pPr>
        <w:pStyle w:val="ListBullet"/>
        <w:spacing w:after="40" w:line="276" w:lineRule="auto"/>
      </w:pPr>
      <w:r>
        <w:t>Audit Chapters 1, 3, and 4 to remove retrospective claims.</w:t>
      </w:r>
    </w:p>
    <w:p>
      <w:pPr>
        <w:pStyle w:val="ListBullet"/>
        <w:spacing w:after="40" w:line="276" w:lineRule="auto"/>
      </w:pPr>
      <w:r>
        <w:t>Replace: *"VirtuLab Kenya demonstrates that..."* with: *"VirtuLab Kenya is designed to demonstrate that..."*</w:t>
      </w:r>
    </w:p>
    <w:p>
      <w:pPr>
        <w:pStyle w:val="ListBullet"/>
        <w:spacing w:after="40" w:line="276" w:lineRule="auto"/>
      </w:pPr>
      <w:r>
        <w:t>Replace: *"Drawing on pilot findings, the study presents three actionable policy recommendations..."* with: *"Contingent upon validating the target learning gain ($\langle g \rangle \ge 0.40$) and usability ($\text{SUS} \ge 78$) benchmarks during the field pilot, the study will advance three policy recommendations..."*</w:t>
      </w:r>
    </w:p>
    <w:p>
      <w:pPr>
        <w:spacing w:before="120" w:after="40"/>
      </w:pPr>
      <w:r>
        <w:rPr>
          <w:b/>
          <w:color w:val="333333"/>
          <w:sz w:val="22"/>
        </w:rPr>
        <w:t>7.2 Budgetary Alignment in Table 3.3</w:t>
      </w:r>
    </w:p>
    <w:p>
      <w:pPr>
        <w:pStyle w:val="ListBullet"/>
        <w:spacing w:after="40" w:line="276" w:lineRule="auto"/>
      </w:pPr>
      <w:r>
        <w:t xml:space="preserve">Bundle the high-capacity solar power banks explicitly into </w:t>
      </w:r>
      <w:r>
        <w:rPr>
          <w:b/>
        </w:rPr>
        <w:t>Item 2 (Pilot Hardware Support)</w:t>
      </w:r>
      <w:r>
        <w:t>.</w:t>
      </w:r>
    </w:p>
    <w:p>
      <w:pPr>
        <w:pStyle w:val="ListBullet"/>
        <w:spacing w:after="40" w:line="276" w:lineRule="auto"/>
      </w:pPr>
      <w:r>
        <w:t xml:space="preserve">Clarify in </w:t>
      </w:r>
      <w:r>
        <w:rPr>
          <w:b/>
        </w:rPr>
        <w:t>Item 4 (Printing &amp; Materials)</w:t>
      </w:r>
      <w:r>
        <w:t xml:space="preserve"> that survey instruments (CPAS, SUS, TAM 3) will be administered digitally within the VirtuLab Kenya PWA on the test tablets, restricting physical printing to the multi-page CPCAT booklets and parental consent forms.</w:t>
      </w:r>
    </w:p>
    <w:p>
      <w:pPr>
        <w:spacing w:before="120" w:after="40"/>
      </w:pPr>
      <w:r>
        <w:rPr>
          <w:b/>
          <w:color w:val="333333"/>
          <w:sz w:val="22"/>
        </w:rPr>
        <w:t>7.3 Final Pagination &amp; Formatting Audit</w:t>
      </w:r>
    </w:p>
    <w:p>
      <w:pPr>
        <w:pStyle w:val="ListBullet"/>
        <w:spacing w:after="40" w:line="276" w:lineRule="auto"/>
      </w:pPr>
      <w:r>
        <w:t>Insert formal section breaks (Odd Page breaks between major chapters).</w:t>
      </w:r>
    </w:p>
    <w:p>
      <w:pPr>
        <w:pStyle w:val="ListBullet"/>
        <w:spacing w:after="40" w:line="276" w:lineRule="auto"/>
      </w:pPr>
      <w:r>
        <w:t xml:space="preserve">Update Table of Contents, List of Tables, and newly created </w:t>
      </w:r>
      <w:r>
        <w:rPr>
          <w:b/>
        </w:rPr>
        <w:t>List of Figures</w:t>
      </w:r>
      <w:r>
        <w:t>.</w:t>
      </w:r>
    </w:p>
    <w:p>
      <w:pPr>
        <w:pStyle w:val="ListBullet"/>
        <w:spacing w:after="40" w:line="276" w:lineRule="auto"/>
      </w:pPr>
      <w:r>
        <w:t>Verify all internal cross-references.</w:t>
      </w:r>
    </w:p>
    <w:p>
      <w:pPr>
        <w:pStyle w:val="ListBullet"/>
        <w:spacing w:after="40" w:line="276" w:lineRule="auto"/>
      </w:pPr>
      <w:r>
        <w:t>Export and save as `VirtuLab_Kenya_Capstone_Proposal_V11_Resolved.docx`.</w:t>
      </w:r>
    </w:p>
    <w:p>
      <w:pPr>
        <w:spacing w:before="80" w:after="80"/>
      </w:pPr>
      <w:r>
        <w:rPr>
          <w:color w:val="CCCCCC"/>
        </w:rPr>
        <w:t>――――――――――――――――――――――――――――――――――――――――――――――――――</w:t>
      </w:r>
    </w:p>
    <w:p>
      <w:pPr>
        <w:spacing w:before="240" w:after="80"/>
      </w:pPr>
      <w:r>
        <w:rPr>
          <w:b/>
          <w:color w:val="1B365D"/>
          <w:sz w:val="28"/>
        </w:rPr>
        <w:t>Progress Tracking &amp; Quality Gate Checklist</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 ] Phase 1 Complete: Template residue removed, acronyms unified, governance corrected.</w:t>
              <w:br/>
              <w:t>[ ] Phase 2 Complete: Complexometric titrations replaced; 2014-2025 past papers added; CBC Senior Secondary mapped.</w:t>
              <w:br/>
              <w:t>[ ] Phase 3 Complete: CEMASTEA Virtual Labs &amp; OLabs benchmarked; DOIs fixed; unverified citations replaced.</w:t>
              <w:br/>
              <w:t>[ ] Phase 4 Complete: Hypotheses decoupled; Linear Mixed-Effects Model specified; sample arithmetic reconciled.</w:t>
              <w:br/>
              <w:t>[ ] Phase 5 Complete: Mobile tablet kit defined; IndexedDB multi-tenant offline auth documented.</w:t>
              <w:br/>
              <w:t>[ ] Phase 6 Complete: Figures 1-5 generated, captioned, and added to the List of Figures.</w:t>
              <w:br/>
              <w:t>[ ] Phase 7 Complete: Retrospective claims neutralized; budget items reconciled; final TOC updated.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