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20F6" w14:textId="77777777" w:rsidR="00031E74" w:rsidRPr="003D30A1" w:rsidRDefault="00000000">
      <w:pPr>
        <w:spacing w:before="400"/>
        <w:jc w:val="cente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30"/>
          <w:szCs w:val="30"/>
          <w:lang w:val="en-GB"/>
        </w:rPr>
        <w:t>OPEN UNIVERSITY OF KENYA</w:t>
      </w:r>
    </w:p>
    <w:p w14:paraId="419F2C7F" w14:textId="77777777" w:rsidR="00031E74" w:rsidRPr="003D30A1" w:rsidRDefault="00000000">
      <w:pPr>
        <w:spacing w:before="120"/>
        <w:jc w:val="center"/>
        <w:rPr>
          <w:rFonts w:ascii="Times New Roman" w:hAnsi="Times New Roman" w:cs="Times New Roman"/>
          <w:color w:val="000000" w:themeColor="text1"/>
          <w:lang w:val="en-GB"/>
        </w:rPr>
      </w:pPr>
      <w:r w:rsidRPr="003D30A1">
        <w:rPr>
          <w:rFonts w:ascii="Times New Roman" w:hAnsi="Times New Roman" w:cs="Times New Roman"/>
          <w:color w:val="000000" w:themeColor="text1"/>
          <w:sz w:val="24"/>
          <w:szCs w:val="24"/>
          <w:lang w:val="en-GB"/>
        </w:rPr>
        <w:t>School of Education</w:t>
      </w:r>
    </w:p>
    <w:p w14:paraId="127AE7A5" w14:textId="77777777" w:rsidR="00031E74" w:rsidRPr="003D30A1" w:rsidRDefault="00000000">
      <w:pPr>
        <w:spacing w:before="60" w:after="600"/>
        <w:jc w:val="center"/>
        <w:rPr>
          <w:rFonts w:ascii="Times New Roman" w:hAnsi="Times New Roman" w:cs="Times New Roman"/>
          <w:color w:val="000000" w:themeColor="text1"/>
          <w:lang w:val="en-GB"/>
        </w:rPr>
      </w:pPr>
      <w:r w:rsidRPr="003D30A1">
        <w:rPr>
          <w:rFonts w:ascii="Times New Roman" w:hAnsi="Times New Roman" w:cs="Times New Roman"/>
          <w:i/>
          <w:iCs/>
          <w:color w:val="000000" w:themeColor="text1"/>
          <w:sz w:val="24"/>
          <w:szCs w:val="24"/>
          <w:lang w:val="en-GB"/>
        </w:rPr>
        <w:t>Master in Learning Design and Technology</w:t>
      </w:r>
    </w:p>
    <w:p w14:paraId="101560D0" w14:textId="77777777" w:rsidR="00031E74" w:rsidRPr="003D30A1" w:rsidRDefault="00000000">
      <w:pPr>
        <w:spacing w:before="400" w:after="200"/>
        <w:jc w:val="cente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6"/>
          <w:szCs w:val="26"/>
          <w:lang w:val="en-GB"/>
        </w:rPr>
        <w:t>CAPSTONE PROJECT PROPOSAL</w:t>
      </w:r>
    </w:p>
    <w:p w14:paraId="1F2FC410" w14:textId="77777777" w:rsidR="00031E74" w:rsidRPr="003D30A1" w:rsidRDefault="00000000">
      <w:pPr>
        <w:spacing w:before="200" w:after="600"/>
        <w:jc w:val="cente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8"/>
          <w:szCs w:val="28"/>
          <w:lang w:val="en-GB"/>
        </w:rPr>
        <w:t>“VirtuLab Kenya: Design, Development and Evaluation of a Web-Based Virtual Chemistry Laboratory for KCSE and CBE Learners in Kenyan Secondary Schools”</w:t>
      </w:r>
    </w:p>
    <w:p w14:paraId="06814BA5" w14:textId="77777777" w:rsidR="00031E74" w:rsidRPr="003D30A1" w:rsidRDefault="00031E74">
      <w:pPr>
        <w:pBdr>
          <w:top w:val="single" w:sz="6" w:space="0" w:color="999999"/>
        </w:pBdr>
        <w:spacing w:before="900"/>
        <w:rPr>
          <w:rFonts w:ascii="Times New Roman" w:hAnsi="Times New Roman" w:cs="Times New Roman"/>
          <w:color w:val="000000" w:themeColor="text1"/>
          <w:lang w:val="en-GB"/>
        </w:rPr>
      </w:pPr>
    </w:p>
    <w:p w14:paraId="293FA467" w14:textId="77777777" w:rsidR="00031E74" w:rsidRPr="003D30A1" w:rsidRDefault="00000000">
      <w:pPr>
        <w:tabs>
          <w:tab w:val="left" w:pos="3455"/>
        </w:tabs>
        <w:spacing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Student Name:</w:t>
      </w:r>
      <w:r w:rsidRPr="003D30A1">
        <w:rPr>
          <w:rFonts w:ascii="Times New Roman" w:hAnsi="Times New Roman" w:cs="Times New Roman"/>
          <w:color w:val="000000" w:themeColor="text1"/>
          <w:lang w:val="en-GB"/>
        </w:rPr>
        <w:tab/>
        <w:t>Harrison Tellah Museni</w:t>
      </w:r>
    </w:p>
    <w:p w14:paraId="0992C462" w14:textId="77777777" w:rsidR="00031E74" w:rsidRPr="003D30A1" w:rsidRDefault="00000000">
      <w:pPr>
        <w:tabs>
          <w:tab w:val="left" w:pos="3455"/>
        </w:tabs>
        <w:spacing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Registration Number:</w:t>
      </w:r>
      <w:r w:rsidRPr="003D30A1">
        <w:rPr>
          <w:rFonts w:ascii="Times New Roman" w:hAnsi="Times New Roman" w:cs="Times New Roman"/>
          <w:color w:val="000000" w:themeColor="text1"/>
          <w:lang w:val="en-GB"/>
        </w:rPr>
        <w:tab/>
        <w:t>ED61/6061/2025</w:t>
      </w:r>
    </w:p>
    <w:p w14:paraId="5E84A995" w14:textId="77777777" w:rsidR="00031E74" w:rsidRPr="003D30A1" w:rsidRDefault="00000000">
      <w:pPr>
        <w:tabs>
          <w:tab w:val="left" w:pos="3455"/>
        </w:tabs>
        <w:spacing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Programme:</w:t>
      </w:r>
      <w:r w:rsidRPr="003D30A1">
        <w:rPr>
          <w:rFonts w:ascii="Times New Roman" w:hAnsi="Times New Roman" w:cs="Times New Roman"/>
          <w:color w:val="000000" w:themeColor="text1"/>
          <w:lang w:val="en-GB"/>
        </w:rPr>
        <w:tab/>
        <w:t>Master in Learning Design and Technology</w:t>
      </w:r>
    </w:p>
    <w:p w14:paraId="226AABFF" w14:textId="77777777" w:rsidR="00031E74" w:rsidRPr="003D30A1" w:rsidRDefault="00000000">
      <w:pPr>
        <w:tabs>
          <w:tab w:val="left" w:pos="3455"/>
        </w:tabs>
        <w:spacing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Institution:</w:t>
      </w:r>
      <w:r w:rsidRPr="003D30A1">
        <w:rPr>
          <w:rFonts w:ascii="Times New Roman" w:hAnsi="Times New Roman" w:cs="Times New Roman"/>
          <w:color w:val="000000" w:themeColor="text1"/>
          <w:lang w:val="en-GB"/>
        </w:rPr>
        <w:tab/>
        <w:t>Open University of Kenya</w:t>
      </w:r>
    </w:p>
    <w:p w14:paraId="71551A91" w14:textId="77777777" w:rsidR="00031E74" w:rsidRPr="003D30A1" w:rsidRDefault="00000000">
      <w:pPr>
        <w:tabs>
          <w:tab w:val="left" w:pos="3455"/>
        </w:tabs>
        <w:spacing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School:</w:t>
      </w:r>
      <w:r w:rsidRPr="003D30A1">
        <w:rPr>
          <w:rFonts w:ascii="Times New Roman" w:hAnsi="Times New Roman" w:cs="Times New Roman"/>
          <w:color w:val="000000" w:themeColor="text1"/>
          <w:lang w:val="en-GB"/>
        </w:rPr>
        <w:tab/>
        <w:t>School of Education</w:t>
      </w:r>
    </w:p>
    <w:p w14:paraId="68E93112" w14:textId="77777777" w:rsidR="00031E74" w:rsidRPr="003D30A1" w:rsidRDefault="00000000">
      <w:pPr>
        <w:tabs>
          <w:tab w:val="left" w:pos="3455"/>
        </w:tabs>
        <w:spacing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Academic Year:</w:t>
      </w:r>
      <w:r w:rsidRPr="003D30A1">
        <w:rPr>
          <w:rFonts w:ascii="Times New Roman" w:hAnsi="Times New Roman" w:cs="Times New Roman"/>
          <w:color w:val="000000" w:themeColor="text1"/>
          <w:lang w:val="en-GB"/>
        </w:rPr>
        <w:tab/>
        <w:t>2025/2026</w:t>
      </w:r>
    </w:p>
    <w:p w14:paraId="550C7E3E" w14:textId="77777777" w:rsidR="00031E74" w:rsidRPr="003D30A1" w:rsidRDefault="00000000">
      <w:pPr>
        <w:tabs>
          <w:tab w:val="left" w:pos="3455"/>
        </w:tabs>
        <w:spacing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Target Syllabus:</w:t>
      </w:r>
      <w:r w:rsidRPr="003D30A1">
        <w:rPr>
          <w:rFonts w:ascii="Times New Roman" w:hAnsi="Times New Roman" w:cs="Times New Roman"/>
          <w:color w:val="000000" w:themeColor="text1"/>
          <w:lang w:val="en-GB"/>
        </w:rPr>
        <w:tab/>
        <w:t>KICD Form 1–4 Chemistry &amp; KCSE Paper 3 (233/3) Practical</w:t>
      </w:r>
    </w:p>
    <w:p w14:paraId="5B53F048" w14:textId="77777777" w:rsidR="00031E74" w:rsidRPr="003D30A1" w:rsidRDefault="00000000">
      <w:pPr>
        <w:tabs>
          <w:tab w:val="left" w:pos="3455"/>
        </w:tabs>
        <w:spacing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Date:</w:t>
      </w:r>
      <w:r w:rsidRPr="003D30A1">
        <w:rPr>
          <w:rFonts w:ascii="Times New Roman" w:hAnsi="Times New Roman" w:cs="Times New Roman"/>
          <w:color w:val="000000" w:themeColor="text1"/>
          <w:lang w:val="en-GB"/>
        </w:rPr>
        <w:tab/>
        <w:t>28 July 2026</w:t>
      </w:r>
    </w:p>
    <w:p w14:paraId="3E35D93E" w14:textId="77777777" w:rsidR="00031E74" w:rsidRPr="003D30A1" w:rsidRDefault="00000000">
      <w:pPr>
        <w:tabs>
          <w:tab w:val="left" w:pos="3455"/>
        </w:tabs>
        <w:spacing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Pathway:</w:t>
      </w:r>
      <w:r w:rsidRPr="003D30A1">
        <w:rPr>
          <w:rFonts w:ascii="Times New Roman" w:hAnsi="Times New Roman" w:cs="Times New Roman"/>
          <w:color w:val="000000" w:themeColor="text1"/>
          <w:lang w:val="en-GB"/>
        </w:rPr>
        <w:tab/>
        <w:t>Capstone Project — Innovation/Product</w:t>
      </w:r>
    </w:p>
    <w:p w14:paraId="724E2AB7" w14:textId="77777777" w:rsidR="00031E74" w:rsidRDefault="00031E74">
      <w:pPr>
        <w:rPr>
          <w:rFonts w:ascii="Times New Roman" w:hAnsi="Times New Roman" w:cs="Times New Roman"/>
          <w:color w:val="000000" w:themeColor="text1"/>
          <w:lang w:val="en-GB"/>
        </w:rPr>
      </w:pPr>
    </w:p>
    <w:p w14:paraId="432E0219" w14:textId="77777777" w:rsidR="003D30A1" w:rsidRDefault="003D30A1">
      <w:pPr>
        <w:rPr>
          <w:rFonts w:ascii="Times New Roman" w:hAnsi="Times New Roman" w:cs="Times New Roman"/>
          <w:color w:val="000000" w:themeColor="text1"/>
          <w:lang w:val="en-GB"/>
        </w:rPr>
      </w:pPr>
    </w:p>
    <w:p w14:paraId="1A4FE5B2" w14:textId="77777777" w:rsidR="003D30A1" w:rsidRDefault="003D30A1">
      <w:pPr>
        <w:rPr>
          <w:rFonts w:ascii="Times New Roman" w:hAnsi="Times New Roman" w:cs="Times New Roman"/>
          <w:color w:val="000000" w:themeColor="text1"/>
          <w:lang w:val="en-GB"/>
        </w:rPr>
      </w:pPr>
    </w:p>
    <w:p w14:paraId="518876F2" w14:textId="77777777" w:rsidR="003D30A1" w:rsidRDefault="003D30A1">
      <w:pPr>
        <w:rPr>
          <w:rFonts w:ascii="Times New Roman" w:hAnsi="Times New Roman" w:cs="Times New Roman"/>
          <w:color w:val="000000" w:themeColor="text1"/>
          <w:lang w:val="en-GB"/>
        </w:rPr>
      </w:pPr>
    </w:p>
    <w:p w14:paraId="159A3561" w14:textId="77777777" w:rsidR="003D30A1" w:rsidRDefault="003D30A1">
      <w:pPr>
        <w:rPr>
          <w:rFonts w:ascii="Times New Roman" w:hAnsi="Times New Roman" w:cs="Times New Roman"/>
          <w:color w:val="000000" w:themeColor="text1"/>
          <w:lang w:val="en-GB"/>
        </w:rPr>
      </w:pPr>
    </w:p>
    <w:p w14:paraId="5C4E82F1" w14:textId="77777777" w:rsidR="003D30A1" w:rsidRDefault="003D30A1">
      <w:pPr>
        <w:rPr>
          <w:rFonts w:ascii="Times New Roman" w:hAnsi="Times New Roman" w:cs="Times New Roman"/>
          <w:color w:val="000000" w:themeColor="text1"/>
          <w:lang w:val="en-GB"/>
        </w:rPr>
      </w:pPr>
    </w:p>
    <w:p w14:paraId="2DA960F3" w14:textId="77777777" w:rsidR="003D30A1" w:rsidRDefault="003D30A1">
      <w:pPr>
        <w:rPr>
          <w:rFonts w:ascii="Times New Roman" w:hAnsi="Times New Roman" w:cs="Times New Roman"/>
          <w:color w:val="000000" w:themeColor="text1"/>
          <w:lang w:val="en-GB"/>
        </w:rPr>
      </w:pPr>
    </w:p>
    <w:p w14:paraId="5183E93A" w14:textId="77777777" w:rsidR="003D30A1" w:rsidRDefault="003D30A1">
      <w:pPr>
        <w:rPr>
          <w:rFonts w:ascii="Times New Roman" w:hAnsi="Times New Roman" w:cs="Times New Roman"/>
          <w:color w:val="000000" w:themeColor="text1"/>
          <w:lang w:val="en-GB"/>
        </w:rPr>
      </w:pPr>
    </w:p>
    <w:p w14:paraId="5E4118E3" w14:textId="77777777" w:rsidR="003D30A1" w:rsidRDefault="003D30A1">
      <w:pPr>
        <w:rPr>
          <w:rFonts w:ascii="Times New Roman" w:hAnsi="Times New Roman" w:cs="Times New Roman"/>
          <w:color w:val="000000" w:themeColor="text1"/>
          <w:lang w:val="en-GB"/>
        </w:rPr>
      </w:pPr>
    </w:p>
    <w:p w14:paraId="678B0425" w14:textId="77777777" w:rsidR="003D30A1" w:rsidRPr="00145E73" w:rsidRDefault="003D30A1">
      <w:pPr>
        <w:rPr>
          <w:rFonts w:ascii="Times New Roman" w:hAnsi="Times New Roman" w:cs="Times New Roman"/>
          <w:color w:val="000000" w:themeColor="text1"/>
          <w:lang w:val="en-GB"/>
        </w:rPr>
      </w:pPr>
    </w:p>
    <w:p w14:paraId="32DBE642" w14:textId="6FABAFC0" w:rsidR="003D30A1" w:rsidRPr="00145E73" w:rsidRDefault="003D30A1">
      <w:pPr>
        <w:rPr>
          <w:rFonts w:ascii="Times New Roman" w:hAnsi="Times New Roman" w:cs="Times New Roman"/>
          <w:i/>
          <w:iCs/>
          <w:color w:val="000000" w:themeColor="text1"/>
          <w:sz w:val="32"/>
          <w:szCs w:val="32"/>
          <w:lang w:val="en-GB"/>
        </w:rPr>
        <w:sectPr w:rsidR="003D30A1" w:rsidRPr="00145E73">
          <w:pgSz w:w="12240" w:h="15840"/>
          <w:pgMar w:top="1440" w:right="1440" w:bottom="1440" w:left="1440" w:header="708" w:footer="708" w:gutter="0"/>
          <w:cols w:space="720"/>
          <w:docGrid w:linePitch="360"/>
        </w:sectPr>
      </w:pPr>
      <w:r w:rsidRPr="00145E73">
        <w:rPr>
          <w:rFonts w:ascii="Times New Roman" w:hAnsi="Times New Roman" w:cs="Times New Roman"/>
          <w:i/>
          <w:iCs/>
          <w:color w:val="000000" w:themeColor="text1"/>
          <w:lang w:val="en-GB"/>
        </w:rPr>
        <w:t xml:space="preserve">                                  </w:t>
      </w:r>
      <w:r w:rsidRPr="00145E73">
        <w:rPr>
          <w:rFonts w:ascii="Times New Roman" w:hAnsi="Times New Roman" w:cs="Times New Roman"/>
          <w:i/>
          <w:iCs/>
          <w:color w:val="000000" w:themeColor="text1"/>
          <w:sz w:val="32"/>
          <w:szCs w:val="32"/>
          <w:lang w:val="en-GB"/>
        </w:rPr>
        <w:t>“Every student deserves a laboratory”</w:t>
      </w:r>
    </w:p>
    <w:p w14:paraId="391D3770" w14:textId="77777777" w:rsidR="00E1705C" w:rsidRPr="003D30A1" w:rsidRDefault="00000000">
      <w:pPr>
        <w:pStyle w:val="Heading1"/>
        <w:pageBreakBefore/>
        <w:spacing w:before="480" w:after="24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lastRenderedPageBreak/>
        <w:t>Declaration</w:t>
      </w:r>
    </w:p>
    <w:p w14:paraId="30E485C7" w14:textId="77777777" w:rsidR="00E1705C" w:rsidRPr="003D30A1" w:rsidRDefault="00000000">
      <w:pPr>
        <w:spacing w:before="200" w:after="120"/>
        <w:rPr>
          <w:rFonts w:ascii="Times New Roman" w:hAnsi="Times New Roman" w:cs="Times New Roman"/>
          <w:b/>
          <w:bCs/>
          <w:color w:val="000000" w:themeColor="text1"/>
          <w:lang w:val="en-GB"/>
        </w:rPr>
      </w:pPr>
      <w:r w:rsidRPr="003D30A1">
        <w:rPr>
          <w:rFonts w:ascii="Times New Roman" w:hAnsi="Times New Roman" w:cs="Times New Roman"/>
          <w:b/>
          <w:bCs/>
          <w:color w:val="000000" w:themeColor="text1"/>
          <w:lang w:val="en-GB"/>
        </w:rPr>
        <w:t>Candidate’s Declaration</w:t>
      </w:r>
    </w:p>
    <w:p w14:paraId="49ECDEB6" w14:textId="77777777"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I declare that this capstone project proposal is my own original work and has not been submitted for the award of a degree or diploma in this or any other university. Where the work of others has been used, it has been duly acknowledged through citation and referencing.</w:t>
      </w:r>
    </w:p>
    <w:p w14:paraId="1F28C788" w14:textId="77777777"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 xml:space="preserve">Name: </w:t>
      </w:r>
      <w:r w:rsidRPr="003D30A1">
        <w:rPr>
          <w:rFonts w:ascii="Times New Roman" w:hAnsi="Times New Roman" w:cs="Times New Roman"/>
          <w:color w:val="000000" w:themeColor="text1"/>
          <w:lang w:val="en-GB"/>
        </w:rPr>
        <w:t>Harrison Tellah Museni</w:t>
      </w:r>
    </w:p>
    <w:p w14:paraId="7A7B76F5" w14:textId="77777777"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 xml:space="preserve">Registration Number: </w:t>
      </w:r>
      <w:r w:rsidRPr="003D30A1">
        <w:rPr>
          <w:rFonts w:ascii="Times New Roman" w:hAnsi="Times New Roman" w:cs="Times New Roman"/>
          <w:color w:val="000000" w:themeColor="text1"/>
          <w:lang w:val="en-GB"/>
        </w:rPr>
        <w:t>ED61/6061/2025</w:t>
      </w:r>
    </w:p>
    <w:p w14:paraId="6D8F8AF0" w14:textId="77777777"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 xml:space="preserve">Signature: </w:t>
      </w:r>
      <w:r w:rsidRPr="003D30A1">
        <w:rPr>
          <w:rFonts w:ascii="Times New Roman" w:hAnsi="Times New Roman" w:cs="Times New Roman"/>
          <w:color w:val="000000" w:themeColor="text1"/>
          <w:lang w:val="en-GB"/>
        </w:rPr>
        <w:t>_________________________        Date: _________________________</w:t>
      </w:r>
    </w:p>
    <w:p w14:paraId="36D215CB" w14:textId="77777777" w:rsidR="00E1705C" w:rsidRPr="003D30A1" w:rsidRDefault="00000000">
      <w:pPr>
        <w:spacing w:before="200" w:after="120"/>
        <w:rPr>
          <w:rFonts w:ascii="Times New Roman" w:hAnsi="Times New Roman" w:cs="Times New Roman"/>
          <w:b/>
          <w:bCs/>
          <w:color w:val="000000" w:themeColor="text1"/>
          <w:lang w:val="en-GB"/>
        </w:rPr>
      </w:pPr>
      <w:r w:rsidRPr="003D30A1">
        <w:rPr>
          <w:rFonts w:ascii="Times New Roman" w:hAnsi="Times New Roman" w:cs="Times New Roman"/>
          <w:b/>
          <w:bCs/>
          <w:color w:val="000000" w:themeColor="text1"/>
          <w:lang w:val="en-GB"/>
        </w:rPr>
        <w:t>Supervisor’s Declaration</w:t>
      </w:r>
    </w:p>
    <w:p w14:paraId="349AE949" w14:textId="77777777"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This capstone project proposal has been submitted for review with our approval as the appointed university supervisor(s).</w:t>
      </w:r>
    </w:p>
    <w:p w14:paraId="35F45582" w14:textId="77777777"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 xml:space="preserve">Name: </w:t>
      </w:r>
      <w:r w:rsidRPr="003D30A1">
        <w:rPr>
          <w:rFonts w:ascii="Times New Roman" w:hAnsi="Times New Roman" w:cs="Times New Roman"/>
          <w:color w:val="000000" w:themeColor="text1"/>
          <w:lang w:val="en-GB"/>
        </w:rPr>
        <w:t>_________________________________________________</w:t>
      </w:r>
    </w:p>
    <w:p w14:paraId="79813AB5" w14:textId="77777777"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 xml:space="preserve">Signature: </w:t>
      </w:r>
      <w:r w:rsidRPr="003D30A1">
        <w:rPr>
          <w:rFonts w:ascii="Times New Roman" w:hAnsi="Times New Roman" w:cs="Times New Roman"/>
          <w:color w:val="000000" w:themeColor="text1"/>
          <w:lang w:val="en-GB"/>
        </w:rPr>
        <w:t>_________________________        Date: _________________________</w:t>
      </w:r>
    </w:p>
    <w:p w14:paraId="6DB633D4" w14:textId="77777777" w:rsidR="00E1705C" w:rsidRPr="003D30A1" w:rsidRDefault="00000000">
      <w:pPr>
        <w:pStyle w:val="Heading1"/>
        <w:pageBreakBefore/>
        <w:spacing w:before="480" w:after="24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lastRenderedPageBreak/>
        <w:t>Dedication</w:t>
      </w:r>
    </w:p>
    <w:p w14:paraId="01EF3272" w14:textId="5CBA2401" w:rsidR="00E1705C" w:rsidRPr="003D30A1" w:rsidRDefault="00000000">
      <w:pPr>
        <w:spacing w:after="200" w:line="276" w:lineRule="auto"/>
        <w:jc w:val="center"/>
        <w:rPr>
          <w:rFonts w:ascii="Times New Roman" w:hAnsi="Times New Roman" w:cs="Times New Roman"/>
          <w:i/>
          <w:iCs/>
          <w:color w:val="000000" w:themeColor="text1"/>
          <w:lang w:val="en-GB"/>
        </w:rPr>
      </w:pPr>
      <w:r w:rsidRPr="003D30A1">
        <w:rPr>
          <w:rFonts w:ascii="Times New Roman" w:hAnsi="Times New Roman" w:cs="Times New Roman"/>
          <w:i/>
          <w:iCs/>
          <w:color w:val="000000" w:themeColor="text1"/>
          <w:lang w:val="en-GB"/>
        </w:rPr>
        <w:t xml:space="preserve">This work is dedicated to the chemistry learners of Kenya’s under-resourced secondary schools, whose curiosity for science persists despite empty laboratory shelves, and to my </w:t>
      </w:r>
      <w:r w:rsidR="00B26D30" w:rsidRPr="003D30A1">
        <w:rPr>
          <w:rFonts w:ascii="Times New Roman" w:hAnsi="Times New Roman" w:cs="Times New Roman"/>
          <w:i/>
          <w:iCs/>
          <w:color w:val="000000" w:themeColor="text1"/>
          <w:lang w:val="en-GB"/>
        </w:rPr>
        <w:t>brother Jack</w:t>
      </w:r>
      <w:r w:rsidRPr="003D30A1">
        <w:rPr>
          <w:rFonts w:ascii="Times New Roman" w:hAnsi="Times New Roman" w:cs="Times New Roman"/>
          <w:i/>
          <w:iCs/>
          <w:color w:val="000000" w:themeColor="text1"/>
          <w:lang w:val="en-GB"/>
        </w:rPr>
        <w:t>, whose steadfast support makes this pursuit possible.</w:t>
      </w:r>
    </w:p>
    <w:p w14:paraId="506EFE94" w14:textId="77777777" w:rsidR="00E1705C" w:rsidRPr="003D30A1" w:rsidRDefault="00000000">
      <w:pPr>
        <w:pStyle w:val="Heading1"/>
        <w:pageBreakBefore/>
        <w:spacing w:before="480" w:after="24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lastRenderedPageBreak/>
        <w:t>Acknowledgements</w:t>
      </w:r>
    </w:p>
    <w:p w14:paraId="4D295254" w14:textId="77777777"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I am grateful to the Open University of Kenya, School of Education, for the opportunity to pursue the Master in Learning Design and Technology programme and for the guidance provided throughout the development of this capstone proposal.</w:t>
      </w:r>
    </w:p>
    <w:p w14:paraId="454833D6" w14:textId="77777777"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My sincere appreciation goes to my supervisor(s) for their patient guidance, critical feedback, and encouragement during the conceptualisation of VirtuLab Kenya.</w:t>
      </w:r>
    </w:p>
    <w:p w14:paraId="7DF971FA" w14:textId="77777777"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I also thank the Board of Management, administration, teaching staff, and students of Makunda Secondary School, Kakamega County, for their support and for the daily classroom realities that inspired this project.</w:t>
      </w:r>
    </w:p>
    <w:p w14:paraId="659690D5" w14:textId="77777777"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Finally, I thank my family, colleagues, and classmates in the EDU 801 cohort for their encouragement throughout this journey.</w:t>
      </w:r>
    </w:p>
    <w:p w14:paraId="5C3F35E3" w14:textId="77777777" w:rsidR="00031E74" w:rsidRPr="003D30A1" w:rsidRDefault="00000000">
      <w:pPr>
        <w:pStyle w:val="Heading1"/>
        <w:pageBreakBefore/>
        <w:spacing w:before="480" w:after="24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lastRenderedPageBreak/>
        <w:t>Abstract</w:t>
      </w:r>
    </w:p>
    <w:p w14:paraId="00031EA2"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Practical science education is fundamental to developing critical thinking, problem-solving, and scientific inquiry skills among secondary school learners. In Kenya, Chemistry is examined both theoretically and practically through the KCSE Chemistry Practical Examination (Paper 233/3). However, over 60% of secondary schools — particularly public sub-county and rural day schools — lack functional, adequately equipped science laboratories, consumable reagents, and trained laboratory technicians. Consequently, thousands of learners sit high-stakes national practical examinations having experienced science solely through chalk-and-talk demonstration or theoretical rote memorisation.</w:t>
      </w:r>
    </w:p>
    <w:p w14:paraId="12BAE62D"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VirtuLab Kenya is an innovative, low-cost, offline-first digital learning platform designed to bridge this practical science divide. Built as a lightweight Progressive Web App with Node.js/PostgreSQL backend services, it provides realistic, mathematically grounded, and visually responsive virtual laboratory practicals directly mapped to the KICD syllabus and KCSE Paper 3 practical formats. The platform covers volumetric analysis (acid–base, redox, precipitation, complexometric titrations), qualitative inorganic analysis, reaction kinetics, chemical energetics, solubility curves, qualitative organic tests, and composite timed mock practicals.</w:t>
      </w:r>
    </w:p>
    <w:p w14:paraId="271CFE1A"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To ensure contextual relevance and equity, the platform features zero-bandwidth resilience through full offline execution with background telemetry sync; dual-language scaffolding in English and Kiswahili; a teacher diagnostic ecosystem with real-time class dashboards; and pedagogical scaffolding through guided-inquiry modes, automated volumetric error feedback, interactive meniscus readings, and adaptive speed challenges.</w:t>
      </w:r>
    </w:p>
    <w:p w14:paraId="1E4D0420"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This proposal details the problem statement, theoretical underpinning — the Cognitive Theory of Multimedia Learning, Inquiry-Based Science Education, and the Technology Acceptance Model — technical architecture, 12-month implementation plan, mixed-methods quasi-experimental evaluation methodology, budgetary requirements, and risk-mitigation strategies for piloting VirtuLab Kenya across selected Kenyan secondary schools. The project is expected to demonstrate that a curriculum-aligned, offline-capable virtual laboratory can produce measurable gains in practical competency and reduce practical-examination anxiety among learners in under-resourced settings, while offering teachers actionable diagnostic data on class-wide skill gaps.</w:t>
      </w:r>
    </w:p>
    <w:p w14:paraId="0BA40533" w14:textId="77777777" w:rsidR="00031E74" w:rsidRPr="003D30A1" w:rsidRDefault="00000000">
      <w:pPr>
        <w:pStyle w:val="Heading1"/>
        <w:pageBreakBefore/>
        <w:spacing w:after="30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lastRenderedPageBreak/>
        <w:t>Table of Contents</w:t>
      </w:r>
    </w:p>
    <w:p w14:paraId="2E682EE3" w14:textId="77777777" w:rsidR="00E1705C" w:rsidRPr="003D30A1" w:rsidRDefault="00000000">
      <w:pPr>
        <w:tabs>
          <w:tab w:val="right" w:leader="dot" w:pos="9360"/>
        </w:tabs>
        <w:spacing w:after="14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Declaration</w:t>
      </w:r>
      <w:r w:rsidRPr="003D30A1">
        <w:rPr>
          <w:rFonts w:ascii="Times New Roman" w:hAnsi="Times New Roman" w:cs="Times New Roman"/>
          <w:b/>
          <w:bCs/>
          <w:color w:val="000000" w:themeColor="text1"/>
          <w:lang w:val="en-GB"/>
        </w:rPr>
        <w:tab/>
        <w:t>2</w:t>
      </w:r>
    </w:p>
    <w:p w14:paraId="6DDB82E1" w14:textId="77777777" w:rsidR="00E1705C" w:rsidRPr="003D30A1" w:rsidRDefault="00000000">
      <w:pPr>
        <w:tabs>
          <w:tab w:val="right" w:leader="dot" w:pos="9360"/>
        </w:tabs>
        <w:spacing w:after="14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Dedication</w:t>
      </w:r>
      <w:r w:rsidRPr="003D30A1">
        <w:rPr>
          <w:rFonts w:ascii="Times New Roman" w:hAnsi="Times New Roman" w:cs="Times New Roman"/>
          <w:b/>
          <w:bCs/>
          <w:color w:val="000000" w:themeColor="text1"/>
          <w:lang w:val="en-GB"/>
        </w:rPr>
        <w:tab/>
        <w:t>3</w:t>
      </w:r>
    </w:p>
    <w:p w14:paraId="1938F414" w14:textId="77777777" w:rsidR="00E1705C" w:rsidRPr="003D30A1" w:rsidRDefault="00000000">
      <w:pPr>
        <w:tabs>
          <w:tab w:val="right" w:leader="dot" w:pos="9360"/>
        </w:tabs>
        <w:spacing w:after="14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Acknowledgements</w:t>
      </w:r>
      <w:r w:rsidRPr="003D30A1">
        <w:rPr>
          <w:rFonts w:ascii="Times New Roman" w:hAnsi="Times New Roman" w:cs="Times New Roman"/>
          <w:b/>
          <w:bCs/>
          <w:color w:val="000000" w:themeColor="text1"/>
          <w:lang w:val="en-GB"/>
        </w:rPr>
        <w:tab/>
        <w:t>4</w:t>
      </w:r>
    </w:p>
    <w:p w14:paraId="38F86893" w14:textId="77777777" w:rsidR="00031E74" w:rsidRPr="003D30A1" w:rsidRDefault="00000000">
      <w:pPr>
        <w:tabs>
          <w:tab w:val="right" w:leader="dot" w:pos="9360"/>
        </w:tabs>
        <w:spacing w:after="14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Abstract</w:t>
      </w:r>
      <w:r w:rsidRPr="003D30A1">
        <w:rPr>
          <w:rFonts w:ascii="Times New Roman" w:hAnsi="Times New Roman" w:cs="Times New Roman"/>
          <w:b/>
          <w:bCs/>
          <w:color w:val="000000" w:themeColor="text1"/>
          <w:lang w:val="en-GB"/>
        </w:rPr>
        <w:tab/>
        <w:t>5</w:t>
      </w:r>
    </w:p>
    <w:p w14:paraId="2CD0A9EB" w14:textId="77777777" w:rsidR="00E1705C" w:rsidRPr="003D30A1" w:rsidRDefault="00000000">
      <w:pPr>
        <w:tabs>
          <w:tab w:val="right" w:leader="dot" w:pos="9360"/>
        </w:tabs>
        <w:spacing w:after="14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Definition of Terms (Front Matter)</w:t>
      </w:r>
      <w:r w:rsidRPr="003D30A1">
        <w:rPr>
          <w:rFonts w:ascii="Times New Roman" w:hAnsi="Times New Roman" w:cs="Times New Roman"/>
          <w:b/>
          <w:bCs/>
          <w:color w:val="000000" w:themeColor="text1"/>
          <w:lang w:val="en-GB"/>
        </w:rPr>
        <w:tab/>
        <w:t>9</w:t>
      </w:r>
    </w:p>
    <w:p w14:paraId="5C136008" w14:textId="77777777" w:rsidR="00E1705C" w:rsidRPr="003D30A1" w:rsidRDefault="00000000">
      <w:pPr>
        <w:tabs>
          <w:tab w:val="right" w:leader="dot" w:pos="9360"/>
        </w:tabs>
        <w:spacing w:after="14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Abbreviations / Acronyms</w:t>
      </w:r>
      <w:r w:rsidRPr="003D30A1">
        <w:rPr>
          <w:rFonts w:ascii="Times New Roman" w:hAnsi="Times New Roman" w:cs="Times New Roman"/>
          <w:b/>
          <w:bCs/>
          <w:color w:val="000000" w:themeColor="text1"/>
          <w:lang w:val="en-GB"/>
        </w:rPr>
        <w:tab/>
        <w:t>10</w:t>
      </w:r>
    </w:p>
    <w:p w14:paraId="6E57ED91" w14:textId="77777777" w:rsidR="00031E74" w:rsidRPr="003D30A1" w:rsidRDefault="00000000">
      <w:pPr>
        <w:tabs>
          <w:tab w:val="right" w:leader="dot" w:pos="9360"/>
        </w:tabs>
        <w:spacing w:after="14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CHAPTER ONE: PROBLEM IDENTIFICATION</w:t>
      </w:r>
      <w:r w:rsidRPr="003D30A1">
        <w:rPr>
          <w:rFonts w:ascii="Times New Roman" w:hAnsi="Times New Roman" w:cs="Times New Roman"/>
          <w:b/>
          <w:bCs/>
          <w:color w:val="000000" w:themeColor="text1"/>
          <w:lang w:val="en-GB"/>
        </w:rPr>
        <w:tab/>
        <w:t>11</w:t>
      </w:r>
    </w:p>
    <w:p w14:paraId="3E41CBA3"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1.1 Background to the Problem</w:t>
      </w:r>
      <w:r w:rsidRPr="003D30A1">
        <w:rPr>
          <w:rFonts w:ascii="Times New Roman" w:hAnsi="Times New Roman" w:cs="Times New Roman"/>
          <w:color w:val="000000" w:themeColor="text1"/>
          <w:sz w:val="20"/>
          <w:szCs w:val="20"/>
          <w:lang w:val="en-GB"/>
        </w:rPr>
        <w:tab/>
        <w:t>11</w:t>
      </w:r>
    </w:p>
    <w:p w14:paraId="7D2DFEB5"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1.2 The Laboratory Infrastructure Crisis</w:t>
      </w:r>
      <w:r w:rsidRPr="003D30A1">
        <w:rPr>
          <w:rFonts w:ascii="Times New Roman" w:hAnsi="Times New Roman" w:cs="Times New Roman"/>
          <w:color w:val="000000" w:themeColor="text1"/>
          <w:sz w:val="20"/>
          <w:szCs w:val="20"/>
          <w:lang w:val="en-GB"/>
        </w:rPr>
        <w:tab/>
        <w:t>11</w:t>
      </w:r>
    </w:p>
    <w:p w14:paraId="6891656E"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1.3 Digital Interventions in Low-Resource Contexts</w:t>
      </w:r>
      <w:r w:rsidRPr="003D30A1">
        <w:rPr>
          <w:rFonts w:ascii="Times New Roman" w:hAnsi="Times New Roman" w:cs="Times New Roman"/>
          <w:color w:val="000000" w:themeColor="text1"/>
          <w:sz w:val="20"/>
          <w:szCs w:val="20"/>
          <w:lang w:val="en-GB"/>
        </w:rPr>
        <w:tab/>
        <w:t>11</w:t>
      </w:r>
    </w:p>
    <w:p w14:paraId="2CED1A95"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1.4 Problem Identification</w:t>
      </w:r>
      <w:r w:rsidRPr="003D30A1">
        <w:rPr>
          <w:rFonts w:ascii="Times New Roman" w:hAnsi="Times New Roman" w:cs="Times New Roman"/>
          <w:color w:val="000000" w:themeColor="text1"/>
          <w:sz w:val="20"/>
          <w:szCs w:val="20"/>
          <w:lang w:val="en-GB"/>
        </w:rPr>
        <w:tab/>
        <w:t>12</w:t>
      </w:r>
    </w:p>
    <w:p w14:paraId="1F219601"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1.5 Problem Statement</w:t>
      </w:r>
      <w:r w:rsidRPr="003D30A1">
        <w:rPr>
          <w:rFonts w:ascii="Times New Roman" w:hAnsi="Times New Roman" w:cs="Times New Roman"/>
          <w:color w:val="000000" w:themeColor="text1"/>
          <w:sz w:val="20"/>
          <w:szCs w:val="20"/>
          <w:lang w:val="en-GB"/>
        </w:rPr>
        <w:tab/>
        <w:t>12</w:t>
      </w:r>
    </w:p>
    <w:p w14:paraId="66846FF7"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1.6 Purpose of the Capstone Project</w:t>
      </w:r>
      <w:r w:rsidRPr="003D30A1">
        <w:rPr>
          <w:rFonts w:ascii="Times New Roman" w:hAnsi="Times New Roman" w:cs="Times New Roman"/>
          <w:color w:val="000000" w:themeColor="text1"/>
          <w:sz w:val="20"/>
          <w:szCs w:val="20"/>
          <w:lang w:val="en-GB"/>
        </w:rPr>
        <w:tab/>
        <w:t>12</w:t>
      </w:r>
    </w:p>
    <w:p w14:paraId="01C83B23"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1.7 Objectives of the Capstone Project</w:t>
      </w:r>
      <w:r w:rsidRPr="003D30A1">
        <w:rPr>
          <w:rFonts w:ascii="Times New Roman" w:hAnsi="Times New Roman" w:cs="Times New Roman"/>
          <w:color w:val="000000" w:themeColor="text1"/>
          <w:sz w:val="20"/>
          <w:szCs w:val="20"/>
          <w:lang w:val="en-GB"/>
        </w:rPr>
        <w:tab/>
        <w:t>12</w:t>
      </w:r>
    </w:p>
    <w:p w14:paraId="79917079" w14:textId="77777777" w:rsidR="00031E74" w:rsidRPr="003D30A1" w:rsidRDefault="00000000">
      <w:pPr>
        <w:tabs>
          <w:tab w:val="right" w:leader="dot" w:pos="9360"/>
        </w:tabs>
        <w:spacing w:after="80"/>
        <w:ind w:left="52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1.7.1 General Objective</w:t>
      </w:r>
      <w:r w:rsidRPr="003D30A1">
        <w:rPr>
          <w:rFonts w:ascii="Times New Roman" w:hAnsi="Times New Roman" w:cs="Times New Roman"/>
          <w:color w:val="000000" w:themeColor="text1"/>
          <w:sz w:val="20"/>
          <w:szCs w:val="20"/>
          <w:lang w:val="en-GB"/>
        </w:rPr>
        <w:tab/>
        <w:t>12</w:t>
      </w:r>
    </w:p>
    <w:p w14:paraId="5B94CC17" w14:textId="77777777" w:rsidR="00031E74" w:rsidRPr="003D30A1" w:rsidRDefault="00000000">
      <w:pPr>
        <w:tabs>
          <w:tab w:val="right" w:leader="dot" w:pos="9360"/>
        </w:tabs>
        <w:spacing w:after="80"/>
        <w:ind w:left="52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1.7.2 Specific Objectives</w:t>
      </w:r>
      <w:r w:rsidRPr="003D30A1">
        <w:rPr>
          <w:rFonts w:ascii="Times New Roman" w:hAnsi="Times New Roman" w:cs="Times New Roman"/>
          <w:color w:val="000000" w:themeColor="text1"/>
          <w:sz w:val="20"/>
          <w:szCs w:val="20"/>
          <w:lang w:val="en-GB"/>
        </w:rPr>
        <w:tab/>
        <w:t>12</w:t>
      </w:r>
    </w:p>
    <w:p w14:paraId="7666821E"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1.8 Research Questions</w:t>
      </w:r>
      <w:r w:rsidRPr="003D30A1">
        <w:rPr>
          <w:rFonts w:ascii="Times New Roman" w:hAnsi="Times New Roman" w:cs="Times New Roman"/>
          <w:color w:val="000000" w:themeColor="text1"/>
          <w:sz w:val="20"/>
          <w:szCs w:val="20"/>
          <w:lang w:val="en-GB"/>
        </w:rPr>
        <w:tab/>
        <w:t>13</w:t>
      </w:r>
    </w:p>
    <w:p w14:paraId="559AAB17"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1.9 Research Hypotheses</w:t>
      </w:r>
      <w:r w:rsidRPr="003D30A1">
        <w:rPr>
          <w:rFonts w:ascii="Times New Roman" w:hAnsi="Times New Roman" w:cs="Times New Roman"/>
          <w:color w:val="000000" w:themeColor="text1"/>
          <w:sz w:val="20"/>
          <w:szCs w:val="20"/>
          <w:lang w:val="en-GB"/>
        </w:rPr>
        <w:tab/>
        <w:t>13</w:t>
      </w:r>
    </w:p>
    <w:p w14:paraId="29A2644E"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1.10 Significance of the Capstone Project</w:t>
      </w:r>
      <w:r w:rsidRPr="003D30A1">
        <w:rPr>
          <w:rFonts w:ascii="Times New Roman" w:hAnsi="Times New Roman" w:cs="Times New Roman"/>
          <w:color w:val="000000" w:themeColor="text1"/>
          <w:sz w:val="20"/>
          <w:szCs w:val="20"/>
          <w:lang w:val="en-GB"/>
        </w:rPr>
        <w:tab/>
        <w:t>13</w:t>
      </w:r>
    </w:p>
    <w:p w14:paraId="55EEBABC"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1.11 Scope of the Capstone Project</w:t>
      </w:r>
      <w:r w:rsidRPr="003D30A1">
        <w:rPr>
          <w:rFonts w:ascii="Times New Roman" w:hAnsi="Times New Roman" w:cs="Times New Roman"/>
          <w:color w:val="000000" w:themeColor="text1"/>
          <w:sz w:val="20"/>
          <w:szCs w:val="20"/>
          <w:lang w:val="en-GB"/>
        </w:rPr>
        <w:tab/>
        <w:t>14</w:t>
      </w:r>
    </w:p>
    <w:p w14:paraId="427E9331"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1.12 Delimitations</w:t>
      </w:r>
      <w:r w:rsidRPr="003D30A1">
        <w:rPr>
          <w:rFonts w:ascii="Times New Roman" w:hAnsi="Times New Roman" w:cs="Times New Roman"/>
          <w:color w:val="000000" w:themeColor="text1"/>
          <w:sz w:val="20"/>
          <w:szCs w:val="20"/>
          <w:lang w:val="en-GB"/>
        </w:rPr>
        <w:tab/>
        <w:t>14</w:t>
      </w:r>
    </w:p>
    <w:p w14:paraId="0CE190ED"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1.13 Limitations</w:t>
      </w:r>
      <w:r w:rsidRPr="003D30A1">
        <w:rPr>
          <w:rFonts w:ascii="Times New Roman" w:hAnsi="Times New Roman" w:cs="Times New Roman"/>
          <w:color w:val="000000" w:themeColor="text1"/>
          <w:sz w:val="20"/>
          <w:szCs w:val="20"/>
          <w:lang w:val="en-GB"/>
        </w:rPr>
        <w:tab/>
        <w:t>14</w:t>
      </w:r>
    </w:p>
    <w:p w14:paraId="44818A92"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1.14 Assumptions</w:t>
      </w:r>
      <w:r w:rsidRPr="003D30A1">
        <w:rPr>
          <w:rFonts w:ascii="Times New Roman" w:hAnsi="Times New Roman" w:cs="Times New Roman"/>
          <w:color w:val="000000" w:themeColor="text1"/>
          <w:sz w:val="20"/>
          <w:szCs w:val="20"/>
          <w:lang w:val="en-GB"/>
        </w:rPr>
        <w:tab/>
        <w:t>14</w:t>
      </w:r>
    </w:p>
    <w:p w14:paraId="38ADDEE7"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1.15 Definition of Key Terms</w:t>
      </w:r>
      <w:r w:rsidRPr="003D30A1">
        <w:rPr>
          <w:rFonts w:ascii="Times New Roman" w:hAnsi="Times New Roman" w:cs="Times New Roman"/>
          <w:color w:val="000000" w:themeColor="text1"/>
          <w:sz w:val="20"/>
          <w:szCs w:val="20"/>
          <w:lang w:val="en-GB"/>
        </w:rPr>
        <w:tab/>
        <w:t>14</w:t>
      </w:r>
    </w:p>
    <w:p w14:paraId="014D11EC"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1.16 Chapter Summary</w:t>
      </w:r>
      <w:r w:rsidRPr="003D30A1">
        <w:rPr>
          <w:rFonts w:ascii="Times New Roman" w:hAnsi="Times New Roman" w:cs="Times New Roman"/>
          <w:color w:val="000000" w:themeColor="text1"/>
          <w:sz w:val="20"/>
          <w:szCs w:val="20"/>
          <w:lang w:val="en-GB"/>
        </w:rPr>
        <w:tab/>
        <w:t>14</w:t>
      </w:r>
    </w:p>
    <w:p w14:paraId="04B54196" w14:textId="77777777" w:rsidR="00031E74" w:rsidRPr="003D30A1" w:rsidRDefault="00000000">
      <w:pPr>
        <w:tabs>
          <w:tab w:val="right" w:leader="dot" w:pos="9360"/>
        </w:tabs>
        <w:spacing w:after="14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CHAPTER TWO: RESEARCH AND ANALYSIS</w:t>
      </w:r>
      <w:r w:rsidRPr="003D30A1">
        <w:rPr>
          <w:rFonts w:ascii="Times New Roman" w:hAnsi="Times New Roman" w:cs="Times New Roman"/>
          <w:b/>
          <w:bCs/>
          <w:color w:val="000000" w:themeColor="text1"/>
          <w:lang w:val="en-GB"/>
        </w:rPr>
        <w:tab/>
        <w:t>16</w:t>
      </w:r>
    </w:p>
    <w:p w14:paraId="38A1C979"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2.1 Conceptualisation of the Problem</w:t>
      </w:r>
      <w:r w:rsidRPr="003D30A1">
        <w:rPr>
          <w:rFonts w:ascii="Times New Roman" w:hAnsi="Times New Roman" w:cs="Times New Roman"/>
          <w:color w:val="000000" w:themeColor="text1"/>
          <w:sz w:val="20"/>
          <w:szCs w:val="20"/>
          <w:lang w:val="en-GB"/>
        </w:rPr>
        <w:tab/>
        <w:t>16</w:t>
      </w:r>
    </w:p>
    <w:p w14:paraId="31BAEBDA"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2.2 Review of Related Literature</w:t>
      </w:r>
      <w:r w:rsidRPr="003D30A1">
        <w:rPr>
          <w:rFonts w:ascii="Times New Roman" w:hAnsi="Times New Roman" w:cs="Times New Roman"/>
          <w:color w:val="000000" w:themeColor="text1"/>
          <w:sz w:val="20"/>
          <w:szCs w:val="20"/>
          <w:lang w:val="en-GB"/>
        </w:rPr>
        <w:tab/>
        <w:t>16</w:t>
      </w:r>
    </w:p>
    <w:p w14:paraId="6AF6C9F5" w14:textId="77777777" w:rsidR="00031E74" w:rsidRPr="003D30A1" w:rsidRDefault="00000000">
      <w:pPr>
        <w:tabs>
          <w:tab w:val="right" w:leader="dot" w:pos="9360"/>
        </w:tabs>
        <w:spacing w:after="80"/>
        <w:ind w:left="52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2.2.1 Educational Inequity in Science Access</w:t>
      </w:r>
      <w:r w:rsidRPr="003D30A1">
        <w:rPr>
          <w:rFonts w:ascii="Times New Roman" w:hAnsi="Times New Roman" w:cs="Times New Roman"/>
          <w:color w:val="000000" w:themeColor="text1"/>
          <w:sz w:val="20"/>
          <w:szCs w:val="20"/>
          <w:lang w:val="en-GB"/>
        </w:rPr>
        <w:tab/>
        <w:t>16</w:t>
      </w:r>
    </w:p>
    <w:p w14:paraId="18AEABF3" w14:textId="77777777" w:rsidR="00031E74" w:rsidRPr="003D30A1" w:rsidRDefault="00000000">
      <w:pPr>
        <w:tabs>
          <w:tab w:val="right" w:leader="dot" w:pos="9360"/>
        </w:tabs>
        <w:spacing w:after="80"/>
        <w:ind w:left="52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2.2.2 Role of Virtual Laboratories</w:t>
      </w:r>
      <w:r w:rsidRPr="003D30A1">
        <w:rPr>
          <w:rFonts w:ascii="Times New Roman" w:hAnsi="Times New Roman" w:cs="Times New Roman"/>
          <w:color w:val="000000" w:themeColor="text1"/>
          <w:sz w:val="20"/>
          <w:szCs w:val="20"/>
          <w:lang w:val="en-GB"/>
        </w:rPr>
        <w:tab/>
        <w:t>16</w:t>
      </w:r>
    </w:p>
    <w:p w14:paraId="00074B25" w14:textId="77777777" w:rsidR="00031E74" w:rsidRPr="003D30A1" w:rsidRDefault="00000000">
      <w:pPr>
        <w:tabs>
          <w:tab w:val="right" w:leader="dot" w:pos="9360"/>
        </w:tabs>
        <w:spacing w:after="80"/>
        <w:ind w:left="52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2.2.3 Contextualised Technology Integration</w:t>
      </w:r>
      <w:r w:rsidRPr="003D30A1">
        <w:rPr>
          <w:rFonts w:ascii="Times New Roman" w:hAnsi="Times New Roman" w:cs="Times New Roman"/>
          <w:color w:val="000000" w:themeColor="text1"/>
          <w:sz w:val="20"/>
          <w:szCs w:val="20"/>
          <w:lang w:val="en-GB"/>
        </w:rPr>
        <w:tab/>
        <w:t>16</w:t>
      </w:r>
    </w:p>
    <w:p w14:paraId="32DA70F5" w14:textId="77777777" w:rsidR="00031E74" w:rsidRPr="003D30A1" w:rsidRDefault="00000000">
      <w:pPr>
        <w:tabs>
          <w:tab w:val="right" w:leader="dot" w:pos="9360"/>
        </w:tabs>
        <w:spacing w:after="80"/>
        <w:ind w:left="52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2.2.4 Constructivist Approaches in Digital Pedagogy</w:t>
      </w:r>
      <w:r w:rsidRPr="003D30A1">
        <w:rPr>
          <w:rFonts w:ascii="Times New Roman" w:hAnsi="Times New Roman" w:cs="Times New Roman"/>
          <w:color w:val="000000" w:themeColor="text1"/>
          <w:sz w:val="20"/>
          <w:szCs w:val="20"/>
          <w:lang w:val="en-GB"/>
        </w:rPr>
        <w:tab/>
        <w:t>16</w:t>
      </w:r>
    </w:p>
    <w:p w14:paraId="012C286C"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2.3 Theoretical / Conceptual Framework</w:t>
      </w:r>
      <w:r w:rsidRPr="003D30A1">
        <w:rPr>
          <w:rFonts w:ascii="Times New Roman" w:hAnsi="Times New Roman" w:cs="Times New Roman"/>
          <w:color w:val="000000" w:themeColor="text1"/>
          <w:sz w:val="20"/>
          <w:szCs w:val="20"/>
          <w:lang w:val="en-GB"/>
        </w:rPr>
        <w:tab/>
        <w:t>16</w:t>
      </w:r>
    </w:p>
    <w:p w14:paraId="161767F1" w14:textId="77777777" w:rsidR="00031E74" w:rsidRPr="003D30A1" w:rsidRDefault="00000000">
      <w:pPr>
        <w:tabs>
          <w:tab w:val="right" w:leader="dot" w:pos="9360"/>
        </w:tabs>
        <w:spacing w:after="80"/>
        <w:ind w:left="52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2.3.1 Constructivism and Inquiry-Based Science Education (IBSE)</w:t>
      </w:r>
      <w:r w:rsidRPr="003D30A1">
        <w:rPr>
          <w:rFonts w:ascii="Times New Roman" w:hAnsi="Times New Roman" w:cs="Times New Roman"/>
          <w:color w:val="000000" w:themeColor="text1"/>
          <w:sz w:val="20"/>
          <w:szCs w:val="20"/>
          <w:lang w:val="en-GB"/>
        </w:rPr>
        <w:tab/>
        <w:t>17</w:t>
      </w:r>
    </w:p>
    <w:p w14:paraId="1AFB3E94" w14:textId="77777777" w:rsidR="00031E74" w:rsidRPr="003D30A1" w:rsidRDefault="00000000">
      <w:pPr>
        <w:tabs>
          <w:tab w:val="right" w:leader="dot" w:pos="9360"/>
        </w:tabs>
        <w:spacing w:after="80"/>
        <w:ind w:left="52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2.3.2 Cognitive Theory of Multimedia Learning (CTML) and Cognitive Load Theory (CLT)</w:t>
      </w:r>
      <w:r w:rsidRPr="003D30A1">
        <w:rPr>
          <w:rFonts w:ascii="Times New Roman" w:hAnsi="Times New Roman" w:cs="Times New Roman"/>
          <w:color w:val="000000" w:themeColor="text1"/>
          <w:sz w:val="20"/>
          <w:szCs w:val="20"/>
          <w:lang w:val="en-GB"/>
        </w:rPr>
        <w:tab/>
        <w:t>17</w:t>
      </w:r>
    </w:p>
    <w:p w14:paraId="339C7152" w14:textId="77777777" w:rsidR="00031E74" w:rsidRPr="003D30A1" w:rsidRDefault="00000000">
      <w:pPr>
        <w:tabs>
          <w:tab w:val="right" w:leader="dot" w:pos="9360"/>
        </w:tabs>
        <w:spacing w:after="80"/>
        <w:ind w:left="52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2.3.3 Technology Acceptance Model (TAM 3)</w:t>
      </w:r>
      <w:r w:rsidRPr="003D30A1">
        <w:rPr>
          <w:rFonts w:ascii="Times New Roman" w:hAnsi="Times New Roman" w:cs="Times New Roman"/>
          <w:color w:val="000000" w:themeColor="text1"/>
          <w:sz w:val="20"/>
          <w:szCs w:val="20"/>
          <w:lang w:val="en-GB"/>
        </w:rPr>
        <w:tab/>
        <w:t>17</w:t>
      </w:r>
    </w:p>
    <w:p w14:paraId="13B425CE" w14:textId="77777777" w:rsidR="00031E74" w:rsidRPr="003D30A1" w:rsidRDefault="00000000">
      <w:pPr>
        <w:tabs>
          <w:tab w:val="right" w:leader="dot" w:pos="9360"/>
        </w:tabs>
        <w:spacing w:after="80"/>
        <w:ind w:left="52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2.3.4 Conceptual Framework</w:t>
      </w:r>
      <w:r w:rsidRPr="003D30A1">
        <w:rPr>
          <w:rFonts w:ascii="Times New Roman" w:hAnsi="Times New Roman" w:cs="Times New Roman"/>
          <w:color w:val="000000" w:themeColor="text1"/>
          <w:sz w:val="20"/>
          <w:szCs w:val="20"/>
          <w:lang w:val="en-GB"/>
        </w:rPr>
        <w:tab/>
        <w:t>17</w:t>
      </w:r>
    </w:p>
    <w:p w14:paraId="011B04DA"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lastRenderedPageBreak/>
        <w:t>2.4 Review of Existing Practices, Policies and Interventions</w:t>
      </w:r>
      <w:r w:rsidRPr="003D30A1">
        <w:rPr>
          <w:rFonts w:ascii="Times New Roman" w:hAnsi="Times New Roman" w:cs="Times New Roman"/>
          <w:color w:val="000000" w:themeColor="text1"/>
          <w:sz w:val="20"/>
          <w:szCs w:val="20"/>
          <w:lang w:val="en-GB"/>
        </w:rPr>
        <w:tab/>
        <w:t>18</w:t>
      </w:r>
    </w:p>
    <w:p w14:paraId="0495D316"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2.5 Benchmarking and Comparative Analysis</w:t>
      </w:r>
      <w:r w:rsidRPr="003D30A1">
        <w:rPr>
          <w:rFonts w:ascii="Times New Roman" w:hAnsi="Times New Roman" w:cs="Times New Roman"/>
          <w:color w:val="000000" w:themeColor="text1"/>
          <w:sz w:val="20"/>
          <w:szCs w:val="20"/>
          <w:lang w:val="en-GB"/>
        </w:rPr>
        <w:tab/>
        <w:t>18</w:t>
      </w:r>
    </w:p>
    <w:p w14:paraId="02CFB173"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2.6 Research / Project Methodology</w:t>
      </w:r>
      <w:r w:rsidRPr="003D30A1">
        <w:rPr>
          <w:rFonts w:ascii="Times New Roman" w:hAnsi="Times New Roman" w:cs="Times New Roman"/>
          <w:color w:val="000000" w:themeColor="text1"/>
          <w:sz w:val="20"/>
          <w:szCs w:val="20"/>
          <w:lang w:val="en-GB"/>
        </w:rPr>
        <w:tab/>
        <w:t>18</w:t>
      </w:r>
    </w:p>
    <w:p w14:paraId="74D743D0" w14:textId="77777777" w:rsidR="00031E74" w:rsidRPr="003D30A1" w:rsidRDefault="00000000">
      <w:pPr>
        <w:tabs>
          <w:tab w:val="right" w:leader="dot" w:pos="9360"/>
        </w:tabs>
        <w:spacing w:after="80"/>
        <w:ind w:left="52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2.6.1 Research Design</w:t>
      </w:r>
      <w:r w:rsidRPr="003D30A1">
        <w:rPr>
          <w:rFonts w:ascii="Times New Roman" w:hAnsi="Times New Roman" w:cs="Times New Roman"/>
          <w:color w:val="000000" w:themeColor="text1"/>
          <w:sz w:val="20"/>
          <w:szCs w:val="20"/>
          <w:lang w:val="en-GB"/>
        </w:rPr>
        <w:tab/>
        <w:t>18</w:t>
      </w:r>
    </w:p>
    <w:p w14:paraId="0151803D" w14:textId="77777777" w:rsidR="00031E74" w:rsidRPr="003D30A1" w:rsidRDefault="00000000">
      <w:pPr>
        <w:tabs>
          <w:tab w:val="right" w:leader="dot" w:pos="9360"/>
        </w:tabs>
        <w:spacing w:after="80"/>
        <w:ind w:left="52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2.6.2 Target Population and Sampling Strategy</w:t>
      </w:r>
      <w:r w:rsidRPr="003D30A1">
        <w:rPr>
          <w:rFonts w:ascii="Times New Roman" w:hAnsi="Times New Roman" w:cs="Times New Roman"/>
          <w:color w:val="000000" w:themeColor="text1"/>
          <w:sz w:val="20"/>
          <w:szCs w:val="20"/>
          <w:lang w:val="en-GB"/>
        </w:rPr>
        <w:tab/>
        <w:t>18</w:t>
      </w:r>
    </w:p>
    <w:p w14:paraId="2EB1504B" w14:textId="77777777" w:rsidR="00031E74" w:rsidRPr="003D30A1" w:rsidRDefault="00000000">
      <w:pPr>
        <w:tabs>
          <w:tab w:val="right" w:leader="dot" w:pos="9360"/>
        </w:tabs>
        <w:spacing w:after="80"/>
        <w:ind w:left="52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2.6.3 Data Collection Instruments</w:t>
      </w:r>
      <w:r w:rsidRPr="003D30A1">
        <w:rPr>
          <w:rFonts w:ascii="Times New Roman" w:hAnsi="Times New Roman" w:cs="Times New Roman"/>
          <w:color w:val="000000" w:themeColor="text1"/>
          <w:sz w:val="20"/>
          <w:szCs w:val="20"/>
          <w:lang w:val="en-GB"/>
        </w:rPr>
        <w:tab/>
        <w:t>19</w:t>
      </w:r>
    </w:p>
    <w:p w14:paraId="6362268F" w14:textId="77777777" w:rsidR="00031E74" w:rsidRPr="003D30A1" w:rsidRDefault="00000000">
      <w:pPr>
        <w:tabs>
          <w:tab w:val="right" w:leader="dot" w:pos="9360"/>
        </w:tabs>
        <w:spacing w:after="80"/>
        <w:ind w:left="52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2.6.4 Validity of Instruments</w:t>
      </w:r>
      <w:r w:rsidRPr="003D30A1">
        <w:rPr>
          <w:rFonts w:ascii="Times New Roman" w:hAnsi="Times New Roman" w:cs="Times New Roman"/>
          <w:color w:val="000000" w:themeColor="text1"/>
          <w:sz w:val="20"/>
          <w:szCs w:val="20"/>
          <w:lang w:val="en-GB"/>
        </w:rPr>
        <w:tab/>
        <w:t>19</w:t>
      </w:r>
    </w:p>
    <w:p w14:paraId="476E3512" w14:textId="77777777" w:rsidR="00031E74" w:rsidRPr="003D30A1" w:rsidRDefault="00000000">
      <w:pPr>
        <w:tabs>
          <w:tab w:val="right" w:leader="dot" w:pos="9360"/>
        </w:tabs>
        <w:spacing w:after="80"/>
        <w:ind w:left="52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2.6.5 Reliability / Trustworthiness</w:t>
      </w:r>
      <w:r w:rsidRPr="003D30A1">
        <w:rPr>
          <w:rFonts w:ascii="Times New Roman" w:hAnsi="Times New Roman" w:cs="Times New Roman"/>
          <w:color w:val="000000" w:themeColor="text1"/>
          <w:sz w:val="20"/>
          <w:szCs w:val="20"/>
          <w:lang w:val="en-GB"/>
        </w:rPr>
        <w:tab/>
        <w:t>19</w:t>
      </w:r>
    </w:p>
    <w:p w14:paraId="69F6D219" w14:textId="77777777" w:rsidR="00031E74" w:rsidRPr="003D30A1" w:rsidRDefault="00000000">
      <w:pPr>
        <w:tabs>
          <w:tab w:val="right" w:leader="dot" w:pos="9360"/>
        </w:tabs>
        <w:spacing w:after="80"/>
        <w:ind w:left="52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2.6.6 Data Collection Procedures</w:t>
      </w:r>
      <w:r w:rsidRPr="003D30A1">
        <w:rPr>
          <w:rFonts w:ascii="Times New Roman" w:hAnsi="Times New Roman" w:cs="Times New Roman"/>
          <w:color w:val="000000" w:themeColor="text1"/>
          <w:sz w:val="20"/>
          <w:szCs w:val="20"/>
          <w:lang w:val="en-GB"/>
        </w:rPr>
        <w:tab/>
        <w:t>19</w:t>
      </w:r>
    </w:p>
    <w:p w14:paraId="3CE6EBC3" w14:textId="77777777" w:rsidR="00031E74" w:rsidRPr="003D30A1" w:rsidRDefault="00000000">
      <w:pPr>
        <w:tabs>
          <w:tab w:val="right" w:leader="dot" w:pos="9360"/>
        </w:tabs>
        <w:spacing w:after="80"/>
        <w:ind w:left="52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2.6.7 Data Analysis Techniques</w:t>
      </w:r>
      <w:r w:rsidRPr="003D30A1">
        <w:rPr>
          <w:rFonts w:ascii="Times New Roman" w:hAnsi="Times New Roman" w:cs="Times New Roman"/>
          <w:color w:val="000000" w:themeColor="text1"/>
          <w:sz w:val="20"/>
          <w:szCs w:val="20"/>
          <w:lang w:val="en-GB"/>
        </w:rPr>
        <w:tab/>
        <w:t>19</w:t>
      </w:r>
    </w:p>
    <w:p w14:paraId="01EF7A26" w14:textId="77777777" w:rsidR="00031E74" w:rsidRPr="003D30A1" w:rsidRDefault="00000000">
      <w:pPr>
        <w:tabs>
          <w:tab w:val="right" w:leader="dot" w:pos="9360"/>
        </w:tabs>
        <w:spacing w:after="80"/>
        <w:ind w:left="52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2.6.8 Ethical Considerations</w:t>
      </w:r>
      <w:r w:rsidRPr="003D30A1">
        <w:rPr>
          <w:rFonts w:ascii="Times New Roman" w:hAnsi="Times New Roman" w:cs="Times New Roman"/>
          <w:color w:val="000000" w:themeColor="text1"/>
          <w:sz w:val="20"/>
          <w:szCs w:val="20"/>
          <w:lang w:val="en-GB"/>
        </w:rPr>
        <w:tab/>
        <w:t>20</w:t>
      </w:r>
    </w:p>
    <w:p w14:paraId="5B2DC345"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2.7 Analysis of the Identified Problem</w:t>
      </w:r>
      <w:r w:rsidRPr="003D30A1">
        <w:rPr>
          <w:rFonts w:ascii="Times New Roman" w:hAnsi="Times New Roman" w:cs="Times New Roman"/>
          <w:color w:val="000000" w:themeColor="text1"/>
          <w:sz w:val="20"/>
          <w:szCs w:val="20"/>
          <w:lang w:val="en-GB"/>
        </w:rPr>
        <w:tab/>
        <w:t>20</w:t>
      </w:r>
    </w:p>
    <w:p w14:paraId="05A90224"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2.8 Root-Cause Analysis</w:t>
      </w:r>
      <w:r w:rsidRPr="003D30A1">
        <w:rPr>
          <w:rFonts w:ascii="Times New Roman" w:hAnsi="Times New Roman" w:cs="Times New Roman"/>
          <w:color w:val="000000" w:themeColor="text1"/>
          <w:sz w:val="20"/>
          <w:szCs w:val="20"/>
          <w:lang w:val="en-GB"/>
        </w:rPr>
        <w:tab/>
        <w:t>20</w:t>
      </w:r>
    </w:p>
    <w:p w14:paraId="3FC3E1EA"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2.9 Needs and Gap Analysis</w:t>
      </w:r>
      <w:r w:rsidRPr="003D30A1">
        <w:rPr>
          <w:rFonts w:ascii="Times New Roman" w:hAnsi="Times New Roman" w:cs="Times New Roman"/>
          <w:color w:val="000000" w:themeColor="text1"/>
          <w:sz w:val="20"/>
          <w:szCs w:val="20"/>
          <w:lang w:val="en-GB"/>
        </w:rPr>
        <w:tab/>
        <w:t>20</w:t>
      </w:r>
    </w:p>
    <w:p w14:paraId="58BEA8BF"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2.10 Analysis of Alternative Solutions</w:t>
      </w:r>
      <w:r w:rsidRPr="003D30A1">
        <w:rPr>
          <w:rFonts w:ascii="Times New Roman" w:hAnsi="Times New Roman" w:cs="Times New Roman"/>
          <w:color w:val="000000" w:themeColor="text1"/>
          <w:sz w:val="20"/>
          <w:szCs w:val="20"/>
          <w:lang w:val="en-GB"/>
        </w:rPr>
        <w:tab/>
        <w:t>20</w:t>
      </w:r>
    </w:p>
    <w:p w14:paraId="255C7FF4"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2.11 Selection of the Preferred Intervention</w:t>
      </w:r>
      <w:r w:rsidRPr="003D30A1">
        <w:rPr>
          <w:rFonts w:ascii="Times New Roman" w:hAnsi="Times New Roman" w:cs="Times New Roman"/>
          <w:color w:val="000000" w:themeColor="text1"/>
          <w:sz w:val="20"/>
          <w:szCs w:val="20"/>
          <w:lang w:val="en-GB"/>
        </w:rPr>
        <w:tab/>
        <w:t>20</w:t>
      </w:r>
    </w:p>
    <w:p w14:paraId="68A581F0"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2.12 Chapter Summary</w:t>
      </w:r>
      <w:r w:rsidRPr="003D30A1">
        <w:rPr>
          <w:rFonts w:ascii="Times New Roman" w:hAnsi="Times New Roman" w:cs="Times New Roman"/>
          <w:color w:val="000000" w:themeColor="text1"/>
          <w:sz w:val="20"/>
          <w:szCs w:val="20"/>
          <w:lang w:val="en-GB"/>
        </w:rPr>
        <w:tab/>
        <w:t>21</w:t>
      </w:r>
    </w:p>
    <w:p w14:paraId="3076CD46" w14:textId="77777777" w:rsidR="00031E74" w:rsidRPr="003D30A1" w:rsidRDefault="00000000">
      <w:pPr>
        <w:tabs>
          <w:tab w:val="right" w:leader="dot" w:pos="9360"/>
        </w:tabs>
        <w:spacing w:after="14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CHAPTER THREE: DESIGN AND DEVELOPMENT OF THE CAPSTONE INTERVENTION</w:t>
      </w:r>
      <w:r w:rsidRPr="003D30A1">
        <w:rPr>
          <w:rFonts w:ascii="Times New Roman" w:hAnsi="Times New Roman" w:cs="Times New Roman"/>
          <w:b/>
          <w:bCs/>
          <w:color w:val="000000" w:themeColor="text1"/>
          <w:lang w:val="en-GB"/>
        </w:rPr>
        <w:tab/>
        <w:t>22</w:t>
      </w:r>
    </w:p>
    <w:p w14:paraId="58ADBE49"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3.1 Design Principles of the Capstone Intervention</w:t>
      </w:r>
      <w:r w:rsidRPr="003D30A1">
        <w:rPr>
          <w:rFonts w:ascii="Times New Roman" w:hAnsi="Times New Roman" w:cs="Times New Roman"/>
          <w:color w:val="000000" w:themeColor="text1"/>
          <w:sz w:val="20"/>
          <w:szCs w:val="20"/>
          <w:lang w:val="en-GB"/>
        </w:rPr>
        <w:tab/>
        <w:t>22</w:t>
      </w:r>
    </w:p>
    <w:p w14:paraId="1C69D7C7"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3.2 Proposed Capstone Intervention / Innovation</w:t>
      </w:r>
      <w:r w:rsidRPr="003D30A1">
        <w:rPr>
          <w:rFonts w:ascii="Times New Roman" w:hAnsi="Times New Roman" w:cs="Times New Roman"/>
          <w:color w:val="000000" w:themeColor="text1"/>
          <w:sz w:val="20"/>
          <w:szCs w:val="20"/>
          <w:lang w:val="en-GB"/>
        </w:rPr>
        <w:tab/>
        <w:t>22</w:t>
      </w:r>
    </w:p>
    <w:p w14:paraId="2387BE4B"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3.3 Intervention Design Framework</w:t>
      </w:r>
      <w:r w:rsidRPr="003D30A1">
        <w:rPr>
          <w:rFonts w:ascii="Times New Roman" w:hAnsi="Times New Roman" w:cs="Times New Roman"/>
          <w:color w:val="000000" w:themeColor="text1"/>
          <w:sz w:val="20"/>
          <w:szCs w:val="20"/>
          <w:lang w:val="en-GB"/>
        </w:rPr>
        <w:tab/>
        <w:t>22</w:t>
      </w:r>
    </w:p>
    <w:p w14:paraId="299C0449"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3.4 System Architecture</w:t>
      </w:r>
      <w:r w:rsidRPr="003D30A1">
        <w:rPr>
          <w:rFonts w:ascii="Times New Roman" w:hAnsi="Times New Roman" w:cs="Times New Roman"/>
          <w:color w:val="000000" w:themeColor="text1"/>
          <w:sz w:val="20"/>
          <w:szCs w:val="20"/>
          <w:lang w:val="en-GB"/>
        </w:rPr>
        <w:tab/>
        <w:t>22</w:t>
      </w:r>
    </w:p>
    <w:p w14:paraId="615D3178"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3.5 Laboratory Modules Implemented and Roadmap</w:t>
      </w:r>
      <w:r w:rsidRPr="003D30A1">
        <w:rPr>
          <w:rFonts w:ascii="Times New Roman" w:hAnsi="Times New Roman" w:cs="Times New Roman"/>
          <w:color w:val="000000" w:themeColor="text1"/>
          <w:sz w:val="20"/>
          <w:szCs w:val="20"/>
          <w:lang w:val="en-GB"/>
        </w:rPr>
        <w:tab/>
        <w:t>23</w:t>
      </w:r>
    </w:p>
    <w:p w14:paraId="4F3FB756"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3.6 Technical Specifications</w:t>
      </w:r>
      <w:r w:rsidRPr="003D30A1">
        <w:rPr>
          <w:rFonts w:ascii="Times New Roman" w:hAnsi="Times New Roman" w:cs="Times New Roman"/>
          <w:color w:val="000000" w:themeColor="text1"/>
          <w:sz w:val="20"/>
          <w:szCs w:val="20"/>
          <w:lang w:val="en-GB"/>
        </w:rPr>
        <w:tab/>
        <w:t>23</w:t>
      </w:r>
    </w:p>
    <w:p w14:paraId="5A6949EA"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3.7 Development Process</w:t>
      </w:r>
      <w:r w:rsidRPr="003D30A1">
        <w:rPr>
          <w:rFonts w:ascii="Times New Roman" w:hAnsi="Times New Roman" w:cs="Times New Roman"/>
          <w:color w:val="000000" w:themeColor="text1"/>
          <w:sz w:val="20"/>
          <w:szCs w:val="20"/>
          <w:lang w:val="en-GB"/>
        </w:rPr>
        <w:tab/>
        <w:t>24</w:t>
      </w:r>
    </w:p>
    <w:p w14:paraId="14457086"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3.8 Prototype / Product / Programme Development</w:t>
      </w:r>
      <w:r w:rsidRPr="003D30A1">
        <w:rPr>
          <w:rFonts w:ascii="Times New Roman" w:hAnsi="Times New Roman" w:cs="Times New Roman"/>
          <w:color w:val="000000" w:themeColor="text1"/>
          <w:sz w:val="20"/>
          <w:szCs w:val="20"/>
          <w:lang w:val="en-GB"/>
        </w:rPr>
        <w:tab/>
        <w:t>24</w:t>
      </w:r>
    </w:p>
    <w:p w14:paraId="46FA8857"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3.9 Stakeholder Engagement and Validation</w:t>
      </w:r>
      <w:r w:rsidRPr="003D30A1">
        <w:rPr>
          <w:rFonts w:ascii="Times New Roman" w:hAnsi="Times New Roman" w:cs="Times New Roman"/>
          <w:color w:val="000000" w:themeColor="text1"/>
          <w:sz w:val="20"/>
          <w:szCs w:val="20"/>
          <w:lang w:val="en-GB"/>
        </w:rPr>
        <w:tab/>
        <w:t>24</w:t>
      </w:r>
    </w:p>
    <w:p w14:paraId="144D4C46"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3.10 Pilot Testing / Pre-Testing</w:t>
      </w:r>
      <w:r w:rsidRPr="003D30A1">
        <w:rPr>
          <w:rFonts w:ascii="Times New Roman" w:hAnsi="Times New Roman" w:cs="Times New Roman"/>
          <w:color w:val="000000" w:themeColor="text1"/>
          <w:sz w:val="20"/>
          <w:szCs w:val="20"/>
          <w:lang w:val="en-GB"/>
        </w:rPr>
        <w:tab/>
        <w:t>24</w:t>
      </w:r>
    </w:p>
    <w:p w14:paraId="7473C4A9"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3.11 Revision and Refinement of the Intervention</w:t>
      </w:r>
      <w:r w:rsidRPr="003D30A1">
        <w:rPr>
          <w:rFonts w:ascii="Times New Roman" w:hAnsi="Times New Roman" w:cs="Times New Roman"/>
          <w:color w:val="000000" w:themeColor="text1"/>
          <w:sz w:val="20"/>
          <w:szCs w:val="20"/>
          <w:lang w:val="en-GB"/>
        </w:rPr>
        <w:tab/>
        <w:t>24</w:t>
      </w:r>
    </w:p>
    <w:p w14:paraId="184C802F"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3.12 Implementation Plan</w:t>
      </w:r>
      <w:r w:rsidRPr="003D30A1">
        <w:rPr>
          <w:rFonts w:ascii="Times New Roman" w:hAnsi="Times New Roman" w:cs="Times New Roman"/>
          <w:color w:val="000000" w:themeColor="text1"/>
          <w:sz w:val="20"/>
          <w:szCs w:val="20"/>
          <w:lang w:val="en-GB"/>
        </w:rPr>
        <w:tab/>
        <w:t>24</w:t>
      </w:r>
    </w:p>
    <w:p w14:paraId="49DE370F"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3.13 Resource Requirements and Budget</w:t>
      </w:r>
      <w:r w:rsidRPr="003D30A1">
        <w:rPr>
          <w:rFonts w:ascii="Times New Roman" w:hAnsi="Times New Roman" w:cs="Times New Roman"/>
          <w:color w:val="000000" w:themeColor="text1"/>
          <w:sz w:val="20"/>
          <w:szCs w:val="20"/>
          <w:lang w:val="en-GB"/>
        </w:rPr>
        <w:tab/>
        <w:t>25</w:t>
      </w:r>
    </w:p>
    <w:p w14:paraId="6CF305D3"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3.14 Risk Management</w:t>
      </w:r>
      <w:r w:rsidRPr="003D30A1">
        <w:rPr>
          <w:rFonts w:ascii="Times New Roman" w:hAnsi="Times New Roman" w:cs="Times New Roman"/>
          <w:color w:val="000000" w:themeColor="text1"/>
          <w:sz w:val="20"/>
          <w:szCs w:val="20"/>
          <w:lang w:val="en-GB"/>
        </w:rPr>
        <w:tab/>
        <w:t>25</w:t>
      </w:r>
    </w:p>
    <w:p w14:paraId="42336584"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3.15 Sustainability and Scalability</w:t>
      </w:r>
      <w:r w:rsidRPr="003D30A1">
        <w:rPr>
          <w:rFonts w:ascii="Times New Roman" w:hAnsi="Times New Roman" w:cs="Times New Roman"/>
          <w:color w:val="000000" w:themeColor="text1"/>
          <w:sz w:val="20"/>
          <w:szCs w:val="20"/>
          <w:lang w:val="en-GB"/>
        </w:rPr>
        <w:tab/>
        <w:t>26</w:t>
      </w:r>
    </w:p>
    <w:p w14:paraId="48CA4827"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3.16 Monitoring and Evaluation Framework</w:t>
      </w:r>
      <w:r w:rsidRPr="003D30A1">
        <w:rPr>
          <w:rFonts w:ascii="Times New Roman" w:hAnsi="Times New Roman" w:cs="Times New Roman"/>
          <w:color w:val="000000" w:themeColor="text1"/>
          <w:sz w:val="20"/>
          <w:szCs w:val="20"/>
          <w:lang w:val="en-GB"/>
        </w:rPr>
        <w:tab/>
        <w:t>26</w:t>
      </w:r>
    </w:p>
    <w:p w14:paraId="133ED9C9"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3.17 Chapter Summary</w:t>
      </w:r>
      <w:r w:rsidRPr="003D30A1">
        <w:rPr>
          <w:rFonts w:ascii="Times New Roman" w:hAnsi="Times New Roman" w:cs="Times New Roman"/>
          <w:color w:val="000000" w:themeColor="text1"/>
          <w:sz w:val="20"/>
          <w:szCs w:val="20"/>
          <w:lang w:val="en-GB"/>
        </w:rPr>
        <w:tab/>
        <w:t>26</w:t>
      </w:r>
    </w:p>
    <w:p w14:paraId="6D35B0C9" w14:textId="77777777" w:rsidR="00031E74" w:rsidRPr="003D30A1" w:rsidRDefault="00000000">
      <w:pPr>
        <w:tabs>
          <w:tab w:val="right" w:leader="dot" w:pos="9360"/>
        </w:tabs>
        <w:spacing w:after="14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CHAPTER FOUR: IMPLEMENTATION, EVALUATION AND REFLECTION</w:t>
      </w:r>
      <w:r w:rsidRPr="003D30A1">
        <w:rPr>
          <w:rFonts w:ascii="Times New Roman" w:hAnsi="Times New Roman" w:cs="Times New Roman"/>
          <w:b/>
          <w:bCs/>
          <w:color w:val="000000" w:themeColor="text1"/>
          <w:lang w:val="en-GB"/>
        </w:rPr>
        <w:tab/>
        <w:t>27</w:t>
      </w:r>
    </w:p>
    <w:p w14:paraId="3FCBF4C6"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4.1 Implementation of the Capstone Intervention</w:t>
      </w:r>
      <w:r w:rsidRPr="003D30A1">
        <w:rPr>
          <w:rFonts w:ascii="Times New Roman" w:hAnsi="Times New Roman" w:cs="Times New Roman"/>
          <w:color w:val="000000" w:themeColor="text1"/>
          <w:sz w:val="20"/>
          <w:szCs w:val="20"/>
          <w:lang w:val="en-GB"/>
        </w:rPr>
        <w:tab/>
        <w:t>27</w:t>
      </w:r>
    </w:p>
    <w:p w14:paraId="0E7A1D2F"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4.2 Implementation Process</w:t>
      </w:r>
      <w:r w:rsidRPr="003D30A1">
        <w:rPr>
          <w:rFonts w:ascii="Times New Roman" w:hAnsi="Times New Roman" w:cs="Times New Roman"/>
          <w:color w:val="000000" w:themeColor="text1"/>
          <w:sz w:val="20"/>
          <w:szCs w:val="20"/>
          <w:lang w:val="en-GB"/>
        </w:rPr>
        <w:tab/>
        <w:t>27</w:t>
      </w:r>
    </w:p>
    <w:p w14:paraId="7DBE51F6"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4.3 Participation and Stakeholder Engagement</w:t>
      </w:r>
      <w:r w:rsidRPr="003D30A1">
        <w:rPr>
          <w:rFonts w:ascii="Times New Roman" w:hAnsi="Times New Roman" w:cs="Times New Roman"/>
          <w:color w:val="000000" w:themeColor="text1"/>
          <w:sz w:val="20"/>
          <w:szCs w:val="20"/>
          <w:lang w:val="en-GB"/>
        </w:rPr>
        <w:tab/>
        <w:t>27</w:t>
      </w:r>
    </w:p>
    <w:p w14:paraId="095B4BEC"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4.4 Evaluation of the Intervention</w:t>
      </w:r>
      <w:r w:rsidRPr="003D30A1">
        <w:rPr>
          <w:rFonts w:ascii="Times New Roman" w:hAnsi="Times New Roman" w:cs="Times New Roman"/>
          <w:color w:val="000000" w:themeColor="text1"/>
          <w:sz w:val="20"/>
          <w:szCs w:val="20"/>
          <w:lang w:val="en-GB"/>
        </w:rPr>
        <w:tab/>
        <w:t>27</w:t>
      </w:r>
    </w:p>
    <w:p w14:paraId="0E7C5276"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4.5 Presentation of Evaluation Findings</w:t>
      </w:r>
      <w:r w:rsidRPr="003D30A1">
        <w:rPr>
          <w:rFonts w:ascii="Times New Roman" w:hAnsi="Times New Roman" w:cs="Times New Roman"/>
          <w:color w:val="000000" w:themeColor="text1"/>
          <w:sz w:val="20"/>
          <w:szCs w:val="20"/>
          <w:lang w:val="en-GB"/>
        </w:rPr>
        <w:tab/>
        <w:t>27</w:t>
      </w:r>
    </w:p>
    <w:p w14:paraId="52743569"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lastRenderedPageBreak/>
        <w:t>4.6 Assessment of Outcomes</w:t>
      </w:r>
      <w:r w:rsidRPr="003D30A1">
        <w:rPr>
          <w:rFonts w:ascii="Times New Roman" w:hAnsi="Times New Roman" w:cs="Times New Roman"/>
          <w:color w:val="000000" w:themeColor="text1"/>
          <w:sz w:val="20"/>
          <w:szCs w:val="20"/>
          <w:lang w:val="en-GB"/>
        </w:rPr>
        <w:tab/>
        <w:t>27</w:t>
      </w:r>
    </w:p>
    <w:p w14:paraId="4F31CDFE"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4.7 User / Stakeholder Feedback</w:t>
      </w:r>
      <w:r w:rsidRPr="003D30A1">
        <w:rPr>
          <w:rFonts w:ascii="Times New Roman" w:hAnsi="Times New Roman" w:cs="Times New Roman"/>
          <w:color w:val="000000" w:themeColor="text1"/>
          <w:sz w:val="20"/>
          <w:szCs w:val="20"/>
          <w:lang w:val="en-GB"/>
        </w:rPr>
        <w:tab/>
        <w:t>27</w:t>
      </w:r>
    </w:p>
    <w:p w14:paraId="44B862BD"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4.8 Comparison of Intended and Actual Outcomes</w:t>
      </w:r>
      <w:r w:rsidRPr="003D30A1">
        <w:rPr>
          <w:rFonts w:ascii="Times New Roman" w:hAnsi="Times New Roman" w:cs="Times New Roman"/>
          <w:color w:val="000000" w:themeColor="text1"/>
          <w:sz w:val="20"/>
          <w:szCs w:val="20"/>
          <w:lang w:val="en-GB"/>
        </w:rPr>
        <w:tab/>
        <w:t>28</w:t>
      </w:r>
    </w:p>
    <w:p w14:paraId="70B0C1DA"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4.9 Challenges Encountered During Implementation</w:t>
      </w:r>
      <w:r w:rsidRPr="003D30A1">
        <w:rPr>
          <w:rFonts w:ascii="Times New Roman" w:hAnsi="Times New Roman" w:cs="Times New Roman"/>
          <w:color w:val="000000" w:themeColor="text1"/>
          <w:sz w:val="20"/>
          <w:szCs w:val="20"/>
          <w:lang w:val="en-GB"/>
        </w:rPr>
        <w:tab/>
        <w:t>28</w:t>
      </w:r>
    </w:p>
    <w:p w14:paraId="4809B631"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4.10 Mitigation Measures</w:t>
      </w:r>
      <w:r w:rsidRPr="003D30A1">
        <w:rPr>
          <w:rFonts w:ascii="Times New Roman" w:hAnsi="Times New Roman" w:cs="Times New Roman"/>
          <w:color w:val="000000" w:themeColor="text1"/>
          <w:sz w:val="20"/>
          <w:szCs w:val="20"/>
          <w:lang w:val="en-GB"/>
        </w:rPr>
        <w:tab/>
        <w:t>28</w:t>
      </w:r>
    </w:p>
    <w:p w14:paraId="379F4227"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4.11 Reflection on the Capstone Process</w:t>
      </w:r>
      <w:r w:rsidRPr="003D30A1">
        <w:rPr>
          <w:rFonts w:ascii="Times New Roman" w:hAnsi="Times New Roman" w:cs="Times New Roman"/>
          <w:color w:val="000000" w:themeColor="text1"/>
          <w:sz w:val="20"/>
          <w:szCs w:val="20"/>
          <w:lang w:val="en-GB"/>
        </w:rPr>
        <w:tab/>
        <w:t>28</w:t>
      </w:r>
    </w:p>
    <w:p w14:paraId="73B9AF87"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4.12 Lessons Learned and Best Practices</w:t>
      </w:r>
      <w:r w:rsidRPr="003D30A1">
        <w:rPr>
          <w:rFonts w:ascii="Times New Roman" w:hAnsi="Times New Roman" w:cs="Times New Roman"/>
          <w:color w:val="000000" w:themeColor="text1"/>
          <w:sz w:val="20"/>
          <w:szCs w:val="20"/>
          <w:lang w:val="en-GB"/>
        </w:rPr>
        <w:tab/>
        <w:t>28</w:t>
      </w:r>
    </w:p>
    <w:p w14:paraId="358FB452"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4.13 Recommendations for Improvement and Scale-Up</w:t>
      </w:r>
      <w:r w:rsidRPr="003D30A1">
        <w:rPr>
          <w:rFonts w:ascii="Times New Roman" w:hAnsi="Times New Roman" w:cs="Times New Roman"/>
          <w:color w:val="000000" w:themeColor="text1"/>
          <w:sz w:val="20"/>
          <w:szCs w:val="20"/>
          <w:lang w:val="en-GB"/>
        </w:rPr>
        <w:tab/>
        <w:t>28</w:t>
      </w:r>
    </w:p>
    <w:p w14:paraId="65058561"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4.14 Expected Academic and Practical Deliverables</w:t>
      </w:r>
      <w:r w:rsidRPr="003D30A1">
        <w:rPr>
          <w:rFonts w:ascii="Times New Roman" w:hAnsi="Times New Roman" w:cs="Times New Roman"/>
          <w:color w:val="000000" w:themeColor="text1"/>
          <w:sz w:val="20"/>
          <w:szCs w:val="20"/>
          <w:lang w:val="en-GB"/>
        </w:rPr>
        <w:tab/>
        <w:t>28</w:t>
      </w:r>
    </w:p>
    <w:p w14:paraId="1FDAC10B"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4.15 Sustainability and Future Directions</w:t>
      </w:r>
      <w:r w:rsidRPr="003D30A1">
        <w:rPr>
          <w:rFonts w:ascii="Times New Roman" w:hAnsi="Times New Roman" w:cs="Times New Roman"/>
          <w:color w:val="000000" w:themeColor="text1"/>
          <w:sz w:val="20"/>
          <w:szCs w:val="20"/>
          <w:lang w:val="en-GB"/>
        </w:rPr>
        <w:tab/>
        <w:t>29</w:t>
      </w:r>
    </w:p>
    <w:p w14:paraId="262C7E91"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4.16 Conclusion</w:t>
      </w:r>
      <w:r w:rsidRPr="003D30A1">
        <w:rPr>
          <w:rFonts w:ascii="Times New Roman" w:hAnsi="Times New Roman" w:cs="Times New Roman"/>
          <w:color w:val="000000" w:themeColor="text1"/>
          <w:sz w:val="20"/>
          <w:szCs w:val="20"/>
          <w:lang w:val="en-GB"/>
        </w:rPr>
        <w:tab/>
        <w:t>29</w:t>
      </w:r>
    </w:p>
    <w:p w14:paraId="140043AA" w14:textId="77777777" w:rsidR="00031E74" w:rsidRPr="003D30A1" w:rsidRDefault="00000000">
      <w:pPr>
        <w:tabs>
          <w:tab w:val="right" w:leader="dot" w:pos="9360"/>
        </w:tabs>
        <w:spacing w:after="80"/>
        <w:ind w:left="260"/>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4.17 Chapter Summary</w:t>
      </w:r>
      <w:r w:rsidRPr="003D30A1">
        <w:rPr>
          <w:rFonts w:ascii="Times New Roman" w:hAnsi="Times New Roman" w:cs="Times New Roman"/>
          <w:color w:val="000000" w:themeColor="text1"/>
          <w:sz w:val="20"/>
          <w:szCs w:val="20"/>
          <w:lang w:val="en-GB"/>
        </w:rPr>
        <w:tab/>
        <w:t>29</w:t>
      </w:r>
    </w:p>
    <w:p w14:paraId="69309311" w14:textId="77777777" w:rsidR="00031E74" w:rsidRPr="003D30A1" w:rsidRDefault="00000000">
      <w:pPr>
        <w:tabs>
          <w:tab w:val="right" w:leader="dot" w:pos="9360"/>
        </w:tabs>
        <w:spacing w:after="14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REFERENCES</w:t>
      </w:r>
      <w:r w:rsidRPr="003D30A1">
        <w:rPr>
          <w:rFonts w:ascii="Times New Roman" w:hAnsi="Times New Roman" w:cs="Times New Roman"/>
          <w:b/>
          <w:bCs/>
          <w:color w:val="000000" w:themeColor="text1"/>
          <w:lang w:val="en-GB"/>
        </w:rPr>
        <w:tab/>
        <w:t>30</w:t>
      </w:r>
    </w:p>
    <w:p w14:paraId="0786E9DE" w14:textId="77777777" w:rsidR="00E1705C" w:rsidRPr="003D30A1" w:rsidRDefault="00000000">
      <w:pPr>
        <w:pStyle w:val="Heading1"/>
        <w:pageBreakBefore/>
        <w:spacing w:before="480" w:after="24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lastRenderedPageBreak/>
        <w:t>Definition of Terms</w:t>
      </w:r>
    </w:p>
    <w:p w14:paraId="5DC69255" w14:textId="77777777"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 xml:space="preserve">VirtuLab Kenya: </w:t>
      </w:r>
      <w:r w:rsidRPr="003D30A1">
        <w:rPr>
          <w:rFonts w:ascii="Times New Roman" w:hAnsi="Times New Roman" w:cs="Times New Roman"/>
          <w:color w:val="000000" w:themeColor="text1"/>
          <w:lang w:val="en-GB"/>
        </w:rPr>
        <w:t xml:space="preserve">A web-based, bilingual, offline-first virtual chemistry laboratory platform. </w:t>
      </w:r>
      <w:r w:rsidRPr="003D30A1">
        <w:rPr>
          <w:rFonts w:ascii="Times New Roman" w:hAnsi="Times New Roman" w:cs="Times New Roman"/>
          <w:b/>
          <w:bCs/>
          <w:color w:val="000000" w:themeColor="text1"/>
          <w:lang w:val="en-GB"/>
        </w:rPr>
        <w:t xml:space="preserve">KCSE: </w:t>
      </w:r>
      <w:r w:rsidRPr="003D30A1">
        <w:rPr>
          <w:rFonts w:ascii="Times New Roman" w:hAnsi="Times New Roman" w:cs="Times New Roman"/>
          <w:color w:val="000000" w:themeColor="text1"/>
          <w:lang w:val="en-GB"/>
        </w:rPr>
        <w:t xml:space="preserve">Kenya Certificate of Secondary Education. </w:t>
      </w:r>
      <w:r w:rsidRPr="003D30A1">
        <w:rPr>
          <w:rFonts w:ascii="Times New Roman" w:hAnsi="Times New Roman" w:cs="Times New Roman"/>
          <w:b/>
          <w:bCs/>
          <w:color w:val="000000" w:themeColor="text1"/>
          <w:lang w:val="en-GB"/>
        </w:rPr>
        <w:t xml:space="preserve">KICD: </w:t>
      </w:r>
      <w:r w:rsidRPr="003D30A1">
        <w:rPr>
          <w:rFonts w:ascii="Times New Roman" w:hAnsi="Times New Roman" w:cs="Times New Roman"/>
          <w:color w:val="000000" w:themeColor="text1"/>
          <w:lang w:val="en-GB"/>
        </w:rPr>
        <w:t xml:space="preserve">Kenya Institute of Curriculum Development. </w:t>
      </w:r>
      <w:r w:rsidRPr="003D30A1">
        <w:rPr>
          <w:rFonts w:ascii="Times New Roman" w:hAnsi="Times New Roman" w:cs="Times New Roman"/>
          <w:b/>
          <w:bCs/>
          <w:color w:val="000000" w:themeColor="text1"/>
          <w:lang w:val="en-GB"/>
        </w:rPr>
        <w:t xml:space="preserve">KNEC: </w:t>
      </w:r>
      <w:r w:rsidRPr="003D30A1">
        <w:rPr>
          <w:rFonts w:ascii="Times New Roman" w:hAnsi="Times New Roman" w:cs="Times New Roman"/>
          <w:color w:val="000000" w:themeColor="text1"/>
          <w:lang w:val="en-GB"/>
        </w:rPr>
        <w:t xml:space="preserve">Kenya National Examinations Council. </w:t>
      </w:r>
      <w:r w:rsidRPr="003D30A1">
        <w:rPr>
          <w:rFonts w:ascii="Times New Roman" w:hAnsi="Times New Roman" w:cs="Times New Roman"/>
          <w:b/>
          <w:bCs/>
          <w:color w:val="000000" w:themeColor="text1"/>
          <w:lang w:val="en-GB"/>
        </w:rPr>
        <w:t xml:space="preserve">CEMASTEA: </w:t>
      </w:r>
      <w:r w:rsidRPr="003D30A1">
        <w:rPr>
          <w:rFonts w:ascii="Times New Roman" w:hAnsi="Times New Roman" w:cs="Times New Roman"/>
          <w:color w:val="000000" w:themeColor="text1"/>
          <w:lang w:val="en-GB"/>
        </w:rPr>
        <w:t xml:space="preserve">Centre for Mathematics, Science and Technology Education in Africa. </w:t>
      </w:r>
      <w:r w:rsidRPr="003D30A1">
        <w:rPr>
          <w:rFonts w:ascii="Times New Roman" w:hAnsi="Times New Roman" w:cs="Times New Roman"/>
          <w:b/>
          <w:bCs/>
          <w:color w:val="000000" w:themeColor="text1"/>
          <w:lang w:val="en-GB"/>
        </w:rPr>
        <w:t xml:space="preserve">CPCAT: </w:t>
      </w:r>
      <w:r w:rsidRPr="003D30A1">
        <w:rPr>
          <w:rFonts w:ascii="Times New Roman" w:hAnsi="Times New Roman" w:cs="Times New Roman"/>
          <w:color w:val="000000" w:themeColor="text1"/>
          <w:lang w:val="en-GB"/>
        </w:rPr>
        <w:t xml:space="preserve">Chemistry Practical Competency Achievement Test — the study’s standardised pre-/post-test instrument. </w:t>
      </w:r>
      <w:r w:rsidRPr="003D30A1">
        <w:rPr>
          <w:rFonts w:ascii="Times New Roman" w:hAnsi="Times New Roman" w:cs="Times New Roman"/>
          <w:b/>
          <w:bCs/>
          <w:color w:val="000000" w:themeColor="text1"/>
          <w:lang w:val="en-GB"/>
        </w:rPr>
        <w:t xml:space="preserve">SUS: </w:t>
      </w:r>
      <w:r w:rsidRPr="003D30A1">
        <w:rPr>
          <w:rFonts w:ascii="Times New Roman" w:hAnsi="Times New Roman" w:cs="Times New Roman"/>
          <w:color w:val="000000" w:themeColor="text1"/>
          <w:lang w:val="en-GB"/>
        </w:rPr>
        <w:t xml:space="preserve">System Usability Scale, a validated 10-item usability benchmarking instrument (Brooke, 1996). </w:t>
      </w:r>
      <w:r w:rsidRPr="003D30A1">
        <w:rPr>
          <w:rFonts w:ascii="Times New Roman" w:hAnsi="Times New Roman" w:cs="Times New Roman"/>
          <w:b/>
          <w:bCs/>
          <w:color w:val="000000" w:themeColor="text1"/>
          <w:lang w:val="en-GB"/>
        </w:rPr>
        <w:t xml:space="preserve">TAM: </w:t>
      </w:r>
      <w:r w:rsidRPr="003D30A1">
        <w:rPr>
          <w:rFonts w:ascii="Times New Roman" w:hAnsi="Times New Roman" w:cs="Times New Roman"/>
          <w:color w:val="000000" w:themeColor="text1"/>
          <w:lang w:val="en-GB"/>
        </w:rPr>
        <w:t xml:space="preserve">Technology Acceptance Model, measuring Perceived Usefulness (PU), Perceived Ease of Use (PEOU), Facilitating Conditions (FC), and Behavioural Intention (BI). </w:t>
      </w:r>
      <w:r w:rsidRPr="003D30A1">
        <w:rPr>
          <w:rFonts w:ascii="Times New Roman" w:hAnsi="Times New Roman" w:cs="Times New Roman"/>
          <w:b/>
          <w:bCs/>
          <w:color w:val="000000" w:themeColor="text1"/>
          <w:lang w:val="en-GB"/>
        </w:rPr>
        <w:t xml:space="preserve">Normalised learning gain (g): </w:t>
      </w:r>
      <w:r w:rsidRPr="003D30A1">
        <w:rPr>
          <w:rFonts w:ascii="Times New Roman" w:hAnsi="Times New Roman" w:cs="Times New Roman"/>
          <w:color w:val="000000" w:themeColor="text1"/>
          <w:lang w:val="en-GB"/>
        </w:rPr>
        <w:t xml:space="preserve">Hake’s measure of learning improvement relative to the maximum possible gain from pre-test to post-test. </w:t>
      </w:r>
      <w:r w:rsidRPr="003D30A1">
        <w:rPr>
          <w:rFonts w:ascii="Times New Roman" w:hAnsi="Times New Roman" w:cs="Times New Roman"/>
          <w:b/>
          <w:bCs/>
          <w:color w:val="000000" w:themeColor="text1"/>
          <w:lang w:val="en-GB"/>
        </w:rPr>
        <w:t xml:space="preserve">NACOSTI: </w:t>
      </w:r>
      <w:r w:rsidRPr="003D30A1">
        <w:rPr>
          <w:rFonts w:ascii="Times New Roman" w:hAnsi="Times New Roman" w:cs="Times New Roman"/>
          <w:color w:val="000000" w:themeColor="text1"/>
          <w:lang w:val="en-GB"/>
        </w:rPr>
        <w:t xml:space="preserve">National Commission for Science, Technology and Innovation — Kenya’s national research permitting body. </w:t>
      </w:r>
    </w:p>
    <w:p w14:paraId="25E8B8EC" w14:textId="77777777" w:rsidR="00E1705C" w:rsidRPr="003D30A1" w:rsidRDefault="00000000">
      <w:pPr>
        <w:pStyle w:val="Heading1"/>
        <w:pageBreakBefore/>
        <w:spacing w:before="480" w:after="24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lastRenderedPageBreak/>
        <w:t>Abbreviations / Acronyms</w:t>
      </w:r>
    </w:p>
    <w:p w14:paraId="6C0AFABE" w14:textId="77777777"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 xml:space="preserve">ADDE — </w:t>
      </w:r>
      <w:r w:rsidRPr="003D30A1">
        <w:rPr>
          <w:rFonts w:ascii="Times New Roman" w:hAnsi="Times New Roman" w:cs="Times New Roman"/>
          <w:color w:val="000000" w:themeColor="text1"/>
          <w:lang w:val="en-GB"/>
        </w:rPr>
        <w:t xml:space="preserve">Analyse, Design, Develop, Evaluate (instructional design model). </w:t>
      </w:r>
      <w:r w:rsidRPr="003D30A1">
        <w:rPr>
          <w:rFonts w:ascii="Times New Roman" w:hAnsi="Times New Roman" w:cs="Times New Roman"/>
          <w:b/>
          <w:bCs/>
          <w:color w:val="000000" w:themeColor="text1"/>
          <w:lang w:val="en-GB"/>
        </w:rPr>
        <w:t xml:space="preserve">ANCOVA — </w:t>
      </w:r>
      <w:r w:rsidRPr="003D30A1">
        <w:rPr>
          <w:rFonts w:ascii="Times New Roman" w:hAnsi="Times New Roman" w:cs="Times New Roman"/>
          <w:color w:val="000000" w:themeColor="text1"/>
          <w:lang w:val="en-GB"/>
        </w:rPr>
        <w:t xml:space="preserve">Analysis of Covariance. </w:t>
      </w:r>
      <w:r w:rsidRPr="003D30A1">
        <w:rPr>
          <w:rFonts w:ascii="Times New Roman" w:hAnsi="Times New Roman" w:cs="Times New Roman"/>
          <w:b/>
          <w:bCs/>
          <w:color w:val="000000" w:themeColor="text1"/>
          <w:lang w:val="en-GB"/>
        </w:rPr>
        <w:t xml:space="preserve">BI — </w:t>
      </w:r>
      <w:r w:rsidRPr="003D30A1">
        <w:rPr>
          <w:rFonts w:ascii="Times New Roman" w:hAnsi="Times New Roman" w:cs="Times New Roman"/>
          <w:color w:val="000000" w:themeColor="text1"/>
          <w:lang w:val="en-GB"/>
        </w:rPr>
        <w:t xml:space="preserve">Behavioural Intention. </w:t>
      </w:r>
      <w:r w:rsidRPr="003D30A1">
        <w:rPr>
          <w:rFonts w:ascii="Times New Roman" w:hAnsi="Times New Roman" w:cs="Times New Roman"/>
          <w:b/>
          <w:bCs/>
          <w:color w:val="000000" w:themeColor="text1"/>
          <w:lang w:val="en-GB"/>
        </w:rPr>
        <w:t xml:space="preserve">CBC — </w:t>
      </w:r>
      <w:r w:rsidRPr="003D30A1">
        <w:rPr>
          <w:rFonts w:ascii="Times New Roman" w:hAnsi="Times New Roman" w:cs="Times New Roman"/>
          <w:color w:val="000000" w:themeColor="text1"/>
          <w:lang w:val="en-GB"/>
        </w:rPr>
        <w:t xml:space="preserve">Competency-Based Curriculum. </w:t>
      </w:r>
      <w:r w:rsidRPr="003D30A1">
        <w:rPr>
          <w:rFonts w:ascii="Times New Roman" w:hAnsi="Times New Roman" w:cs="Times New Roman"/>
          <w:b/>
          <w:bCs/>
          <w:color w:val="000000" w:themeColor="text1"/>
          <w:lang w:val="en-GB"/>
        </w:rPr>
        <w:t xml:space="preserve">CEMASTEA — </w:t>
      </w:r>
      <w:r w:rsidRPr="003D30A1">
        <w:rPr>
          <w:rFonts w:ascii="Times New Roman" w:hAnsi="Times New Roman" w:cs="Times New Roman"/>
          <w:color w:val="000000" w:themeColor="text1"/>
          <w:lang w:val="en-GB"/>
        </w:rPr>
        <w:t xml:space="preserve">Centre for Mathematics, Science and Technology Education in Africa. </w:t>
      </w:r>
      <w:r w:rsidRPr="003D30A1">
        <w:rPr>
          <w:rFonts w:ascii="Times New Roman" w:hAnsi="Times New Roman" w:cs="Times New Roman"/>
          <w:b/>
          <w:bCs/>
          <w:color w:val="000000" w:themeColor="text1"/>
          <w:lang w:val="en-GB"/>
        </w:rPr>
        <w:t xml:space="preserve">CLT — </w:t>
      </w:r>
      <w:r w:rsidRPr="003D30A1">
        <w:rPr>
          <w:rFonts w:ascii="Times New Roman" w:hAnsi="Times New Roman" w:cs="Times New Roman"/>
          <w:color w:val="000000" w:themeColor="text1"/>
          <w:lang w:val="en-GB"/>
        </w:rPr>
        <w:t xml:space="preserve">Cognitive Load Theory. </w:t>
      </w:r>
      <w:r w:rsidRPr="003D30A1">
        <w:rPr>
          <w:rFonts w:ascii="Times New Roman" w:hAnsi="Times New Roman" w:cs="Times New Roman"/>
          <w:b/>
          <w:bCs/>
          <w:color w:val="000000" w:themeColor="text1"/>
          <w:lang w:val="en-GB"/>
        </w:rPr>
        <w:t xml:space="preserve">CPCAT — </w:t>
      </w:r>
      <w:r w:rsidRPr="003D30A1">
        <w:rPr>
          <w:rFonts w:ascii="Times New Roman" w:hAnsi="Times New Roman" w:cs="Times New Roman"/>
          <w:color w:val="000000" w:themeColor="text1"/>
          <w:lang w:val="en-GB"/>
        </w:rPr>
        <w:t xml:space="preserve">Chemistry Practical Competency Achievement Test. </w:t>
      </w:r>
      <w:r w:rsidRPr="003D30A1">
        <w:rPr>
          <w:rFonts w:ascii="Times New Roman" w:hAnsi="Times New Roman" w:cs="Times New Roman"/>
          <w:b/>
          <w:bCs/>
          <w:color w:val="000000" w:themeColor="text1"/>
          <w:lang w:val="en-GB"/>
        </w:rPr>
        <w:t xml:space="preserve">CTML — </w:t>
      </w:r>
      <w:r w:rsidRPr="003D30A1">
        <w:rPr>
          <w:rFonts w:ascii="Times New Roman" w:hAnsi="Times New Roman" w:cs="Times New Roman"/>
          <w:color w:val="000000" w:themeColor="text1"/>
          <w:lang w:val="en-GB"/>
        </w:rPr>
        <w:t xml:space="preserve">Cognitive Theory of Multimedia Learning. </w:t>
      </w:r>
      <w:r w:rsidRPr="003D30A1">
        <w:rPr>
          <w:rFonts w:ascii="Times New Roman" w:hAnsi="Times New Roman" w:cs="Times New Roman"/>
          <w:b/>
          <w:bCs/>
          <w:color w:val="000000" w:themeColor="text1"/>
          <w:lang w:val="en-GB"/>
        </w:rPr>
        <w:t xml:space="preserve">FC — </w:t>
      </w:r>
      <w:r w:rsidRPr="003D30A1">
        <w:rPr>
          <w:rFonts w:ascii="Times New Roman" w:hAnsi="Times New Roman" w:cs="Times New Roman"/>
          <w:color w:val="000000" w:themeColor="text1"/>
          <w:lang w:val="en-GB"/>
        </w:rPr>
        <w:t xml:space="preserve">Facilitating Conditions. </w:t>
      </w:r>
      <w:r w:rsidRPr="003D30A1">
        <w:rPr>
          <w:rFonts w:ascii="Times New Roman" w:hAnsi="Times New Roman" w:cs="Times New Roman"/>
          <w:b/>
          <w:bCs/>
          <w:color w:val="000000" w:themeColor="text1"/>
          <w:lang w:val="en-GB"/>
        </w:rPr>
        <w:t xml:space="preserve">IBSE — </w:t>
      </w:r>
      <w:r w:rsidRPr="003D30A1">
        <w:rPr>
          <w:rFonts w:ascii="Times New Roman" w:hAnsi="Times New Roman" w:cs="Times New Roman"/>
          <w:color w:val="000000" w:themeColor="text1"/>
          <w:lang w:val="en-GB"/>
        </w:rPr>
        <w:t xml:space="preserve">Inquiry-Based Science Education. </w:t>
      </w:r>
      <w:r w:rsidRPr="003D30A1">
        <w:rPr>
          <w:rFonts w:ascii="Times New Roman" w:hAnsi="Times New Roman" w:cs="Times New Roman"/>
          <w:b/>
          <w:bCs/>
          <w:color w:val="000000" w:themeColor="text1"/>
          <w:lang w:val="en-GB"/>
        </w:rPr>
        <w:t xml:space="preserve">KCSE — </w:t>
      </w:r>
      <w:r w:rsidRPr="003D30A1">
        <w:rPr>
          <w:rFonts w:ascii="Times New Roman" w:hAnsi="Times New Roman" w:cs="Times New Roman"/>
          <w:color w:val="000000" w:themeColor="text1"/>
          <w:lang w:val="en-GB"/>
        </w:rPr>
        <w:t xml:space="preserve">Kenya Certificate of Secondary Education. </w:t>
      </w:r>
      <w:r w:rsidRPr="003D30A1">
        <w:rPr>
          <w:rFonts w:ascii="Times New Roman" w:hAnsi="Times New Roman" w:cs="Times New Roman"/>
          <w:b/>
          <w:bCs/>
          <w:color w:val="000000" w:themeColor="text1"/>
          <w:lang w:val="en-GB"/>
        </w:rPr>
        <w:t xml:space="preserve">KICD — </w:t>
      </w:r>
      <w:r w:rsidRPr="003D30A1">
        <w:rPr>
          <w:rFonts w:ascii="Times New Roman" w:hAnsi="Times New Roman" w:cs="Times New Roman"/>
          <w:color w:val="000000" w:themeColor="text1"/>
          <w:lang w:val="en-GB"/>
        </w:rPr>
        <w:t xml:space="preserve">Kenya Institute of Curriculum Development. </w:t>
      </w:r>
      <w:r w:rsidRPr="003D30A1">
        <w:rPr>
          <w:rFonts w:ascii="Times New Roman" w:hAnsi="Times New Roman" w:cs="Times New Roman"/>
          <w:b/>
          <w:bCs/>
          <w:color w:val="000000" w:themeColor="text1"/>
          <w:lang w:val="en-GB"/>
        </w:rPr>
        <w:t xml:space="preserve">KNEC — </w:t>
      </w:r>
      <w:r w:rsidRPr="003D30A1">
        <w:rPr>
          <w:rFonts w:ascii="Times New Roman" w:hAnsi="Times New Roman" w:cs="Times New Roman"/>
          <w:color w:val="000000" w:themeColor="text1"/>
          <w:lang w:val="en-GB"/>
        </w:rPr>
        <w:t xml:space="preserve">Kenya National Examinations Council. </w:t>
      </w:r>
      <w:r w:rsidRPr="003D30A1">
        <w:rPr>
          <w:rFonts w:ascii="Times New Roman" w:hAnsi="Times New Roman" w:cs="Times New Roman"/>
          <w:b/>
          <w:bCs/>
          <w:color w:val="000000" w:themeColor="text1"/>
          <w:lang w:val="en-GB"/>
        </w:rPr>
        <w:t xml:space="preserve">NACOSTI — </w:t>
      </w:r>
      <w:r w:rsidRPr="003D30A1">
        <w:rPr>
          <w:rFonts w:ascii="Times New Roman" w:hAnsi="Times New Roman" w:cs="Times New Roman"/>
          <w:color w:val="000000" w:themeColor="text1"/>
          <w:lang w:val="en-GB"/>
        </w:rPr>
        <w:t xml:space="preserve">National Commission for Science, Technology and Innovation. </w:t>
      </w:r>
      <w:r w:rsidRPr="003D30A1">
        <w:rPr>
          <w:rFonts w:ascii="Times New Roman" w:hAnsi="Times New Roman" w:cs="Times New Roman"/>
          <w:b/>
          <w:bCs/>
          <w:color w:val="000000" w:themeColor="text1"/>
          <w:lang w:val="en-GB"/>
        </w:rPr>
        <w:t xml:space="preserve">NESSP — </w:t>
      </w:r>
      <w:r w:rsidRPr="003D30A1">
        <w:rPr>
          <w:rFonts w:ascii="Times New Roman" w:hAnsi="Times New Roman" w:cs="Times New Roman"/>
          <w:color w:val="000000" w:themeColor="text1"/>
          <w:lang w:val="en-GB"/>
        </w:rPr>
        <w:t xml:space="preserve">National Education Sector Strategic Plan. </w:t>
      </w:r>
      <w:r w:rsidRPr="003D30A1">
        <w:rPr>
          <w:rFonts w:ascii="Times New Roman" w:hAnsi="Times New Roman" w:cs="Times New Roman"/>
          <w:b/>
          <w:bCs/>
          <w:color w:val="000000" w:themeColor="text1"/>
          <w:lang w:val="en-GB"/>
        </w:rPr>
        <w:t xml:space="preserve">OUK — </w:t>
      </w:r>
      <w:r w:rsidRPr="003D30A1">
        <w:rPr>
          <w:rFonts w:ascii="Times New Roman" w:hAnsi="Times New Roman" w:cs="Times New Roman"/>
          <w:color w:val="000000" w:themeColor="text1"/>
          <w:lang w:val="en-GB"/>
        </w:rPr>
        <w:t xml:space="preserve">Open University of Kenya. </w:t>
      </w:r>
      <w:r w:rsidRPr="003D30A1">
        <w:rPr>
          <w:rFonts w:ascii="Times New Roman" w:hAnsi="Times New Roman" w:cs="Times New Roman"/>
          <w:b/>
          <w:bCs/>
          <w:color w:val="000000" w:themeColor="text1"/>
          <w:lang w:val="en-GB"/>
        </w:rPr>
        <w:t xml:space="preserve">PEOU — </w:t>
      </w:r>
      <w:r w:rsidRPr="003D30A1">
        <w:rPr>
          <w:rFonts w:ascii="Times New Roman" w:hAnsi="Times New Roman" w:cs="Times New Roman"/>
          <w:color w:val="000000" w:themeColor="text1"/>
          <w:lang w:val="en-GB"/>
        </w:rPr>
        <w:t xml:space="preserve">Perceived Ease of Use. </w:t>
      </w:r>
      <w:r w:rsidRPr="003D30A1">
        <w:rPr>
          <w:rFonts w:ascii="Times New Roman" w:hAnsi="Times New Roman" w:cs="Times New Roman"/>
          <w:b/>
          <w:bCs/>
          <w:color w:val="000000" w:themeColor="text1"/>
          <w:lang w:val="en-GB"/>
        </w:rPr>
        <w:t xml:space="preserve">PU — </w:t>
      </w:r>
      <w:r w:rsidRPr="003D30A1">
        <w:rPr>
          <w:rFonts w:ascii="Times New Roman" w:hAnsi="Times New Roman" w:cs="Times New Roman"/>
          <w:color w:val="000000" w:themeColor="text1"/>
          <w:lang w:val="en-GB"/>
        </w:rPr>
        <w:t xml:space="preserve">Perceived Usefulness. </w:t>
      </w:r>
      <w:r w:rsidRPr="003D30A1">
        <w:rPr>
          <w:rFonts w:ascii="Times New Roman" w:hAnsi="Times New Roman" w:cs="Times New Roman"/>
          <w:b/>
          <w:bCs/>
          <w:color w:val="000000" w:themeColor="text1"/>
          <w:lang w:val="en-GB"/>
        </w:rPr>
        <w:t xml:space="preserve">PWA — </w:t>
      </w:r>
      <w:r w:rsidRPr="003D30A1">
        <w:rPr>
          <w:rFonts w:ascii="Times New Roman" w:hAnsi="Times New Roman" w:cs="Times New Roman"/>
          <w:color w:val="000000" w:themeColor="text1"/>
          <w:lang w:val="en-GB"/>
        </w:rPr>
        <w:t xml:space="preserve">Progressive Web App. </w:t>
      </w:r>
      <w:r w:rsidRPr="003D30A1">
        <w:rPr>
          <w:rFonts w:ascii="Times New Roman" w:hAnsi="Times New Roman" w:cs="Times New Roman"/>
          <w:b/>
          <w:bCs/>
          <w:color w:val="000000" w:themeColor="text1"/>
          <w:lang w:val="en-GB"/>
        </w:rPr>
        <w:t xml:space="preserve">STEM — </w:t>
      </w:r>
      <w:r w:rsidRPr="003D30A1">
        <w:rPr>
          <w:rFonts w:ascii="Times New Roman" w:hAnsi="Times New Roman" w:cs="Times New Roman"/>
          <w:color w:val="000000" w:themeColor="text1"/>
          <w:lang w:val="en-GB"/>
        </w:rPr>
        <w:t xml:space="preserve">Science, Technology, Engineering and Mathematics. </w:t>
      </w:r>
      <w:r w:rsidRPr="003D30A1">
        <w:rPr>
          <w:rFonts w:ascii="Times New Roman" w:hAnsi="Times New Roman" w:cs="Times New Roman"/>
          <w:b/>
          <w:bCs/>
          <w:color w:val="000000" w:themeColor="text1"/>
          <w:lang w:val="en-GB"/>
        </w:rPr>
        <w:t xml:space="preserve">SUS — </w:t>
      </w:r>
      <w:r w:rsidRPr="003D30A1">
        <w:rPr>
          <w:rFonts w:ascii="Times New Roman" w:hAnsi="Times New Roman" w:cs="Times New Roman"/>
          <w:color w:val="000000" w:themeColor="text1"/>
          <w:lang w:val="en-GB"/>
        </w:rPr>
        <w:t xml:space="preserve">System Usability Scale. </w:t>
      </w:r>
      <w:r w:rsidRPr="003D30A1">
        <w:rPr>
          <w:rFonts w:ascii="Times New Roman" w:hAnsi="Times New Roman" w:cs="Times New Roman"/>
          <w:b/>
          <w:bCs/>
          <w:color w:val="000000" w:themeColor="text1"/>
          <w:lang w:val="en-GB"/>
        </w:rPr>
        <w:t xml:space="preserve">TAM — </w:t>
      </w:r>
      <w:r w:rsidRPr="003D30A1">
        <w:rPr>
          <w:rFonts w:ascii="Times New Roman" w:hAnsi="Times New Roman" w:cs="Times New Roman"/>
          <w:color w:val="000000" w:themeColor="text1"/>
          <w:lang w:val="en-GB"/>
        </w:rPr>
        <w:t xml:space="preserve">Technology Acceptance Model. </w:t>
      </w:r>
      <w:r w:rsidRPr="003D30A1">
        <w:rPr>
          <w:rFonts w:ascii="Times New Roman" w:hAnsi="Times New Roman" w:cs="Times New Roman"/>
          <w:b/>
          <w:bCs/>
          <w:color w:val="000000" w:themeColor="text1"/>
          <w:lang w:val="en-GB"/>
        </w:rPr>
        <w:t xml:space="preserve">ZPD — </w:t>
      </w:r>
      <w:r w:rsidRPr="003D30A1">
        <w:rPr>
          <w:rFonts w:ascii="Times New Roman" w:hAnsi="Times New Roman" w:cs="Times New Roman"/>
          <w:color w:val="000000" w:themeColor="text1"/>
          <w:lang w:val="en-GB"/>
        </w:rPr>
        <w:t xml:space="preserve">Zone of Proximal Development. </w:t>
      </w:r>
    </w:p>
    <w:p w14:paraId="7C423006" w14:textId="77777777" w:rsidR="00031E74" w:rsidRPr="003D30A1" w:rsidRDefault="00000000">
      <w:pPr>
        <w:pStyle w:val="Heading1"/>
        <w:pageBreakBefore/>
        <w:spacing w:before="480" w:after="24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lastRenderedPageBreak/>
        <w:t>CHAPTER ONE: PROBLEM IDENTIFICATION</w:t>
      </w:r>
    </w:p>
    <w:p w14:paraId="123950B1"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This chapter outlines the foundational context of the capstone project, defining the problem of inadequate laboratory infrastructure in Kenyan secondary schools and presenting VirtuLab Kenya as the proposed educational technology intervention.</w:t>
      </w:r>
    </w:p>
    <w:p w14:paraId="3BD9492D"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1.1 Background to the Problem</w:t>
      </w:r>
    </w:p>
    <w:p w14:paraId="19D92A01"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Kenya’s Vision 2030 and the National Education Sector Strategic Plan place science, technology, engineering, and mathematics (STEM) at the heart of national socio-economic transformation. Both the ongoing Competency-Based Curriculum (CBC) transition and the outgoing 8-4-4 secondary curriculum emphasise experiential, hands-on scientific inquiry over passive memorisation.</w:t>
      </w:r>
    </w:p>
    <w:p w14:paraId="3B2D15FF" w14:textId="77777777"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Chemistry is a foundational subject in the Kenyan secondary school curriculum and a critical component of the Kenya Certificate of Secondary Education (KCSE). In Forms 1 through 4, laboratory work is not merely supplementary — it constitutes an entire standalone national examination paper, KCSE Chemistry Paper 3 (Subject Code 233/3), which accounts for 40% of the overall Chemistry grade. Mastery of Paper 3 requires practical competency in precision volumetric manipulation (pipetting, burette handling, meniscus reading, and indicator end-point detection), concordant titre determination (recording values within ±0.10–±0.20 cm³ of one another), stoichiometric calculations (mole ratios, molarities, percentage purity, and water of crystallisation), systematic qualitative analysis (observing precipitates, solubility in excess reagents, flame tests, and gas identification), and reaction kinetics, thermochemistry, and qualitative organic functional-group testing.</w:t>
      </w:r>
    </w:p>
    <w:p w14:paraId="4BB1A2DD"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However, a persistent challenge faces Kenyan secondary schools: the lack of adequately equipped chemistry laboratories. More than 60% of secondary schools in Kenya — particularly public sub-county and rural day schools — lack functional laboratories, consumable reagents, and trained laboratory technicians, leaving thousands of learners to sit high-stakes national practical examinations having experienced science solely through chalk-and-talk demonstration or theoretical rote memorisation.</w:t>
      </w:r>
    </w:p>
    <w:p w14:paraId="78C1E035"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1.2 The Laboratory Infrastructure Crisis</w:t>
      </w:r>
    </w:p>
    <w:p w14:paraId="40C34EFC" w14:textId="77777777"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 xml:space="preserve">Infrastructure disparity: </w:t>
      </w:r>
      <w:r w:rsidRPr="003D30A1">
        <w:rPr>
          <w:rFonts w:ascii="Times New Roman" w:hAnsi="Times New Roman" w:cs="Times New Roman"/>
          <w:color w:val="000000" w:themeColor="text1"/>
          <w:lang w:val="en-GB"/>
        </w:rPr>
        <w:t xml:space="preserve">While top-tier National and Extra-County boarding schools possess multi-room laboratories with running gas, water, and specialised glassware, the vast majority of Sub-County Day Secondary Schools — which enrol over 65% of secondary students — have either empty laboratory halls, multi-purpose classrooms, or no laboratory infrastructure at all. </w:t>
      </w:r>
      <w:r w:rsidRPr="003D30A1">
        <w:rPr>
          <w:rFonts w:ascii="Times New Roman" w:hAnsi="Times New Roman" w:cs="Times New Roman"/>
          <w:b/>
          <w:bCs/>
          <w:color w:val="000000" w:themeColor="text1"/>
          <w:lang w:val="en-GB"/>
        </w:rPr>
        <w:t xml:space="preserve">Cost and perishability of reagents: </w:t>
      </w:r>
      <w:r w:rsidRPr="003D30A1">
        <w:rPr>
          <w:rFonts w:ascii="Times New Roman" w:hAnsi="Times New Roman" w:cs="Times New Roman"/>
          <w:color w:val="000000" w:themeColor="text1"/>
          <w:lang w:val="en-GB"/>
        </w:rPr>
        <w:t xml:space="preserve">Chemical reagents such as silver nitrate, potassium manganate (VII), standard molar acids, and indicators are costly and have short shelf-lives. Under-resourced schools often reserve chemicals strictly for the final examination rehearsal, denying learners routine experimental practice. </w:t>
      </w:r>
      <w:r w:rsidRPr="003D30A1">
        <w:rPr>
          <w:rFonts w:ascii="Times New Roman" w:hAnsi="Times New Roman" w:cs="Times New Roman"/>
          <w:b/>
          <w:bCs/>
          <w:color w:val="000000" w:themeColor="text1"/>
          <w:lang w:val="en-GB"/>
        </w:rPr>
        <w:t xml:space="preserve">Safety and class-size bottlenecks: </w:t>
      </w:r>
      <w:r w:rsidRPr="003D30A1">
        <w:rPr>
          <w:rFonts w:ascii="Times New Roman" w:hAnsi="Times New Roman" w:cs="Times New Roman"/>
          <w:color w:val="000000" w:themeColor="text1"/>
          <w:lang w:val="en-GB"/>
        </w:rPr>
        <w:t>Student-to-teacher ratios often exceed 50:1 in Kenyan public schools. Conducting wet-chemistry experiments involving hazardous concentrated acids, toxic gases (SO₂, Cl₂, H₂S), or open Bunsen flames presents extreme safety hazards when supervision and ventilation are inadequate.</w:t>
      </w:r>
    </w:p>
    <w:p w14:paraId="20CC82DA" w14:textId="77777777" w:rsidR="005B1E2F" w:rsidRPr="003D30A1" w:rsidRDefault="005B1E2F">
      <w:pPr>
        <w:spacing w:after="200" w:line="276" w:lineRule="auto"/>
        <w:jc w:val="both"/>
        <w:rPr>
          <w:rFonts w:ascii="Times New Roman" w:hAnsi="Times New Roman" w:cs="Times New Roman"/>
          <w:color w:val="000000" w:themeColor="text1"/>
          <w:lang w:val="en-GB"/>
        </w:rPr>
      </w:pPr>
    </w:p>
    <w:p w14:paraId="1FB9EB98"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lastRenderedPageBreak/>
        <w:t>1.3 Digital Interventions in Low-Resource Contexts</w:t>
      </w:r>
    </w:p>
    <w:p w14:paraId="3A8FFC16" w14:textId="77777777"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Virtual science laboratories have emerged globally as effective digital scaffolds. However, existing commercial virtual labs such as Labster and PhET present significant contextual barriers in Sub-Saharan Africa, including high recurring per-student subscription fees, heavy 3D WebGL graphics engines that crash on entry-level Android smartphones and Chromebooks, heavy reliance on constant, high-speed 4G/fibre internet connectivity, and misalignment with national examination marking schemes — e.g. KCSE-specific table formats, penalty schemes for non-concordant titres, and specific ionic precipitation tables.</w:t>
      </w:r>
    </w:p>
    <w:p w14:paraId="40C6B7FA"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VirtuLab Kenya is built from the ground up to resolve these contextual constraints, forming the core rationale for this project.</w:t>
      </w:r>
    </w:p>
    <w:p w14:paraId="228CBF73"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1.4 Problem Identification</w:t>
      </w:r>
    </w:p>
    <w:p w14:paraId="0C995926"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The primary problem identified is that KCSE chemistry students in underequipped schools cannot practice mandatory practicals. Concurrently, there is an absence of virtual laboratory software customised for the Kenyan educational context.</w:t>
      </w:r>
    </w:p>
    <w:p w14:paraId="71FDCD62"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1.5 Problem Statement</w:t>
      </w:r>
    </w:p>
    <w:p w14:paraId="30BD2CDA"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Secondary school students in resource-constrained Kenyan secondary schools suffer persistent underperformance and high attrition in KCSE Chemistry due to the lack of hands-on laboratory access. This lack of practical experience results in high failure rates on KCSE Paper 3, severe practical anxiety, inaccurate manipulation of quantitative data, and depressed national STEM enrolment. There is an urgent, unmet need for a curriculum-aligned, zero-marginal-cost, low-bandwidth, offline-capable virtual chemistry laboratory tailored to the Kenyan syllabus that empowers both independent student practice and teacher-led diagnostic assessment. No existing virtual laboratory solution addresses this problem, because none are aligned to the Kenyan curriculum, available in Kiswahili, or designed for the low-resource technology environments common in Kenyan secondary schools.</w:t>
      </w:r>
    </w:p>
    <w:p w14:paraId="646E7199"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1.6 Purpose of the Capstone Project</w:t>
      </w:r>
    </w:p>
    <w:p w14:paraId="7C08E294"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The purpose of this project is to design, develop, deploy, and evaluate VirtuLab Kenya — an offline-first, KICD-aligned virtual chemistry laboratory platform — to democratise practical science learning for secondary school learners in Kenya.</w:t>
      </w:r>
    </w:p>
    <w:p w14:paraId="7BE94C76"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1.7 Objectives of the Capstone Project</w:t>
      </w:r>
    </w:p>
    <w:p w14:paraId="40273F15" w14:textId="77777777" w:rsidR="00031E74" w:rsidRPr="003D30A1" w:rsidRDefault="00000000">
      <w:pPr>
        <w:pStyle w:val="Heading3"/>
        <w:spacing w:before="240" w:after="120"/>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3"/>
          <w:szCs w:val="23"/>
          <w:lang w:val="en-GB"/>
        </w:rPr>
        <w:t>1.7.1 General Objective</w:t>
      </w:r>
    </w:p>
    <w:p w14:paraId="3CABD7FA"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To design, develop, deploy, and evaluate an offline-first, KICD-aligned virtual chemistry laboratory platform (VirtuLab Kenya) that democratises practical science learning for secondary school learners in Kenya.</w:t>
      </w:r>
    </w:p>
    <w:p w14:paraId="0FDD931D" w14:textId="77777777" w:rsidR="003D30A1" w:rsidRPr="003D30A1" w:rsidRDefault="003D30A1">
      <w:pPr>
        <w:spacing w:after="200" w:line="276" w:lineRule="auto"/>
        <w:jc w:val="both"/>
        <w:rPr>
          <w:rFonts w:ascii="Times New Roman" w:hAnsi="Times New Roman" w:cs="Times New Roman"/>
          <w:color w:val="000000" w:themeColor="text1"/>
          <w:lang w:val="en-GB"/>
        </w:rPr>
      </w:pPr>
    </w:p>
    <w:p w14:paraId="2789795F" w14:textId="77777777" w:rsidR="00031E74" w:rsidRPr="003D30A1" w:rsidRDefault="00000000">
      <w:pPr>
        <w:pStyle w:val="Heading3"/>
        <w:spacing w:before="240" w:after="120"/>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3"/>
          <w:szCs w:val="23"/>
          <w:lang w:val="en-GB"/>
        </w:rPr>
        <w:lastRenderedPageBreak/>
        <w:t>1.7.2 Specific Objectives</w:t>
      </w:r>
    </w:p>
    <w:p w14:paraId="60020C66" w14:textId="77777777"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Design &amp; Development: Build a lightweight, responsive Progressive Web App featuring seven core virtual laboratory modules covering all major KCSE Paper 3 practical domains, with bilingual (English/Kiswahili) support. Pedagogical Integration: Implement intelligent scaffolding mechanisms, including interactive meniscus magnification, indicator colour-transition kinetics, concordance algorithms (±0.10 cm³), and automated step-by-step stoichiometric evaluation. Teacher Diagnostic Tools: Develop an administrative and teacher analytics dashboard providing real-time class monitoring, custom assignment broadcasting, and error-pattern classification. Empirical Evaluation: Conduct a quasi-experimental pilot study across selected Kenyan secondary schools, stratified by school category, to measure learning gains, usability (SUS), and technology acceptance (TAM). Policy &amp; Dissemination: Formulate policy recommendations and an open deployment framework for institutional adoption by KICD, the Ministry of Education, and partner teacher training colleges.</w:t>
      </w:r>
    </w:p>
    <w:p w14:paraId="49A28B8E"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1.8 Research Questions</w:t>
      </w:r>
    </w:p>
    <w:p w14:paraId="7BD0B301" w14:textId="77777777"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 xml:space="preserve">RQ1 (Learning Effectiveness): </w:t>
      </w:r>
      <w:r w:rsidRPr="003D30A1">
        <w:rPr>
          <w:rFonts w:ascii="Times New Roman" w:hAnsi="Times New Roman" w:cs="Times New Roman"/>
          <w:color w:val="000000" w:themeColor="text1"/>
          <w:lang w:val="en-GB"/>
        </w:rPr>
        <w:t xml:space="preserve">To what extent does the integration of VirtuLab Kenya improve secondary school students’ conceptual understanding and practical problem-solving scores in KCSE Chemistry Paper 3 topics, compared to traditional non-laboratory/lecture-based instruction? </w:t>
      </w:r>
      <w:r w:rsidRPr="003D30A1">
        <w:rPr>
          <w:rFonts w:ascii="Times New Roman" w:hAnsi="Times New Roman" w:cs="Times New Roman"/>
          <w:b/>
          <w:bCs/>
          <w:color w:val="000000" w:themeColor="text1"/>
          <w:lang w:val="en-GB"/>
        </w:rPr>
        <w:t xml:space="preserve">RQ2 (Usability &amp; Accessibility): </w:t>
      </w:r>
      <w:r w:rsidRPr="003D30A1">
        <w:rPr>
          <w:rFonts w:ascii="Times New Roman" w:hAnsi="Times New Roman" w:cs="Times New Roman"/>
          <w:color w:val="000000" w:themeColor="text1"/>
          <w:lang w:val="en-GB"/>
        </w:rPr>
        <w:t xml:space="preserve">How usable, accessible, and responsive is the offline-first Progressive Web App interface when deployed on entry-level mobile devices and low-connectivity school environments in Kenya, as measured by the System Usability Scale (SUS)? </w:t>
      </w:r>
      <w:r w:rsidRPr="003D30A1">
        <w:rPr>
          <w:rFonts w:ascii="Times New Roman" w:hAnsi="Times New Roman" w:cs="Times New Roman"/>
          <w:b/>
          <w:bCs/>
          <w:color w:val="000000" w:themeColor="text1"/>
          <w:lang w:val="en-GB"/>
        </w:rPr>
        <w:t xml:space="preserve">RQ3 (Pedagogical Acceptance): </w:t>
      </w:r>
      <w:r w:rsidRPr="003D30A1">
        <w:rPr>
          <w:rFonts w:ascii="Times New Roman" w:hAnsi="Times New Roman" w:cs="Times New Roman"/>
          <w:color w:val="000000" w:themeColor="text1"/>
          <w:lang w:val="en-GB"/>
        </w:rPr>
        <w:t xml:space="preserve">What are Kenyan chemistry teachers’ and students’ perceptions regarding the perceived usefulness (PU), perceived ease of use (PEOU), and behavioural intention (BI) to adopt VirtuLab Kenya, framed under the Technology Acceptance Model (TAM)? </w:t>
      </w:r>
      <w:r w:rsidRPr="003D30A1">
        <w:rPr>
          <w:rFonts w:ascii="Times New Roman" w:hAnsi="Times New Roman" w:cs="Times New Roman"/>
          <w:b/>
          <w:bCs/>
          <w:color w:val="000000" w:themeColor="text1"/>
          <w:lang w:val="en-GB"/>
        </w:rPr>
        <w:t xml:space="preserve">RQ4 (Diagnostic Utility): </w:t>
      </w:r>
      <w:r w:rsidRPr="003D30A1">
        <w:rPr>
          <w:rFonts w:ascii="Times New Roman" w:hAnsi="Times New Roman" w:cs="Times New Roman"/>
          <w:color w:val="000000" w:themeColor="text1"/>
          <w:lang w:val="en-GB"/>
        </w:rPr>
        <w:t>How effectively do automated telemetry error logs — e.g. indicator-selection errors, non-concordant titre rates, calculation deviation — enable teachers to identify and remediate specific student misconceptions in real time?</w:t>
      </w:r>
    </w:p>
    <w:p w14:paraId="10702733"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1.9 Research Hypotheses</w:t>
      </w:r>
    </w:p>
    <w:p w14:paraId="399C907E" w14:textId="77777777"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 xml:space="preserve">H₀ (Null): </w:t>
      </w:r>
      <w:r w:rsidRPr="003D30A1">
        <w:rPr>
          <w:rFonts w:ascii="Times New Roman" w:hAnsi="Times New Roman" w:cs="Times New Roman"/>
          <w:color w:val="000000" w:themeColor="text1"/>
          <w:lang w:val="en-GB"/>
        </w:rPr>
        <w:t xml:space="preserve">There is no statistically significant difference in KCSE Paper 3 post-test scores between learners utilising VirtuLab Kenya and learners taught through traditional classroom instruction without physical lab access (p &amp;gt; 0.05). </w:t>
      </w:r>
      <w:r w:rsidRPr="003D30A1">
        <w:rPr>
          <w:rFonts w:ascii="Times New Roman" w:hAnsi="Times New Roman" w:cs="Times New Roman"/>
          <w:b/>
          <w:bCs/>
          <w:color w:val="000000" w:themeColor="text1"/>
          <w:lang w:val="en-GB"/>
        </w:rPr>
        <w:t xml:space="preserve">H₁ (Alternative): </w:t>
      </w:r>
      <w:proofErr w:type="gramStart"/>
      <w:r w:rsidRPr="003D30A1">
        <w:rPr>
          <w:rFonts w:ascii="Times New Roman" w:hAnsi="Times New Roman" w:cs="Times New Roman"/>
          <w:color w:val="000000" w:themeColor="text1"/>
          <w:lang w:val="en-GB"/>
        </w:rPr>
        <w:t>Learners</w:t>
      </w:r>
      <w:proofErr w:type="gramEnd"/>
      <w:r w:rsidRPr="003D30A1">
        <w:rPr>
          <w:rFonts w:ascii="Times New Roman" w:hAnsi="Times New Roman" w:cs="Times New Roman"/>
          <w:color w:val="000000" w:themeColor="text1"/>
          <w:lang w:val="en-GB"/>
        </w:rPr>
        <w:t xml:space="preserve"> utilising VirtuLab Kenya will demonstrate a statistically significant gain in post-test scores and practical competency metrics compared to the control group (p &amp;lt; 0.05, normalised learning gain g ≥ 0.40).</w:t>
      </w:r>
    </w:p>
    <w:p w14:paraId="465FF7C2"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1.10 Significance of the Capstone Project</w:t>
      </w:r>
    </w:p>
    <w:p w14:paraId="6AB099FA" w14:textId="77777777"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 xml:space="preserve">VirtuLab Kenya advances equity and inclusivity by democratising STEM access for sub-county and rural day schools, with distinct benefits across three stakeholder groups. </w:t>
      </w:r>
      <w:r w:rsidRPr="003D30A1">
        <w:rPr>
          <w:rFonts w:ascii="Times New Roman" w:hAnsi="Times New Roman" w:cs="Times New Roman"/>
          <w:b/>
          <w:bCs/>
          <w:color w:val="000000" w:themeColor="text1"/>
          <w:lang w:val="en-GB"/>
        </w:rPr>
        <w:t xml:space="preserve">For learners: </w:t>
      </w:r>
      <w:r w:rsidRPr="003D30A1">
        <w:rPr>
          <w:rFonts w:ascii="Times New Roman" w:hAnsi="Times New Roman" w:cs="Times New Roman"/>
          <w:color w:val="000000" w:themeColor="text1"/>
          <w:lang w:val="en-GB"/>
        </w:rPr>
        <w:t xml:space="preserve">A safe, risk-free sandbox with instant feedback, mastery-paced repetition, and bilingual support — eliminating fear of chemical burns, glassware breakage, reagent rationing, and practical-exam anxiety. </w:t>
      </w:r>
      <w:r w:rsidRPr="003D30A1">
        <w:rPr>
          <w:rFonts w:ascii="Times New Roman" w:hAnsi="Times New Roman" w:cs="Times New Roman"/>
          <w:b/>
          <w:bCs/>
          <w:color w:val="000000" w:themeColor="text1"/>
          <w:lang w:val="en-GB"/>
        </w:rPr>
        <w:t xml:space="preserve">For educators: </w:t>
      </w:r>
      <w:r w:rsidRPr="003D30A1">
        <w:rPr>
          <w:rFonts w:ascii="Times New Roman" w:hAnsi="Times New Roman" w:cs="Times New Roman"/>
          <w:color w:val="000000" w:themeColor="text1"/>
          <w:lang w:val="en-GB"/>
        </w:rPr>
        <w:t xml:space="preserve">Continuous formative-assessment analytics, targeted remediation guidance, and zero setup overhead — freeing class time otherwise spent on basic procedural instruction and enabling detection of class-wide misconceptions before high-stakes exams. </w:t>
      </w:r>
      <w:r w:rsidRPr="003D30A1">
        <w:rPr>
          <w:rFonts w:ascii="Times New Roman" w:hAnsi="Times New Roman" w:cs="Times New Roman"/>
          <w:b/>
          <w:bCs/>
          <w:color w:val="000000" w:themeColor="text1"/>
          <w:lang w:val="en-GB"/>
        </w:rPr>
        <w:t xml:space="preserve">For institutions: </w:t>
      </w:r>
      <w:r w:rsidRPr="003D30A1">
        <w:rPr>
          <w:rFonts w:ascii="Times New Roman" w:hAnsi="Times New Roman" w:cs="Times New Roman"/>
          <w:color w:val="000000" w:themeColor="text1"/>
          <w:lang w:val="en-GB"/>
        </w:rPr>
        <w:t xml:space="preserve">Zero chemical waste, zero hazardous vapour emissions, low-cost scalability, resilience to power/connectivity outages, and direct alignment with the KICD CBC </w:t>
      </w:r>
      <w:r w:rsidRPr="003D30A1">
        <w:rPr>
          <w:rFonts w:ascii="Times New Roman" w:hAnsi="Times New Roman" w:cs="Times New Roman"/>
          <w:color w:val="000000" w:themeColor="text1"/>
          <w:lang w:val="en-GB"/>
        </w:rPr>
        <w:lastRenderedPageBreak/>
        <w:t xml:space="preserve">curriculum. </w:t>
      </w:r>
      <w:r w:rsidRPr="003D30A1">
        <w:rPr>
          <w:rFonts w:ascii="Times New Roman" w:hAnsi="Times New Roman" w:cs="Times New Roman"/>
          <w:b/>
          <w:bCs/>
          <w:color w:val="000000" w:themeColor="text1"/>
          <w:lang w:val="en-GB"/>
        </w:rPr>
        <w:t xml:space="preserve">Curriculum relevance: </w:t>
      </w:r>
      <w:r w:rsidRPr="003D30A1">
        <w:rPr>
          <w:rFonts w:ascii="Times New Roman" w:hAnsi="Times New Roman" w:cs="Times New Roman"/>
          <w:color w:val="000000" w:themeColor="text1"/>
          <w:lang w:val="en-GB"/>
        </w:rPr>
        <w:t xml:space="preserve">The platform is built directly from the KICD Chemistry Syllabus, KNEC mark schemes, and 27 years of KCSE Paper 3 past papers (1989–2016). </w:t>
      </w:r>
      <w:r w:rsidRPr="003D30A1">
        <w:rPr>
          <w:rFonts w:ascii="Times New Roman" w:hAnsi="Times New Roman" w:cs="Times New Roman"/>
          <w:b/>
          <w:bCs/>
          <w:color w:val="000000" w:themeColor="text1"/>
          <w:lang w:val="en-GB"/>
        </w:rPr>
        <w:t xml:space="preserve">Policy alignment: </w:t>
      </w:r>
      <w:r w:rsidRPr="003D30A1">
        <w:rPr>
          <w:rFonts w:ascii="Times New Roman" w:hAnsi="Times New Roman" w:cs="Times New Roman"/>
          <w:color w:val="000000" w:themeColor="text1"/>
          <w:lang w:val="en-GB"/>
        </w:rPr>
        <w:t>The intervention aligns with CEMASTEA’s advocacy for virtual laboratories and the government’s digital learning agenda under the Kenya Digital Economy Blueprint.</w:t>
      </w:r>
    </w:p>
    <w:p w14:paraId="140FF71F"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1.11 Scope of the Capstone Project</w:t>
      </w:r>
    </w:p>
    <w:p w14:paraId="438817EF"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VirtuLab Kenya focuses on Form 3 and Form 4 KCSE Chemistry Paper 3 practicals. The current scope includes seven laboratory modules — volumetric analysis (four titration types), qualitative inorganic analysis, reaction kinetics, chemical energetics, solubility curves, qualitative organic chemistry, and a composite timed mock practical. The evaluation pilot targets a stratified sample of approximately 10 secondary schools (≈600 students and ≈20 chemistry teachers) spanning National/Extra-County, County, and Sub-County school categories.</w:t>
      </w:r>
    </w:p>
    <w:p w14:paraId="570B0417"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1.12 Delimitations</w:t>
      </w:r>
    </w:p>
    <w:p w14:paraId="5CA8BF25"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The capstone is geographically delimited to Kenyan secondary schools and strictly bounded to the chemistry curriculum, excluding physics and biology practicals for the time being.</w:t>
      </w:r>
    </w:p>
    <w:p w14:paraId="50B9D1A5"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1.13 Limitations</w:t>
      </w:r>
    </w:p>
    <w:p w14:paraId="03AC93AB" w14:textId="77777777"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As a quasi-experimental design with non-randomised, purposively sampled schools, causal inference is stronger than a purely observational study but remains weaker than a fully randomised controlled trial. VirtuLab Kenya is designed to supplement, rather than entirely replace, physical laboratory work. Findings from the pilot strata may not generalise to every school category or county beyond those sampled. Future expansions into other science subjects are outside this capstone’s scope.</w:t>
      </w:r>
    </w:p>
    <w:p w14:paraId="0EA9A9BE"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1.14 Assumptions</w:t>
      </w:r>
    </w:p>
    <w:p w14:paraId="1DE18E5B"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The project assumes that targeted pilot schools will have minimum baseline access to digital devices (smartphones, tablets, or computers), that connectivity — even if intermittent — will be sufficient for periodic telemetry sync, and that teachers will be willing to integrate digital platforms into their pedagogical routines.</w:t>
      </w:r>
    </w:p>
    <w:p w14:paraId="711EF29A"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1.15 Definition of Key Terms</w:t>
      </w:r>
    </w:p>
    <w:p w14:paraId="4B4DEAF7" w14:textId="77777777"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 xml:space="preserve">VirtuLab Kenya: </w:t>
      </w:r>
      <w:r w:rsidRPr="003D30A1">
        <w:rPr>
          <w:rFonts w:ascii="Times New Roman" w:hAnsi="Times New Roman" w:cs="Times New Roman"/>
          <w:color w:val="000000" w:themeColor="text1"/>
          <w:lang w:val="en-GB"/>
        </w:rPr>
        <w:t xml:space="preserve">A web-based, bilingual, offline-first virtual chemistry laboratory platform. </w:t>
      </w:r>
      <w:r w:rsidRPr="003D30A1">
        <w:rPr>
          <w:rFonts w:ascii="Times New Roman" w:hAnsi="Times New Roman" w:cs="Times New Roman"/>
          <w:b/>
          <w:bCs/>
          <w:color w:val="000000" w:themeColor="text1"/>
          <w:lang w:val="en-GB"/>
        </w:rPr>
        <w:t xml:space="preserve">KCSE: </w:t>
      </w:r>
      <w:r w:rsidRPr="003D30A1">
        <w:rPr>
          <w:rFonts w:ascii="Times New Roman" w:hAnsi="Times New Roman" w:cs="Times New Roman"/>
          <w:color w:val="000000" w:themeColor="text1"/>
          <w:lang w:val="en-GB"/>
        </w:rPr>
        <w:t xml:space="preserve">Kenya Certificate of Secondary Education. </w:t>
      </w:r>
      <w:r w:rsidRPr="003D30A1">
        <w:rPr>
          <w:rFonts w:ascii="Times New Roman" w:hAnsi="Times New Roman" w:cs="Times New Roman"/>
          <w:b/>
          <w:bCs/>
          <w:color w:val="000000" w:themeColor="text1"/>
          <w:lang w:val="en-GB"/>
        </w:rPr>
        <w:t xml:space="preserve">KICD: </w:t>
      </w:r>
      <w:r w:rsidRPr="003D30A1">
        <w:rPr>
          <w:rFonts w:ascii="Times New Roman" w:hAnsi="Times New Roman" w:cs="Times New Roman"/>
          <w:color w:val="000000" w:themeColor="text1"/>
          <w:lang w:val="en-GB"/>
        </w:rPr>
        <w:t xml:space="preserve">Kenya Institute of Curriculum Development. </w:t>
      </w:r>
      <w:r w:rsidRPr="003D30A1">
        <w:rPr>
          <w:rFonts w:ascii="Times New Roman" w:hAnsi="Times New Roman" w:cs="Times New Roman"/>
          <w:b/>
          <w:bCs/>
          <w:color w:val="000000" w:themeColor="text1"/>
          <w:lang w:val="en-GB"/>
        </w:rPr>
        <w:t xml:space="preserve">KNEC: </w:t>
      </w:r>
      <w:r w:rsidRPr="003D30A1">
        <w:rPr>
          <w:rFonts w:ascii="Times New Roman" w:hAnsi="Times New Roman" w:cs="Times New Roman"/>
          <w:color w:val="000000" w:themeColor="text1"/>
          <w:lang w:val="en-GB"/>
        </w:rPr>
        <w:t xml:space="preserve">Kenya National Examinations Council. </w:t>
      </w:r>
      <w:r w:rsidRPr="003D30A1">
        <w:rPr>
          <w:rFonts w:ascii="Times New Roman" w:hAnsi="Times New Roman" w:cs="Times New Roman"/>
          <w:b/>
          <w:bCs/>
          <w:color w:val="000000" w:themeColor="text1"/>
          <w:lang w:val="en-GB"/>
        </w:rPr>
        <w:t xml:space="preserve">CEMASTEA: </w:t>
      </w:r>
      <w:r w:rsidRPr="003D30A1">
        <w:rPr>
          <w:rFonts w:ascii="Times New Roman" w:hAnsi="Times New Roman" w:cs="Times New Roman"/>
          <w:color w:val="000000" w:themeColor="text1"/>
          <w:lang w:val="en-GB"/>
        </w:rPr>
        <w:t xml:space="preserve">Centre for Mathematics, Science and Technology Education in Africa. </w:t>
      </w:r>
      <w:r w:rsidRPr="003D30A1">
        <w:rPr>
          <w:rFonts w:ascii="Times New Roman" w:hAnsi="Times New Roman" w:cs="Times New Roman"/>
          <w:b/>
          <w:bCs/>
          <w:color w:val="000000" w:themeColor="text1"/>
          <w:lang w:val="en-GB"/>
        </w:rPr>
        <w:t xml:space="preserve">CPCAT: </w:t>
      </w:r>
      <w:r w:rsidRPr="003D30A1">
        <w:rPr>
          <w:rFonts w:ascii="Times New Roman" w:hAnsi="Times New Roman" w:cs="Times New Roman"/>
          <w:color w:val="000000" w:themeColor="text1"/>
          <w:lang w:val="en-GB"/>
        </w:rPr>
        <w:t xml:space="preserve">Chemistry Practical Competency Achievement Test — the study’s standardised pre-/post-test instrument. </w:t>
      </w:r>
      <w:r w:rsidRPr="003D30A1">
        <w:rPr>
          <w:rFonts w:ascii="Times New Roman" w:hAnsi="Times New Roman" w:cs="Times New Roman"/>
          <w:b/>
          <w:bCs/>
          <w:color w:val="000000" w:themeColor="text1"/>
          <w:lang w:val="en-GB"/>
        </w:rPr>
        <w:t xml:space="preserve">SUS: </w:t>
      </w:r>
      <w:r w:rsidRPr="003D30A1">
        <w:rPr>
          <w:rFonts w:ascii="Times New Roman" w:hAnsi="Times New Roman" w:cs="Times New Roman"/>
          <w:color w:val="000000" w:themeColor="text1"/>
          <w:lang w:val="en-GB"/>
        </w:rPr>
        <w:t xml:space="preserve">System Usability Scale, a validated 10-item usability benchmarking instrument (Brooke, 1996). </w:t>
      </w:r>
      <w:r w:rsidRPr="003D30A1">
        <w:rPr>
          <w:rFonts w:ascii="Times New Roman" w:hAnsi="Times New Roman" w:cs="Times New Roman"/>
          <w:b/>
          <w:bCs/>
          <w:color w:val="000000" w:themeColor="text1"/>
          <w:lang w:val="en-GB"/>
        </w:rPr>
        <w:t xml:space="preserve">TAM: </w:t>
      </w:r>
      <w:r w:rsidRPr="003D30A1">
        <w:rPr>
          <w:rFonts w:ascii="Times New Roman" w:hAnsi="Times New Roman" w:cs="Times New Roman"/>
          <w:color w:val="000000" w:themeColor="text1"/>
          <w:lang w:val="en-GB"/>
        </w:rPr>
        <w:t xml:space="preserve">Technology Acceptance Model, measuring Perceived Usefulness (PU), Perceived Ease of Use (PEOU), Facilitating Conditions (FC), and Behavioural Intention (BI). </w:t>
      </w:r>
      <w:r w:rsidRPr="003D30A1">
        <w:rPr>
          <w:rFonts w:ascii="Times New Roman" w:hAnsi="Times New Roman" w:cs="Times New Roman"/>
          <w:b/>
          <w:bCs/>
          <w:color w:val="000000" w:themeColor="text1"/>
          <w:lang w:val="en-GB"/>
        </w:rPr>
        <w:t xml:space="preserve">Normalised learning gain (g): </w:t>
      </w:r>
      <w:r w:rsidRPr="003D30A1">
        <w:rPr>
          <w:rFonts w:ascii="Times New Roman" w:hAnsi="Times New Roman" w:cs="Times New Roman"/>
          <w:color w:val="000000" w:themeColor="text1"/>
          <w:lang w:val="en-GB"/>
        </w:rPr>
        <w:t xml:space="preserve">Hake’s measure of learning improvement relative to the maximum possible gain from pre-test to post-test. </w:t>
      </w:r>
      <w:r w:rsidRPr="003D30A1">
        <w:rPr>
          <w:rFonts w:ascii="Times New Roman" w:hAnsi="Times New Roman" w:cs="Times New Roman"/>
          <w:b/>
          <w:bCs/>
          <w:color w:val="000000" w:themeColor="text1"/>
          <w:lang w:val="en-GB"/>
        </w:rPr>
        <w:t xml:space="preserve">NACOSTI: </w:t>
      </w:r>
      <w:r w:rsidRPr="003D30A1">
        <w:rPr>
          <w:rFonts w:ascii="Times New Roman" w:hAnsi="Times New Roman" w:cs="Times New Roman"/>
          <w:color w:val="000000" w:themeColor="text1"/>
          <w:lang w:val="en-GB"/>
        </w:rPr>
        <w:t>National Commission for Science, Technology and Innovation — Kenya’s national research permitting body.</w:t>
      </w:r>
    </w:p>
    <w:p w14:paraId="073BEAAA"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lastRenderedPageBreak/>
        <w:t>1.16 Chapter Summary</w:t>
      </w:r>
    </w:p>
    <w:p w14:paraId="20A62293"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This chapter established the severe lack of physical chemistry laboratories in Kenyan schools, situated the problem within national curriculum and policy context, and introduced VirtuLab Kenya as a tailored, curriculum-aligned digital solution to bridge this educational gap.</w:t>
      </w:r>
    </w:p>
    <w:p w14:paraId="20891854" w14:textId="77777777" w:rsidR="00031E74" w:rsidRPr="003D30A1" w:rsidRDefault="00000000">
      <w:pPr>
        <w:pStyle w:val="Heading1"/>
        <w:pageBreakBefore/>
        <w:spacing w:before="480" w:after="24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lastRenderedPageBreak/>
        <w:t>CHAPTER TWO: RESEARCH AND ANALYSIS</w:t>
      </w:r>
    </w:p>
    <w:p w14:paraId="46770776"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This chapter reviews the empirical literature and existing virtual laboratory platforms, presents the theoretical and conceptual framework that emerges from this evidence, and outlines the methodology for developing and evaluating VirtuLab Kenya.</w:t>
      </w:r>
    </w:p>
    <w:p w14:paraId="5F661581"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2.1 Conceptualisation of the Problem</w:t>
      </w:r>
    </w:p>
    <w:p w14:paraId="6A53D552"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The challenge of poor performance in KCSE Paper 3 is deeply rooted in the lack of experiential learning opportunities for students in resource-poor environments, necessitating a digital intervention.</w:t>
      </w:r>
    </w:p>
    <w:p w14:paraId="2D2B945D"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2.2 Review of Related Literature</w:t>
      </w:r>
    </w:p>
    <w:p w14:paraId="7BE78B00" w14:textId="77777777" w:rsidR="00031E74" w:rsidRPr="003D30A1" w:rsidRDefault="00000000">
      <w:pPr>
        <w:pStyle w:val="Heading3"/>
        <w:spacing w:before="240" w:after="120"/>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3"/>
          <w:szCs w:val="23"/>
          <w:lang w:val="en-GB"/>
        </w:rPr>
        <w:t>2.2.1 Educational Inequity in Science Access</w:t>
      </w:r>
    </w:p>
    <w:p w14:paraId="7CCC6952"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Literature demonstrates structural inequalities in STEM education, highlighting rural and low-income disadvantages. Gitira (2025) found that inadequate science-laboratory infrastructure in sub-county schools in Kakamega County, Kenya, significantly depresses KCSE performance, while Ochieng’ (2023) similarly links irregular laboratory practicals and the absence of trained technicians in Kisumu County schools to candidates’ unfamiliarity with basic apparatus handling and consequent lost marks in Chemistry Paper 3.</w:t>
      </w:r>
    </w:p>
    <w:p w14:paraId="48F16566" w14:textId="77777777" w:rsidR="00031E74" w:rsidRPr="003D30A1" w:rsidRDefault="00000000">
      <w:pPr>
        <w:pStyle w:val="Heading3"/>
        <w:spacing w:before="240" w:after="120"/>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3"/>
          <w:szCs w:val="23"/>
          <w:lang w:val="en-GB"/>
        </w:rPr>
        <w:t>2.2.2 Role of Virtual Laboratories</w:t>
      </w:r>
    </w:p>
    <w:p w14:paraId="6FCBE892"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Studies indicate that platforms such as PhET and Labster yield measurable learning gains in science practicals, and recent evidence from resource-constrained African contexts reinforces this pattern. Nizeyimana and Musengimana (2026) demonstrate that virtual chemistry laboratory simulations produced significantly higher post-test scores than conventional instruction among Rwandan secondary school learners (Cohen’s d = 1.19), while Hake’s (1998) normalised-gain formulation continues to provide the standard metric for quantifying such learning gains relative to traditional lecture-based instruction.</w:t>
      </w:r>
    </w:p>
    <w:p w14:paraId="7CA6262A" w14:textId="77777777" w:rsidR="00031E74" w:rsidRPr="003D30A1" w:rsidRDefault="00000000">
      <w:pPr>
        <w:pStyle w:val="Heading3"/>
        <w:spacing w:before="240" w:after="120"/>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3"/>
          <w:szCs w:val="23"/>
          <w:lang w:val="en-GB"/>
        </w:rPr>
        <w:t>2.2.3 Contextualised Technology Integration</w:t>
      </w:r>
    </w:p>
    <w:p w14:paraId="0D1326A7"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Effective digital tools in Sub-Saharan Africa must account for language, curriculum alignment, and bandwidth constraints. Commercial platforms such as Labster and PhET present barriers in this context: high recurring subscription costs, heavy 3D WebGL rendering engines that strain entry-level Android devices, dependence on constant high-speed connectivity, and marking-scheme conventions that do not mirror KCSE Paper 3’s specific table formats and concordance penalties.</w:t>
      </w:r>
    </w:p>
    <w:p w14:paraId="32BE7EDB" w14:textId="77777777" w:rsidR="00031E74" w:rsidRPr="003D30A1" w:rsidRDefault="00000000">
      <w:pPr>
        <w:pStyle w:val="Heading3"/>
        <w:spacing w:before="240" w:after="120"/>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3"/>
          <w:szCs w:val="23"/>
          <w:lang w:val="en-GB"/>
        </w:rPr>
        <w:t>2.2.4 Constructivist Approaches in Digital Pedagogy</w:t>
      </w:r>
    </w:p>
    <w:p w14:paraId="51155526"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 xml:space="preserve">Digital scaffolding, such as guided practice modes, heavily influences student mastery of complex scientific procedures. Bybee’s (2009) 5E Instructional Model — Engage, Explore, Explain, Elaborate, </w:t>
      </w:r>
      <w:proofErr w:type="gramStart"/>
      <w:r w:rsidRPr="003D30A1">
        <w:rPr>
          <w:rFonts w:ascii="Times New Roman" w:hAnsi="Times New Roman" w:cs="Times New Roman"/>
          <w:color w:val="000000" w:themeColor="text1"/>
          <w:lang w:val="en-GB"/>
        </w:rPr>
        <w:t>Evaluate</w:t>
      </w:r>
      <w:proofErr w:type="gramEnd"/>
      <w:r w:rsidRPr="003D30A1">
        <w:rPr>
          <w:rFonts w:ascii="Times New Roman" w:hAnsi="Times New Roman" w:cs="Times New Roman"/>
          <w:color w:val="000000" w:themeColor="text1"/>
          <w:lang w:val="en-GB"/>
        </w:rPr>
        <w:t xml:space="preserve"> — offers an established sequence for structuring inquiry-based digital science instruction that directly informs VirtuLab Kenya’s guided-to-independent practice progression.</w:t>
      </w:r>
    </w:p>
    <w:p w14:paraId="71DF879E" w14:textId="77777777" w:rsidR="005B1E2F" w:rsidRPr="003D30A1" w:rsidRDefault="005B1E2F">
      <w:pPr>
        <w:pStyle w:val="Heading2"/>
        <w:spacing w:before="320" w:after="160"/>
        <w:rPr>
          <w:rFonts w:ascii="Times New Roman" w:hAnsi="Times New Roman" w:cs="Times New Roman"/>
          <w:b/>
          <w:bCs/>
          <w:color w:val="000000" w:themeColor="text1"/>
          <w:lang w:val="en-GB"/>
        </w:rPr>
      </w:pPr>
    </w:p>
    <w:p w14:paraId="3A70787C" w14:textId="60C49D9D"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lastRenderedPageBreak/>
        <w:t>2.3 Theoretical / Conceptual Framework</w:t>
      </w:r>
    </w:p>
    <w:p w14:paraId="07CAF32F"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Having reviewed the empirical evidence on educational inequity and virtual laboratory effectiveness, this section presents the theoretical and conceptual foundations that inform the design of VirtuLab Kenya.</w:t>
      </w:r>
    </w:p>
    <w:p w14:paraId="0FE00627" w14:textId="77777777" w:rsidR="00031E74" w:rsidRPr="003D30A1" w:rsidRDefault="00000000">
      <w:pPr>
        <w:pStyle w:val="Heading3"/>
        <w:spacing w:before="240" w:after="120"/>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3"/>
          <w:szCs w:val="23"/>
          <w:lang w:val="en-GB"/>
        </w:rPr>
        <w:t>2.3.1 Constructivism and Inquiry-Based Science Education (IBSE)</w:t>
      </w:r>
    </w:p>
    <w:p w14:paraId="2058C2DD"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Rooted in Piaget’s (1973) constructivism and Bybee’s (2009) 5E Instructional Model, VirtuLab Kenya allows learners to manipulate variables — burette flow rate, concentration, indicator choice, temperature — observe authentic physical responses (colour transitions, gas evolution, precipitates), and construct conceptual schemas from empirical data. Vygotsky’s Zone of Proximal Development (ZPD) is operationalised through a dual-mode design: Guided Mode provides scaffolding for beginners, while Exam Mode removes it for advanced students under authentic, timed conditions.</w:t>
      </w:r>
    </w:p>
    <w:p w14:paraId="083850B6" w14:textId="77777777" w:rsidR="00031E74" w:rsidRPr="003D30A1" w:rsidRDefault="00000000">
      <w:pPr>
        <w:pStyle w:val="Heading3"/>
        <w:spacing w:before="240" w:after="120"/>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3"/>
          <w:szCs w:val="23"/>
          <w:lang w:val="en-GB"/>
        </w:rPr>
        <w:t>2.3.2 Cognitive Theory of Multimedia Learning (CTML) and Cognitive Load Theory (CLT)</w:t>
      </w:r>
    </w:p>
    <w:p w14:paraId="737D00F9" w14:textId="77777777"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 xml:space="preserve">Mayer’s (2009) multimedia-learning principles and Sweller’s (1988) cognitive load theory directly inform the platform’s interface design. </w:t>
      </w:r>
      <w:r w:rsidRPr="003D30A1">
        <w:rPr>
          <w:rFonts w:ascii="Times New Roman" w:hAnsi="Times New Roman" w:cs="Times New Roman"/>
          <w:b/>
          <w:bCs/>
          <w:color w:val="000000" w:themeColor="text1"/>
          <w:lang w:val="en-GB"/>
        </w:rPr>
        <w:t xml:space="preserve">Spatial Contiguity Principle: </w:t>
      </w:r>
      <w:r w:rsidRPr="003D30A1">
        <w:rPr>
          <w:rFonts w:ascii="Times New Roman" w:hAnsi="Times New Roman" w:cs="Times New Roman"/>
          <w:color w:val="000000" w:themeColor="text1"/>
          <w:lang w:val="en-GB"/>
        </w:rPr>
        <w:t xml:space="preserve">Apparatus, readouts, and guidance notes are co-located to minimise the split-attention effect. </w:t>
      </w:r>
      <w:r w:rsidRPr="003D30A1">
        <w:rPr>
          <w:rFonts w:ascii="Times New Roman" w:hAnsi="Times New Roman" w:cs="Times New Roman"/>
          <w:b/>
          <w:bCs/>
          <w:color w:val="000000" w:themeColor="text1"/>
          <w:lang w:val="en-GB"/>
        </w:rPr>
        <w:t xml:space="preserve">Signalling Principle: </w:t>
      </w:r>
      <w:r w:rsidRPr="003D30A1">
        <w:rPr>
          <w:rFonts w:ascii="Times New Roman" w:hAnsi="Times New Roman" w:cs="Times New Roman"/>
          <w:color w:val="000000" w:themeColor="text1"/>
          <w:lang w:val="en-GB"/>
        </w:rPr>
        <w:t xml:space="preserve">Key data points — meniscus alignment, end-point flashing — are subtly highlighted to guide working memory. </w:t>
      </w:r>
      <w:r w:rsidRPr="003D30A1">
        <w:rPr>
          <w:rFonts w:ascii="Times New Roman" w:hAnsi="Times New Roman" w:cs="Times New Roman"/>
          <w:b/>
          <w:bCs/>
          <w:color w:val="000000" w:themeColor="text1"/>
          <w:lang w:val="en-GB"/>
        </w:rPr>
        <w:t xml:space="preserve">Scaffolding Modality: </w:t>
      </w:r>
      <w:r w:rsidRPr="003D30A1">
        <w:rPr>
          <w:rFonts w:ascii="Times New Roman" w:hAnsi="Times New Roman" w:cs="Times New Roman"/>
          <w:color w:val="000000" w:themeColor="text1"/>
          <w:lang w:val="en-GB"/>
        </w:rPr>
        <w:t>The dual-mode design lets novice learners begin in Guided Mode, with prompts and step validation, before transitioning to unscaffolded, timed Exam Mode.</w:t>
      </w:r>
    </w:p>
    <w:p w14:paraId="1D9B4CC4" w14:textId="77777777" w:rsidR="00031E74" w:rsidRPr="003D30A1" w:rsidRDefault="00000000">
      <w:pPr>
        <w:pStyle w:val="Heading3"/>
        <w:spacing w:before="240" w:after="120"/>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3"/>
          <w:szCs w:val="23"/>
          <w:lang w:val="en-GB"/>
        </w:rPr>
        <w:t>2.3.3 Technology Acceptance Model (TAM 3)</w:t>
      </w:r>
    </w:p>
    <w:p w14:paraId="69DCBBDD"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Proposed by Davis (1989) and extended by Venkatesh and Bala (2008) into TAM 3, this model measures how Perceived Usefulness (PU) and Perceived Ease of Use (PEOU) influence teachers’ and students’ Behavioural Intention (BI) and actual usage of a technology — providing the framework for evaluating adoption in this study.</w:t>
      </w:r>
    </w:p>
    <w:p w14:paraId="5420041F" w14:textId="77777777" w:rsidR="00031E74" w:rsidRPr="003D30A1" w:rsidRDefault="00000000">
      <w:pPr>
        <w:pStyle w:val="Heading3"/>
        <w:spacing w:before="240" w:after="120"/>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3"/>
          <w:szCs w:val="23"/>
          <w:lang w:val="en-GB"/>
        </w:rPr>
        <w:t>2.3.4 Conceptual Framework</w:t>
      </w:r>
    </w:p>
    <w:p w14:paraId="6B4AF63F"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The conceptual framework links the platform’s intervention features (independent variables) to learning and adoption outcomes (dependent variables) through mediating TAM constructs, with school- and learner-level factors acting as moderators.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031E74" w:rsidRPr="003D30A1" w14:paraId="1D8373A0" w14:textId="77777777">
        <w:trPr>
          <w:tblHeader/>
        </w:trPr>
        <w:tc>
          <w:tcPr>
            <w:tcW w:w="3200" w:type="dxa"/>
            <w:shd w:val="clear" w:color="auto" w:fill="1F3864"/>
            <w:tcMar>
              <w:top w:w="100" w:type="dxa"/>
              <w:left w:w="120" w:type="dxa"/>
              <w:bottom w:w="100" w:type="dxa"/>
              <w:right w:w="120" w:type="dxa"/>
            </w:tcMar>
            <w:vAlign w:val="center"/>
          </w:tcPr>
          <w:p w14:paraId="35D5B8B0"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Variable Category</w:t>
            </w:r>
          </w:p>
        </w:tc>
        <w:tc>
          <w:tcPr>
            <w:tcW w:w="6300" w:type="dxa"/>
            <w:shd w:val="clear" w:color="auto" w:fill="1F3864"/>
            <w:tcMar>
              <w:top w:w="100" w:type="dxa"/>
              <w:left w:w="120" w:type="dxa"/>
              <w:bottom w:w="100" w:type="dxa"/>
              <w:right w:w="120" w:type="dxa"/>
            </w:tcMar>
            <w:vAlign w:val="center"/>
          </w:tcPr>
          <w:p w14:paraId="631AFDB2"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Constructs / Indicators</w:t>
            </w:r>
          </w:p>
        </w:tc>
      </w:tr>
      <w:tr w:rsidR="00031E74" w:rsidRPr="003D30A1" w14:paraId="41936C46" w14:textId="77777777">
        <w:tc>
          <w:tcPr>
            <w:tcW w:w="3200" w:type="dxa"/>
            <w:shd w:val="clear" w:color="auto" w:fill="F2F2F2"/>
            <w:tcMar>
              <w:top w:w="90" w:type="dxa"/>
              <w:left w:w="120" w:type="dxa"/>
              <w:bottom w:w="90" w:type="dxa"/>
              <w:right w:w="120" w:type="dxa"/>
            </w:tcMar>
            <w:vAlign w:val="center"/>
          </w:tcPr>
          <w:p w14:paraId="56F7926C"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Independent Variables (Intervention)</w:t>
            </w:r>
          </w:p>
        </w:tc>
        <w:tc>
          <w:tcPr>
            <w:tcW w:w="6300" w:type="dxa"/>
            <w:shd w:val="clear" w:color="auto" w:fill="F2F2F2"/>
            <w:tcMar>
              <w:top w:w="90" w:type="dxa"/>
              <w:left w:w="120" w:type="dxa"/>
              <w:bottom w:w="90" w:type="dxa"/>
              <w:right w:w="120" w:type="dxa"/>
            </w:tcMar>
            <w:vAlign w:val="center"/>
          </w:tcPr>
          <w:p w14:paraId="72B91625"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VirtuLab interactive simulations · Offline PWA &amp; mobile accessibility · Bilingual UI (English/Kiswahili) · Real-time feedback &amp; scaffolding</w:t>
            </w:r>
          </w:p>
        </w:tc>
      </w:tr>
      <w:tr w:rsidR="00031E74" w:rsidRPr="003D30A1" w14:paraId="72026E3A" w14:textId="77777777">
        <w:tc>
          <w:tcPr>
            <w:tcW w:w="3200" w:type="dxa"/>
            <w:tcMar>
              <w:top w:w="90" w:type="dxa"/>
              <w:left w:w="120" w:type="dxa"/>
              <w:bottom w:w="90" w:type="dxa"/>
              <w:right w:w="120" w:type="dxa"/>
            </w:tcMar>
            <w:vAlign w:val="center"/>
          </w:tcPr>
          <w:p w14:paraId="4FAD8362"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Moderating Variables</w:t>
            </w:r>
          </w:p>
        </w:tc>
        <w:tc>
          <w:tcPr>
            <w:tcW w:w="6300" w:type="dxa"/>
            <w:tcMar>
              <w:top w:w="90" w:type="dxa"/>
              <w:left w:w="120" w:type="dxa"/>
              <w:bottom w:w="90" w:type="dxa"/>
              <w:right w:w="120" w:type="dxa"/>
            </w:tcMar>
            <w:vAlign w:val="center"/>
          </w:tcPr>
          <w:p w14:paraId="4E962B28"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School category (National / County / Sub-County) · Prior device familiarity · Teacher ICT-integration support</w:t>
            </w:r>
          </w:p>
        </w:tc>
      </w:tr>
      <w:tr w:rsidR="00031E74" w:rsidRPr="003D30A1" w14:paraId="426A8FB8" w14:textId="77777777">
        <w:tc>
          <w:tcPr>
            <w:tcW w:w="3200" w:type="dxa"/>
            <w:shd w:val="clear" w:color="auto" w:fill="F2F2F2"/>
            <w:tcMar>
              <w:top w:w="90" w:type="dxa"/>
              <w:left w:w="120" w:type="dxa"/>
              <w:bottom w:w="90" w:type="dxa"/>
              <w:right w:w="120" w:type="dxa"/>
            </w:tcMar>
            <w:vAlign w:val="center"/>
          </w:tcPr>
          <w:p w14:paraId="624B98F6"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Mediating Variables (TAM constructs)</w:t>
            </w:r>
          </w:p>
        </w:tc>
        <w:tc>
          <w:tcPr>
            <w:tcW w:w="6300" w:type="dxa"/>
            <w:shd w:val="clear" w:color="auto" w:fill="F2F2F2"/>
            <w:tcMar>
              <w:top w:w="90" w:type="dxa"/>
              <w:left w:w="120" w:type="dxa"/>
              <w:bottom w:w="90" w:type="dxa"/>
              <w:right w:w="120" w:type="dxa"/>
            </w:tcMar>
            <w:vAlign w:val="center"/>
          </w:tcPr>
          <w:p w14:paraId="0937F2CE"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Perceived Ease of Use (PEOU) · Perceived Usefulness (PU) · Cognitive engagement &amp; usability (SUS)</w:t>
            </w:r>
          </w:p>
        </w:tc>
      </w:tr>
      <w:tr w:rsidR="00031E74" w:rsidRPr="003D30A1" w14:paraId="5F854DAD" w14:textId="77777777">
        <w:tc>
          <w:tcPr>
            <w:tcW w:w="3200" w:type="dxa"/>
            <w:tcMar>
              <w:top w:w="90" w:type="dxa"/>
              <w:left w:w="120" w:type="dxa"/>
              <w:bottom w:w="90" w:type="dxa"/>
              <w:right w:w="120" w:type="dxa"/>
            </w:tcMar>
            <w:vAlign w:val="center"/>
          </w:tcPr>
          <w:p w14:paraId="0D18593E"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Dependent Variables (Outcomes)</w:t>
            </w:r>
          </w:p>
        </w:tc>
        <w:tc>
          <w:tcPr>
            <w:tcW w:w="6300" w:type="dxa"/>
            <w:tcMar>
              <w:top w:w="90" w:type="dxa"/>
              <w:left w:w="120" w:type="dxa"/>
              <w:bottom w:w="90" w:type="dxa"/>
              <w:right w:w="120" w:type="dxa"/>
            </w:tcMar>
            <w:vAlign w:val="center"/>
          </w:tcPr>
          <w:p w14:paraId="7A24595D"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KCSE Paper 3 knowledge gains (normalised g) · Practical skill accuracy: concordance &amp; stoichiometry · Reduction in practical-science anxiety · Sustained platform adoption &amp; usage telemetry</w:t>
            </w:r>
          </w:p>
        </w:tc>
      </w:tr>
    </w:tbl>
    <w:p w14:paraId="1801E0A8"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lastRenderedPageBreak/>
        <w:t>Independent variables — the VirtuLab Kenya intervention features — are expected to shape learners’ and teachers’ Perceived Ease of Use, Perceived Usefulness, and Cognitive Engagement (mediating TAM/SUS constructs), which in turn drive the dependent learning and adoption outcomes. School category, prior device familiarity, and teacher ICT-integration support are expected to moderate the strength of these relationships.</w:t>
      </w:r>
    </w:p>
    <w:p w14:paraId="1B145BB5"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2.4 Review of Existing Practices, Policies and Interventions</w:t>
      </w:r>
    </w:p>
    <w:p w14:paraId="770EFDF3"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Current national interventions include CEMASTEA’s 2023–2024 teacher training initiative, which advocated for virtual laboratories as “game changers.” Internationally, tools such as PhET Interactive Simulations and ChemCollective exist but do not serve the specific needs of the Kenyan context. The KICD Secondary Education Curriculum Designs for Chemistry Forms 1–4 remain the current national syllabus and provide the authoritative reference against which VirtuLab Kenya’s modules are mapped.</w:t>
      </w:r>
    </w:p>
    <w:p w14:paraId="15315342"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2.5 Benchmarking and Comparative Analysis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1600"/>
        <w:gridCol w:w="1600"/>
        <w:gridCol w:w="1500"/>
      </w:tblGrid>
      <w:tr w:rsidR="00031E74" w:rsidRPr="003D30A1" w14:paraId="4320DECB" w14:textId="77777777">
        <w:trPr>
          <w:tblHeader/>
        </w:trPr>
        <w:tc>
          <w:tcPr>
            <w:tcW w:w="2400" w:type="dxa"/>
            <w:shd w:val="clear" w:color="auto" w:fill="1F3864"/>
            <w:tcMar>
              <w:top w:w="100" w:type="dxa"/>
              <w:left w:w="120" w:type="dxa"/>
              <w:bottom w:w="100" w:type="dxa"/>
              <w:right w:w="120" w:type="dxa"/>
            </w:tcMar>
            <w:vAlign w:val="center"/>
          </w:tcPr>
          <w:p w14:paraId="2053C7BF"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Platform</w:t>
            </w:r>
          </w:p>
        </w:tc>
        <w:tc>
          <w:tcPr>
            <w:tcW w:w="2400" w:type="dxa"/>
            <w:shd w:val="clear" w:color="auto" w:fill="1F3864"/>
            <w:tcMar>
              <w:top w:w="100" w:type="dxa"/>
              <w:left w:w="120" w:type="dxa"/>
              <w:bottom w:w="100" w:type="dxa"/>
              <w:right w:w="120" w:type="dxa"/>
            </w:tcMar>
            <w:vAlign w:val="center"/>
          </w:tcPr>
          <w:p w14:paraId="4922A9C7"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Kenyan Curriculum Alignment</w:t>
            </w:r>
          </w:p>
        </w:tc>
        <w:tc>
          <w:tcPr>
            <w:tcW w:w="1600" w:type="dxa"/>
            <w:shd w:val="clear" w:color="auto" w:fill="1F3864"/>
            <w:tcMar>
              <w:top w:w="100" w:type="dxa"/>
              <w:left w:w="120" w:type="dxa"/>
              <w:bottom w:w="100" w:type="dxa"/>
              <w:right w:w="120" w:type="dxa"/>
            </w:tcMar>
            <w:vAlign w:val="center"/>
          </w:tcPr>
          <w:p w14:paraId="51D80465"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Kiswahili Support</w:t>
            </w:r>
          </w:p>
        </w:tc>
        <w:tc>
          <w:tcPr>
            <w:tcW w:w="1600" w:type="dxa"/>
            <w:shd w:val="clear" w:color="auto" w:fill="1F3864"/>
            <w:tcMar>
              <w:top w:w="100" w:type="dxa"/>
              <w:left w:w="120" w:type="dxa"/>
              <w:bottom w:w="100" w:type="dxa"/>
              <w:right w:w="120" w:type="dxa"/>
            </w:tcMar>
            <w:vAlign w:val="center"/>
          </w:tcPr>
          <w:p w14:paraId="672D6D02"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Offline Capability</w:t>
            </w:r>
          </w:p>
        </w:tc>
        <w:tc>
          <w:tcPr>
            <w:tcW w:w="1500" w:type="dxa"/>
            <w:shd w:val="clear" w:color="auto" w:fill="1F3864"/>
            <w:tcMar>
              <w:top w:w="100" w:type="dxa"/>
              <w:left w:w="120" w:type="dxa"/>
              <w:bottom w:w="100" w:type="dxa"/>
              <w:right w:w="120" w:type="dxa"/>
            </w:tcMar>
            <w:vAlign w:val="center"/>
          </w:tcPr>
          <w:p w14:paraId="54BBC928"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Cost</w:t>
            </w:r>
          </w:p>
        </w:tc>
      </w:tr>
      <w:tr w:rsidR="00031E74" w:rsidRPr="003D30A1" w14:paraId="4A4071A0" w14:textId="77777777">
        <w:tc>
          <w:tcPr>
            <w:tcW w:w="2400" w:type="dxa"/>
            <w:shd w:val="clear" w:color="auto" w:fill="F2F2F2"/>
            <w:tcMar>
              <w:top w:w="90" w:type="dxa"/>
              <w:left w:w="120" w:type="dxa"/>
              <w:bottom w:w="90" w:type="dxa"/>
              <w:right w:w="120" w:type="dxa"/>
            </w:tcMar>
            <w:vAlign w:val="center"/>
          </w:tcPr>
          <w:p w14:paraId="5F0FF4BA"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PhET Simulations</w:t>
            </w:r>
          </w:p>
        </w:tc>
        <w:tc>
          <w:tcPr>
            <w:tcW w:w="2400" w:type="dxa"/>
            <w:shd w:val="clear" w:color="auto" w:fill="F2F2F2"/>
            <w:tcMar>
              <w:top w:w="90" w:type="dxa"/>
              <w:left w:w="120" w:type="dxa"/>
              <w:bottom w:w="90" w:type="dxa"/>
              <w:right w:w="120" w:type="dxa"/>
            </w:tcMar>
            <w:vAlign w:val="center"/>
          </w:tcPr>
          <w:p w14:paraId="022C5B64"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No</w:t>
            </w:r>
          </w:p>
        </w:tc>
        <w:tc>
          <w:tcPr>
            <w:tcW w:w="1600" w:type="dxa"/>
            <w:shd w:val="clear" w:color="auto" w:fill="F2F2F2"/>
            <w:tcMar>
              <w:top w:w="90" w:type="dxa"/>
              <w:left w:w="120" w:type="dxa"/>
              <w:bottom w:w="90" w:type="dxa"/>
              <w:right w:w="120" w:type="dxa"/>
            </w:tcMar>
            <w:vAlign w:val="center"/>
          </w:tcPr>
          <w:p w14:paraId="7ABABA4E"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No</w:t>
            </w:r>
          </w:p>
        </w:tc>
        <w:tc>
          <w:tcPr>
            <w:tcW w:w="1600" w:type="dxa"/>
            <w:shd w:val="clear" w:color="auto" w:fill="F2F2F2"/>
            <w:tcMar>
              <w:top w:w="90" w:type="dxa"/>
              <w:left w:w="120" w:type="dxa"/>
              <w:bottom w:w="90" w:type="dxa"/>
              <w:right w:w="120" w:type="dxa"/>
            </w:tcMar>
            <w:vAlign w:val="center"/>
          </w:tcPr>
          <w:p w14:paraId="688A3E44"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Partial</w:t>
            </w:r>
          </w:p>
        </w:tc>
        <w:tc>
          <w:tcPr>
            <w:tcW w:w="1500" w:type="dxa"/>
            <w:shd w:val="clear" w:color="auto" w:fill="F2F2F2"/>
            <w:tcMar>
              <w:top w:w="90" w:type="dxa"/>
              <w:left w:w="120" w:type="dxa"/>
              <w:bottom w:w="90" w:type="dxa"/>
              <w:right w:w="120" w:type="dxa"/>
            </w:tcMar>
            <w:vAlign w:val="center"/>
          </w:tcPr>
          <w:p w14:paraId="1A83B842"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Free</w:t>
            </w:r>
          </w:p>
        </w:tc>
      </w:tr>
      <w:tr w:rsidR="00031E74" w:rsidRPr="003D30A1" w14:paraId="0F49EF22" w14:textId="77777777">
        <w:tc>
          <w:tcPr>
            <w:tcW w:w="2400" w:type="dxa"/>
            <w:tcMar>
              <w:top w:w="90" w:type="dxa"/>
              <w:left w:w="120" w:type="dxa"/>
              <w:bottom w:w="90" w:type="dxa"/>
              <w:right w:w="120" w:type="dxa"/>
            </w:tcMar>
            <w:vAlign w:val="center"/>
          </w:tcPr>
          <w:p w14:paraId="2553E310"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Labster</w:t>
            </w:r>
          </w:p>
        </w:tc>
        <w:tc>
          <w:tcPr>
            <w:tcW w:w="2400" w:type="dxa"/>
            <w:tcMar>
              <w:top w:w="90" w:type="dxa"/>
              <w:left w:w="120" w:type="dxa"/>
              <w:bottom w:w="90" w:type="dxa"/>
              <w:right w:w="120" w:type="dxa"/>
            </w:tcMar>
            <w:vAlign w:val="center"/>
          </w:tcPr>
          <w:p w14:paraId="1E3AB1C9"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No</w:t>
            </w:r>
          </w:p>
        </w:tc>
        <w:tc>
          <w:tcPr>
            <w:tcW w:w="1600" w:type="dxa"/>
            <w:tcMar>
              <w:top w:w="90" w:type="dxa"/>
              <w:left w:w="120" w:type="dxa"/>
              <w:bottom w:w="90" w:type="dxa"/>
              <w:right w:w="120" w:type="dxa"/>
            </w:tcMar>
            <w:vAlign w:val="center"/>
          </w:tcPr>
          <w:p w14:paraId="4CC31EBF"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No</w:t>
            </w:r>
          </w:p>
        </w:tc>
        <w:tc>
          <w:tcPr>
            <w:tcW w:w="1600" w:type="dxa"/>
            <w:tcMar>
              <w:top w:w="90" w:type="dxa"/>
              <w:left w:w="120" w:type="dxa"/>
              <w:bottom w:w="90" w:type="dxa"/>
              <w:right w:w="120" w:type="dxa"/>
            </w:tcMar>
            <w:vAlign w:val="center"/>
          </w:tcPr>
          <w:p w14:paraId="747F5E19"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No</w:t>
            </w:r>
          </w:p>
        </w:tc>
        <w:tc>
          <w:tcPr>
            <w:tcW w:w="1500" w:type="dxa"/>
            <w:tcMar>
              <w:top w:w="90" w:type="dxa"/>
              <w:left w:w="120" w:type="dxa"/>
              <w:bottom w:w="90" w:type="dxa"/>
              <w:right w:w="120" w:type="dxa"/>
            </w:tcMar>
            <w:vAlign w:val="center"/>
          </w:tcPr>
          <w:p w14:paraId="5549E7AE"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Paid</w:t>
            </w:r>
          </w:p>
        </w:tc>
      </w:tr>
      <w:tr w:rsidR="00031E74" w:rsidRPr="003D30A1" w14:paraId="594EC0F5" w14:textId="77777777">
        <w:tc>
          <w:tcPr>
            <w:tcW w:w="2400" w:type="dxa"/>
            <w:shd w:val="clear" w:color="auto" w:fill="F2F2F2"/>
            <w:tcMar>
              <w:top w:w="90" w:type="dxa"/>
              <w:left w:w="120" w:type="dxa"/>
              <w:bottom w:w="90" w:type="dxa"/>
              <w:right w:w="120" w:type="dxa"/>
            </w:tcMar>
            <w:vAlign w:val="center"/>
          </w:tcPr>
          <w:p w14:paraId="22679490"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ChemCollective</w:t>
            </w:r>
          </w:p>
        </w:tc>
        <w:tc>
          <w:tcPr>
            <w:tcW w:w="2400" w:type="dxa"/>
            <w:shd w:val="clear" w:color="auto" w:fill="F2F2F2"/>
            <w:tcMar>
              <w:top w:w="90" w:type="dxa"/>
              <w:left w:w="120" w:type="dxa"/>
              <w:bottom w:w="90" w:type="dxa"/>
              <w:right w:w="120" w:type="dxa"/>
            </w:tcMar>
            <w:vAlign w:val="center"/>
          </w:tcPr>
          <w:p w14:paraId="7ABB2E67"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No</w:t>
            </w:r>
          </w:p>
        </w:tc>
        <w:tc>
          <w:tcPr>
            <w:tcW w:w="1600" w:type="dxa"/>
            <w:shd w:val="clear" w:color="auto" w:fill="F2F2F2"/>
            <w:tcMar>
              <w:top w:w="90" w:type="dxa"/>
              <w:left w:w="120" w:type="dxa"/>
              <w:bottom w:w="90" w:type="dxa"/>
              <w:right w:w="120" w:type="dxa"/>
            </w:tcMar>
            <w:vAlign w:val="center"/>
          </w:tcPr>
          <w:p w14:paraId="79F01A4E"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No</w:t>
            </w:r>
          </w:p>
        </w:tc>
        <w:tc>
          <w:tcPr>
            <w:tcW w:w="1600" w:type="dxa"/>
            <w:shd w:val="clear" w:color="auto" w:fill="F2F2F2"/>
            <w:tcMar>
              <w:top w:w="90" w:type="dxa"/>
              <w:left w:w="120" w:type="dxa"/>
              <w:bottom w:w="90" w:type="dxa"/>
              <w:right w:w="120" w:type="dxa"/>
            </w:tcMar>
            <w:vAlign w:val="center"/>
          </w:tcPr>
          <w:p w14:paraId="0B2E09F7"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No</w:t>
            </w:r>
          </w:p>
        </w:tc>
        <w:tc>
          <w:tcPr>
            <w:tcW w:w="1500" w:type="dxa"/>
            <w:shd w:val="clear" w:color="auto" w:fill="F2F2F2"/>
            <w:tcMar>
              <w:top w:w="90" w:type="dxa"/>
              <w:left w:w="120" w:type="dxa"/>
              <w:bottom w:w="90" w:type="dxa"/>
              <w:right w:w="120" w:type="dxa"/>
            </w:tcMar>
            <w:vAlign w:val="center"/>
          </w:tcPr>
          <w:p w14:paraId="0041044D"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Free</w:t>
            </w:r>
          </w:p>
        </w:tc>
      </w:tr>
      <w:tr w:rsidR="00031E74" w:rsidRPr="003D30A1" w14:paraId="27D7B35F" w14:textId="77777777">
        <w:tc>
          <w:tcPr>
            <w:tcW w:w="2400" w:type="dxa"/>
            <w:tcMar>
              <w:top w:w="90" w:type="dxa"/>
              <w:left w:w="120" w:type="dxa"/>
              <w:bottom w:w="90" w:type="dxa"/>
              <w:right w:w="120" w:type="dxa"/>
            </w:tcMar>
            <w:vAlign w:val="center"/>
          </w:tcPr>
          <w:p w14:paraId="3D4D5FAE"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VirtuLab Kenya</w:t>
            </w:r>
          </w:p>
        </w:tc>
        <w:tc>
          <w:tcPr>
            <w:tcW w:w="2400" w:type="dxa"/>
            <w:tcMar>
              <w:top w:w="90" w:type="dxa"/>
              <w:left w:w="120" w:type="dxa"/>
              <w:bottom w:w="90" w:type="dxa"/>
              <w:right w:w="120" w:type="dxa"/>
            </w:tcMar>
            <w:vAlign w:val="center"/>
          </w:tcPr>
          <w:p w14:paraId="5C5C74EB"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Yes — KICD &amp; KNEC aligned</w:t>
            </w:r>
          </w:p>
        </w:tc>
        <w:tc>
          <w:tcPr>
            <w:tcW w:w="1600" w:type="dxa"/>
            <w:tcMar>
              <w:top w:w="90" w:type="dxa"/>
              <w:left w:w="120" w:type="dxa"/>
              <w:bottom w:w="90" w:type="dxa"/>
              <w:right w:w="120" w:type="dxa"/>
            </w:tcMar>
            <w:vAlign w:val="center"/>
          </w:tcPr>
          <w:p w14:paraId="61FE4BFD"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Yes</w:t>
            </w:r>
          </w:p>
        </w:tc>
        <w:tc>
          <w:tcPr>
            <w:tcW w:w="1600" w:type="dxa"/>
            <w:tcMar>
              <w:top w:w="90" w:type="dxa"/>
              <w:left w:w="120" w:type="dxa"/>
              <w:bottom w:w="90" w:type="dxa"/>
              <w:right w:w="120" w:type="dxa"/>
            </w:tcMar>
            <w:vAlign w:val="center"/>
          </w:tcPr>
          <w:p w14:paraId="73B602F9"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Yes (PWA)</w:t>
            </w:r>
          </w:p>
        </w:tc>
        <w:tc>
          <w:tcPr>
            <w:tcW w:w="1500" w:type="dxa"/>
            <w:tcMar>
              <w:top w:w="90" w:type="dxa"/>
              <w:left w:w="120" w:type="dxa"/>
              <w:bottom w:w="90" w:type="dxa"/>
              <w:right w:w="120" w:type="dxa"/>
            </w:tcMar>
            <w:vAlign w:val="center"/>
          </w:tcPr>
          <w:p w14:paraId="289CF109"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Free / low-cost</w:t>
            </w:r>
          </w:p>
        </w:tc>
      </w:tr>
    </w:tbl>
    <w:p w14:paraId="190919D5"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2.6 Research / Project Methodology</w:t>
      </w:r>
    </w:p>
    <w:p w14:paraId="0D30BD73" w14:textId="77777777" w:rsidR="00031E74" w:rsidRPr="003D30A1" w:rsidRDefault="00000000">
      <w:pPr>
        <w:pStyle w:val="Heading3"/>
        <w:spacing w:before="240" w:after="120"/>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3"/>
          <w:szCs w:val="23"/>
          <w:lang w:val="en-GB"/>
        </w:rPr>
        <w:t>2.6.1 Research Design</w:t>
      </w:r>
    </w:p>
    <w:p w14:paraId="21E099AE"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Product development follows the Design and Development Research (DDR) methodology, through the Analysis, Design, Development, and Evaluation (ADDE) stages detailed in Chapter Three. For the pilot evaluation itself, the study adopts a Convergent Parallel Mixed-Methods Quasi-Experimental Design, featuring a pre-test/post-test non-equivalent control group structure. The Experimental Group receives hybrid instruction utilising VirtuLab Kenya for pre-lab preparation, interactive simulation practice, and homework assignments, while the Control Group receives traditional classroom instruction — standard textbooks and teacher chalk-and-talk demonstration — without access to interactive virtual simulation tools.</w:t>
      </w:r>
    </w:p>
    <w:p w14:paraId="2DE25EA5" w14:textId="77777777" w:rsidR="003D30A1" w:rsidRPr="003D30A1" w:rsidRDefault="003D30A1">
      <w:pPr>
        <w:spacing w:after="200" w:line="276" w:lineRule="auto"/>
        <w:jc w:val="both"/>
        <w:rPr>
          <w:rFonts w:ascii="Times New Roman" w:hAnsi="Times New Roman" w:cs="Times New Roman"/>
          <w:color w:val="000000" w:themeColor="text1"/>
          <w:lang w:val="en-GB"/>
        </w:rPr>
      </w:pPr>
    </w:p>
    <w:p w14:paraId="51E2150E" w14:textId="77777777" w:rsidR="003D30A1" w:rsidRPr="003D30A1" w:rsidRDefault="003D30A1">
      <w:pPr>
        <w:spacing w:after="200" w:line="276" w:lineRule="auto"/>
        <w:jc w:val="both"/>
        <w:rPr>
          <w:rFonts w:ascii="Times New Roman" w:hAnsi="Times New Roman" w:cs="Times New Roman"/>
          <w:color w:val="000000" w:themeColor="text1"/>
          <w:lang w:val="en-GB"/>
        </w:rPr>
      </w:pPr>
    </w:p>
    <w:p w14:paraId="06C17A72" w14:textId="77777777" w:rsidR="003D30A1" w:rsidRPr="003D30A1" w:rsidRDefault="003D30A1">
      <w:pPr>
        <w:spacing w:after="200" w:line="276" w:lineRule="auto"/>
        <w:jc w:val="both"/>
        <w:rPr>
          <w:rFonts w:ascii="Times New Roman" w:hAnsi="Times New Roman" w:cs="Times New Roman"/>
          <w:color w:val="000000" w:themeColor="text1"/>
          <w:lang w:val="en-GB"/>
        </w:rPr>
      </w:pPr>
    </w:p>
    <w:p w14:paraId="0BFBEAE2" w14:textId="77777777" w:rsidR="003D30A1" w:rsidRPr="003D30A1" w:rsidRDefault="003D30A1">
      <w:pPr>
        <w:spacing w:after="200" w:line="276" w:lineRule="auto"/>
        <w:jc w:val="both"/>
        <w:rPr>
          <w:rFonts w:ascii="Times New Roman" w:hAnsi="Times New Roman" w:cs="Times New Roman"/>
          <w:color w:val="000000" w:themeColor="text1"/>
          <w:lang w:val="en-GB"/>
        </w:rPr>
      </w:pPr>
    </w:p>
    <w:p w14:paraId="407464D4" w14:textId="77777777" w:rsidR="00031E74" w:rsidRPr="003D30A1" w:rsidRDefault="00000000">
      <w:pPr>
        <w:pStyle w:val="Heading3"/>
        <w:spacing w:before="240" w:after="120"/>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3"/>
          <w:szCs w:val="23"/>
          <w:lang w:val="en-GB"/>
        </w:rPr>
        <w:lastRenderedPageBreak/>
        <w:t>2.6.2 Target Population and Sampling Strategy</w:t>
      </w:r>
    </w:p>
    <w:p w14:paraId="4C4CF0D5"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The sampling frame comprises Form 3 and Form 4 Chemistry students and their respective subject teachers in Kenya. The study uses stratified purposive and multi-stage cluster sampling across three educational tiers:</w:t>
      </w:r>
    </w:p>
    <w:p w14:paraId="3EBFF0B9" w14:textId="77777777" w:rsidR="00B229E7" w:rsidRPr="003D30A1" w:rsidRDefault="00B229E7">
      <w:pPr>
        <w:spacing w:after="200" w:line="276" w:lineRule="auto"/>
        <w:jc w:val="both"/>
        <w:rPr>
          <w:rFonts w:ascii="Times New Roman" w:hAnsi="Times New Roman" w:cs="Times New Roman"/>
          <w:color w:val="000000" w:themeColor="text1"/>
          <w:lang w:val="en-GB"/>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5300"/>
        <w:gridCol w:w="1200"/>
        <w:gridCol w:w="1900"/>
      </w:tblGrid>
      <w:tr w:rsidR="00031E74" w:rsidRPr="003D30A1" w14:paraId="593F6B89" w14:textId="77777777">
        <w:trPr>
          <w:tblHeader/>
        </w:trPr>
        <w:tc>
          <w:tcPr>
            <w:tcW w:w="1100" w:type="dxa"/>
            <w:shd w:val="clear" w:color="auto" w:fill="1F3864"/>
            <w:tcMar>
              <w:top w:w="100" w:type="dxa"/>
              <w:left w:w="120" w:type="dxa"/>
              <w:bottom w:w="100" w:type="dxa"/>
              <w:right w:w="120" w:type="dxa"/>
            </w:tcMar>
            <w:vAlign w:val="center"/>
          </w:tcPr>
          <w:p w14:paraId="6482BEC6"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Stratum</w:t>
            </w:r>
          </w:p>
        </w:tc>
        <w:tc>
          <w:tcPr>
            <w:tcW w:w="5300" w:type="dxa"/>
            <w:shd w:val="clear" w:color="auto" w:fill="1F3864"/>
            <w:tcMar>
              <w:top w:w="100" w:type="dxa"/>
              <w:left w:w="120" w:type="dxa"/>
              <w:bottom w:w="100" w:type="dxa"/>
              <w:right w:w="120" w:type="dxa"/>
            </w:tcMar>
            <w:vAlign w:val="center"/>
          </w:tcPr>
          <w:p w14:paraId="06DD9C68"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School Category</w:t>
            </w:r>
          </w:p>
        </w:tc>
        <w:tc>
          <w:tcPr>
            <w:tcW w:w="1200" w:type="dxa"/>
            <w:shd w:val="clear" w:color="auto" w:fill="1F3864"/>
            <w:tcMar>
              <w:top w:w="100" w:type="dxa"/>
              <w:left w:w="120" w:type="dxa"/>
              <w:bottom w:w="100" w:type="dxa"/>
              <w:right w:w="120" w:type="dxa"/>
            </w:tcMar>
            <w:vAlign w:val="center"/>
          </w:tcPr>
          <w:p w14:paraId="7EC5F986"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Schools</w:t>
            </w:r>
          </w:p>
        </w:tc>
        <w:tc>
          <w:tcPr>
            <w:tcW w:w="1900" w:type="dxa"/>
            <w:shd w:val="clear" w:color="auto" w:fill="1F3864"/>
            <w:tcMar>
              <w:top w:w="100" w:type="dxa"/>
              <w:left w:w="120" w:type="dxa"/>
              <w:bottom w:w="100" w:type="dxa"/>
              <w:right w:w="120" w:type="dxa"/>
            </w:tcMar>
            <w:vAlign w:val="center"/>
          </w:tcPr>
          <w:p w14:paraId="0C028F48"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Approx. n (students)</w:t>
            </w:r>
          </w:p>
        </w:tc>
      </w:tr>
      <w:tr w:rsidR="00031E74" w:rsidRPr="003D30A1" w14:paraId="7706D73B" w14:textId="77777777">
        <w:tc>
          <w:tcPr>
            <w:tcW w:w="1100" w:type="dxa"/>
            <w:shd w:val="clear" w:color="auto" w:fill="F2F2F2"/>
            <w:tcMar>
              <w:top w:w="90" w:type="dxa"/>
              <w:left w:w="120" w:type="dxa"/>
              <w:bottom w:w="90" w:type="dxa"/>
              <w:right w:w="120" w:type="dxa"/>
            </w:tcMar>
            <w:vAlign w:val="center"/>
          </w:tcPr>
          <w:p w14:paraId="710D5151"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1</w:t>
            </w:r>
          </w:p>
        </w:tc>
        <w:tc>
          <w:tcPr>
            <w:tcW w:w="5300" w:type="dxa"/>
            <w:shd w:val="clear" w:color="auto" w:fill="F2F2F2"/>
            <w:tcMar>
              <w:top w:w="90" w:type="dxa"/>
              <w:left w:w="120" w:type="dxa"/>
              <w:bottom w:w="90" w:type="dxa"/>
              <w:right w:w="120" w:type="dxa"/>
            </w:tcMar>
            <w:vAlign w:val="center"/>
          </w:tcPr>
          <w:p w14:paraId="26F57582"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National / Extra-County (high lab-infrastructure baseline)</w:t>
            </w:r>
          </w:p>
        </w:tc>
        <w:tc>
          <w:tcPr>
            <w:tcW w:w="1200" w:type="dxa"/>
            <w:shd w:val="clear" w:color="auto" w:fill="F2F2F2"/>
            <w:tcMar>
              <w:top w:w="90" w:type="dxa"/>
              <w:left w:w="120" w:type="dxa"/>
              <w:bottom w:w="90" w:type="dxa"/>
              <w:right w:w="120" w:type="dxa"/>
            </w:tcMar>
            <w:vAlign w:val="center"/>
          </w:tcPr>
          <w:p w14:paraId="31A9B10D"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2</w:t>
            </w:r>
          </w:p>
        </w:tc>
        <w:tc>
          <w:tcPr>
            <w:tcW w:w="1900" w:type="dxa"/>
            <w:shd w:val="clear" w:color="auto" w:fill="F2F2F2"/>
            <w:tcMar>
              <w:top w:w="90" w:type="dxa"/>
              <w:left w:w="120" w:type="dxa"/>
              <w:bottom w:w="90" w:type="dxa"/>
              <w:right w:w="120" w:type="dxa"/>
            </w:tcMar>
            <w:vAlign w:val="center"/>
          </w:tcPr>
          <w:p w14:paraId="55FA1BBC"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≈120</w:t>
            </w:r>
          </w:p>
        </w:tc>
      </w:tr>
      <w:tr w:rsidR="00031E74" w:rsidRPr="003D30A1" w14:paraId="45C6EC31" w14:textId="77777777">
        <w:tc>
          <w:tcPr>
            <w:tcW w:w="1100" w:type="dxa"/>
            <w:tcMar>
              <w:top w:w="90" w:type="dxa"/>
              <w:left w:w="120" w:type="dxa"/>
              <w:bottom w:w="90" w:type="dxa"/>
              <w:right w:w="120" w:type="dxa"/>
            </w:tcMar>
            <w:vAlign w:val="center"/>
          </w:tcPr>
          <w:p w14:paraId="5C7BEDC4"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2</w:t>
            </w:r>
          </w:p>
        </w:tc>
        <w:tc>
          <w:tcPr>
            <w:tcW w:w="5300" w:type="dxa"/>
            <w:tcMar>
              <w:top w:w="90" w:type="dxa"/>
              <w:left w:w="120" w:type="dxa"/>
              <w:bottom w:w="90" w:type="dxa"/>
              <w:right w:w="120" w:type="dxa"/>
            </w:tcMar>
            <w:vAlign w:val="center"/>
          </w:tcPr>
          <w:p w14:paraId="195D5172"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County Secondary Schools (moderate lab-infrastructure baseline)</w:t>
            </w:r>
          </w:p>
        </w:tc>
        <w:tc>
          <w:tcPr>
            <w:tcW w:w="1200" w:type="dxa"/>
            <w:tcMar>
              <w:top w:w="90" w:type="dxa"/>
              <w:left w:w="120" w:type="dxa"/>
              <w:bottom w:w="90" w:type="dxa"/>
              <w:right w:w="120" w:type="dxa"/>
            </w:tcMar>
            <w:vAlign w:val="center"/>
          </w:tcPr>
          <w:p w14:paraId="2C0A42B4"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3</w:t>
            </w:r>
          </w:p>
        </w:tc>
        <w:tc>
          <w:tcPr>
            <w:tcW w:w="1900" w:type="dxa"/>
            <w:tcMar>
              <w:top w:w="90" w:type="dxa"/>
              <w:left w:w="120" w:type="dxa"/>
              <w:bottom w:w="90" w:type="dxa"/>
              <w:right w:w="120" w:type="dxa"/>
            </w:tcMar>
            <w:vAlign w:val="center"/>
          </w:tcPr>
          <w:p w14:paraId="20ADC763"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≈180</w:t>
            </w:r>
          </w:p>
        </w:tc>
      </w:tr>
      <w:tr w:rsidR="00031E74" w:rsidRPr="003D30A1" w14:paraId="136D4ABE" w14:textId="77777777">
        <w:tc>
          <w:tcPr>
            <w:tcW w:w="1100" w:type="dxa"/>
            <w:shd w:val="clear" w:color="auto" w:fill="F2F2F2"/>
            <w:tcMar>
              <w:top w:w="90" w:type="dxa"/>
              <w:left w:w="120" w:type="dxa"/>
              <w:bottom w:w="90" w:type="dxa"/>
              <w:right w:w="120" w:type="dxa"/>
            </w:tcMar>
            <w:vAlign w:val="center"/>
          </w:tcPr>
          <w:p w14:paraId="7B5FFBB9"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3</w:t>
            </w:r>
          </w:p>
        </w:tc>
        <w:tc>
          <w:tcPr>
            <w:tcW w:w="5300" w:type="dxa"/>
            <w:shd w:val="clear" w:color="auto" w:fill="F2F2F2"/>
            <w:tcMar>
              <w:top w:w="90" w:type="dxa"/>
              <w:left w:w="120" w:type="dxa"/>
              <w:bottom w:w="90" w:type="dxa"/>
              <w:right w:w="120" w:type="dxa"/>
            </w:tcMar>
            <w:vAlign w:val="center"/>
          </w:tcPr>
          <w:p w14:paraId="2C48E5F0"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Sub-County Day Secondary Schools (low/zero lab-infrastructure baseline)</w:t>
            </w:r>
          </w:p>
        </w:tc>
        <w:tc>
          <w:tcPr>
            <w:tcW w:w="1200" w:type="dxa"/>
            <w:shd w:val="clear" w:color="auto" w:fill="F2F2F2"/>
            <w:tcMar>
              <w:top w:w="90" w:type="dxa"/>
              <w:left w:w="120" w:type="dxa"/>
              <w:bottom w:w="90" w:type="dxa"/>
              <w:right w:w="120" w:type="dxa"/>
            </w:tcMar>
            <w:vAlign w:val="center"/>
          </w:tcPr>
          <w:p w14:paraId="03A9FA3D"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5</w:t>
            </w:r>
          </w:p>
        </w:tc>
        <w:tc>
          <w:tcPr>
            <w:tcW w:w="1900" w:type="dxa"/>
            <w:shd w:val="clear" w:color="auto" w:fill="F2F2F2"/>
            <w:tcMar>
              <w:top w:w="90" w:type="dxa"/>
              <w:left w:w="120" w:type="dxa"/>
              <w:bottom w:w="90" w:type="dxa"/>
              <w:right w:w="120" w:type="dxa"/>
            </w:tcMar>
            <w:vAlign w:val="center"/>
          </w:tcPr>
          <w:p w14:paraId="2AF1A5AB"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≈300</w:t>
            </w:r>
          </w:p>
        </w:tc>
      </w:tr>
    </w:tbl>
    <w:p w14:paraId="62D928A6"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This yields a total sample of approximately 600 secondary students and 20 chemistry educators.</w:t>
      </w:r>
    </w:p>
    <w:p w14:paraId="3FF9490A" w14:textId="77777777" w:rsidR="00031E74" w:rsidRPr="003D30A1" w:rsidRDefault="00000000">
      <w:pPr>
        <w:pStyle w:val="Heading3"/>
        <w:spacing w:before="240" w:after="120"/>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3"/>
          <w:szCs w:val="23"/>
          <w:lang w:val="en-GB"/>
        </w:rPr>
        <w:t>2.6.3 Data Collection Instruments</w:t>
      </w:r>
    </w:p>
    <w:p w14:paraId="5973CB37" w14:textId="77777777"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 xml:space="preserve">Chemistry Practical Competency Achievement Test (CPCAT): </w:t>
      </w:r>
      <w:r w:rsidRPr="003D30A1">
        <w:rPr>
          <w:rFonts w:ascii="Times New Roman" w:hAnsi="Times New Roman" w:cs="Times New Roman"/>
          <w:color w:val="000000" w:themeColor="text1"/>
          <w:lang w:val="en-GB"/>
        </w:rPr>
        <w:t xml:space="preserve">A 40-mark standardised pre-test and post-test aligned with KCSE Paper 3 marking standards, validated by experienced KCSE national examiners, measuring procedural knowledge, titration accuracy calculation, qualitative inference logic, and kinetic-curve interpretation. </w:t>
      </w:r>
      <w:r w:rsidRPr="003D30A1">
        <w:rPr>
          <w:rFonts w:ascii="Times New Roman" w:hAnsi="Times New Roman" w:cs="Times New Roman"/>
          <w:b/>
          <w:bCs/>
          <w:color w:val="000000" w:themeColor="text1"/>
          <w:lang w:val="en-GB"/>
        </w:rPr>
        <w:t xml:space="preserve">System Usability Scale (SUS): </w:t>
      </w:r>
      <w:r w:rsidRPr="003D30A1">
        <w:rPr>
          <w:rFonts w:ascii="Times New Roman" w:hAnsi="Times New Roman" w:cs="Times New Roman"/>
          <w:color w:val="000000" w:themeColor="text1"/>
          <w:lang w:val="en-GB"/>
        </w:rPr>
        <w:t xml:space="preserve">The standard 10-item international usability instrument (Brooke, 1996), administered to learners to calculate a benchmark usability score (0–100). Target threshold: SUS ≥ 78 (Grade A / Excellent). </w:t>
      </w:r>
      <w:r w:rsidRPr="003D30A1">
        <w:rPr>
          <w:rFonts w:ascii="Times New Roman" w:hAnsi="Times New Roman" w:cs="Times New Roman"/>
          <w:b/>
          <w:bCs/>
          <w:color w:val="000000" w:themeColor="text1"/>
          <w:lang w:val="en-GB"/>
        </w:rPr>
        <w:t xml:space="preserve">Technology Acceptance Model (TAM) Questionnaire: </w:t>
      </w:r>
      <w:r w:rsidRPr="003D30A1">
        <w:rPr>
          <w:rFonts w:ascii="Times New Roman" w:hAnsi="Times New Roman" w:cs="Times New Roman"/>
          <w:color w:val="000000" w:themeColor="text1"/>
          <w:lang w:val="en-GB"/>
        </w:rPr>
        <w:t xml:space="preserve">A 5-point Likert-scale instrument assessing Perceived Usefulness (6 items), Perceived Ease of Use (6 items), Facilitating Conditions (4 items), and Behavioural Intention to Use (4 items). </w:t>
      </w:r>
      <w:r w:rsidRPr="003D30A1">
        <w:rPr>
          <w:rFonts w:ascii="Times New Roman" w:hAnsi="Times New Roman" w:cs="Times New Roman"/>
          <w:b/>
          <w:bCs/>
          <w:color w:val="000000" w:themeColor="text1"/>
          <w:lang w:val="en-GB"/>
        </w:rPr>
        <w:t xml:space="preserve">Automated server-side telemetry logs: </w:t>
      </w:r>
      <w:r w:rsidRPr="003D30A1">
        <w:rPr>
          <w:rFonts w:ascii="Times New Roman" w:hAnsi="Times New Roman" w:cs="Times New Roman"/>
          <w:color w:val="000000" w:themeColor="text1"/>
          <w:lang w:val="en-GB"/>
        </w:rPr>
        <w:t xml:space="preserve">High-precision metrics collected by the platform database — mean titration trials per student, percentage of concordant titres achieved (≤ 0.10 cm³ variance), indicator-error rate, and time-on-task per module. </w:t>
      </w:r>
      <w:r w:rsidRPr="003D30A1">
        <w:rPr>
          <w:rFonts w:ascii="Times New Roman" w:hAnsi="Times New Roman" w:cs="Times New Roman"/>
          <w:b/>
          <w:bCs/>
          <w:color w:val="000000" w:themeColor="text1"/>
          <w:lang w:val="en-GB"/>
        </w:rPr>
        <w:t xml:space="preserve">Qualitative semi-structured interviews: </w:t>
      </w:r>
      <w:r w:rsidRPr="003D30A1">
        <w:rPr>
          <w:rFonts w:ascii="Times New Roman" w:hAnsi="Times New Roman" w:cs="Times New Roman"/>
          <w:color w:val="000000" w:themeColor="text1"/>
          <w:lang w:val="en-GB"/>
        </w:rPr>
        <w:t>Focus group discussions and teacher in-depth interviews evaluating perceived pedagogical workload reduction, classroom dynamics, and contextual adoption bottlenecks.</w:t>
      </w:r>
    </w:p>
    <w:p w14:paraId="4A47DADE" w14:textId="77777777" w:rsidR="00031E74" w:rsidRPr="003D30A1" w:rsidRDefault="00000000">
      <w:pPr>
        <w:pStyle w:val="Heading3"/>
        <w:spacing w:before="240" w:after="120"/>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3"/>
          <w:szCs w:val="23"/>
          <w:lang w:val="en-GB"/>
        </w:rPr>
        <w:t>2.6.4 Validity of Instruments</w:t>
      </w:r>
    </w:p>
    <w:p w14:paraId="41A440FA"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Content and construct validity will be confirmed through expert review by KICD chemistry panel specialists and experienced KCSE examiners, ensuring the CPCAT and its marking rubric faithfully mirror the KNEC Paper 3 marking scheme.</w:t>
      </w:r>
    </w:p>
    <w:p w14:paraId="555D97DA" w14:textId="77777777" w:rsidR="00031E74" w:rsidRPr="003D30A1" w:rsidRDefault="00000000">
      <w:pPr>
        <w:pStyle w:val="Heading3"/>
        <w:spacing w:before="240" w:after="120"/>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3"/>
          <w:szCs w:val="23"/>
          <w:lang w:val="en-GB"/>
        </w:rPr>
        <w:t>2.6.5 Reliability / Trustworthiness</w:t>
      </w:r>
    </w:p>
    <w:p w14:paraId="029768A8" w14:textId="77777777" w:rsidR="00031E74"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Internal consistency of the SUS and TAM scales will be calculated using Cronbach’s alpha, with a threshold of α ≥ 0.80 required across all test scales before proceeding to full analysis.</w:t>
      </w:r>
    </w:p>
    <w:p w14:paraId="7C5321CD" w14:textId="77777777" w:rsidR="003D30A1" w:rsidRDefault="003D30A1">
      <w:pPr>
        <w:spacing w:after="200" w:line="276" w:lineRule="auto"/>
        <w:jc w:val="both"/>
        <w:rPr>
          <w:rFonts w:ascii="Times New Roman" w:hAnsi="Times New Roman" w:cs="Times New Roman"/>
          <w:color w:val="000000" w:themeColor="text1"/>
          <w:lang w:val="en-GB"/>
        </w:rPr>
      </w:pPr>
    </w:p>
    <w:p w14:paraId="11B88E15" w14:textId="77777777" w:rsidR="003D30A1" w:rsidRPr="003D30A1" w:rsidRDefault="003D30A1">
      <w:pPr>
        <w:spacing w:after="200" w:line="276" w:lineRule="auto"/>
        <w:jc w:val="both"/>
        <w:rPr>
          <w:rFonts w:ascii="Times New Roman" w:hAnsi="Times New Roman" w:cs="Times New Roman"/>
          <w:color w:val="000000" w:themeColor="text1"/>
          <w:lang w:val="en-GB"/>
        </w:rPr>
      </w:pPr>
    </w:p>
    <w:p w14:paraId="05969C13" w14:textId="77777777" w:rsidR="00031E74" w:rsidRPr="003D30A1" w:rsidRDefault="00000000">
      <w:pPr>
        <w:pStyle w:val="Heading3"/>
        <w:spacing w:before="240" w:after="120"/>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3"/>
          <w:szCs w:val="23"/>
          <w:lang w:val="en-GB"/>
        </w:rPr>
        <w:lastRenderedPageBreak/>
        <w:t>2.6.6 Data Collection Procedures</w:t>
      </w:r>
    </w:p>
    <w:p w14:paraId="7DEE2A5E"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The data collection process follows a sequential path: ethical approval → institutional permission → NACOSTI research permit → school and participant recruitment → informed consent/assent → pre-test administration → intervention period → post-test and survey administration → secure data management.</w:t>
      </w:r>
    </w:p>
    <w:p w14:paraId="34DC4217" w14:textId="77777777" w:rsidR="00031E74" w:rsidRPr="003D30A1" w:rsidRDefault="00000000">
      <w:pPr>
        <w:pStyle w:val="Heading3"/>
        <w:spacing w:before="240" w:after="120"/>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3"/>
          <w:szCs w:val="23"/>
          <w:lang w:val="en-GB"/>
        </w:rPr>
        <w:t>2.6.7 Data Analysis Techniques</w:t>
      </w:r>
    </w:p>
    <w:p w14:paraId="00E030EB"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Learning gain will be measured using Hake’s Average Normalised Learning Gain:</w:t>
      </w:r>
    </w:p>
    <w:p w14:paraId="33C16291" w14:textId="77777777" w:rsidR="00031E74" w:rsidRPr="003D30A1" w:rsidRDefault="00000000">
      <w:pPr>
        <w:spacing w:before="120" w:after="120"/>
        <w:jc w:val="center"/>
        <w:rPr>
          <w:rFonts w:ascii="Times New Roman" w:hAnsi="Times New Roman" w:cs="Times New Roman"/>
          <w:color w:val="000000" w:themeColor="text1"/>
          <w:lang w:val="en-GB"/>
        </w:rPr>
      </w:pPr>
      <w:r w:rsidRPr="003D30A1">
        <w:rPr>
          <w:rFonts w:ascii="Times New Roman" w:eastAsia="Consolas" w:hAnsi="Times New Roman" w:cs="Times New Roman"/>
          <w:i/>
          <w:iCs/>
          <w:color w:val="000000" w:themeColor="text1"/>
          <w:lang w:val="en-GB"/>
        </w:rPr>
        <w:t xml:space="preserve">g = </w:t>
      </w:r>
      <w:proofErr w:type="gramStart"/>
      <w:r w:rsidRPr="003D30A1">
        <w:rPr>
          <w:rFonts w:ascii="Times New Roman" w:eastAsia="Consolas" w:hAnsi="Times New Roman" w:cs="Times New Roman"/>
          <w:i/>
          <w:iCs/>
          <w:color w:val="000000" w:themeColor="text1"/>
          <w:lang w:val="en-GB"/>
        </w:rPr>
        <w:t>( %</w:t>
      </w:r>
      <w:proofErr w:type="gramEnd"/>
      <w:r w:rsidRPr="003D30A1">
        <w:rPr>
          <w:rFonts w:ascii="Times New Roman" w:eastAsia="Consolas" w:hAnsi="Times New Roman" w:cs="Times New Roman"/>
          <w:i/>
          <w:iCs/>
          <w:color w:val="000000" w:themeColor="text1"/>
          <w:lang w:val="en-GB"/>
        </w:rPr>
        <w:t>Post-test − %Pre-</w:t>
      </w:r>
      <w:proofErr w:type="gramStart"/>
      <w:r w:rsidRPr="003D30A1">
        <w:rPr>
          <w:rFonts w:ascii="Times New Roman" w:eastAsia="Consolas" w:hAnsi="Times New Roman" w:cs="Times New Roman"/>
          <w:i/>
          <w:iCs/>
          <w:color w:val="000000" w:themeColor="text1"/>
          <w:lang w:val="en-GB"/>
        </w:rPr>
        <w:t>test )</w:t>
      </w:r>
      <w:proofErr w:type="gramEnd"/>
      <w:r w:rsidRPr="003D30A1">
        <w:rPr>
          <w:rFonts w:ascii="Times New Roman" w:eastAsia="Consolas" w:hAnsi="Times New Roman" w:cs="Times New Roman"/>
          <w:i/>
          <w:iCs/>
          <w:color w:val="000000" w:themeColor="text1"/>
          <w:lang w:val="en-GB"/>
        </w:rPr>
        <w:t xml:space="preserve"> / </w:t>
      </w:r>
      <w:proofErr w:type="gramStart"/>
      <w:r w:rsidRPr="003D30A1">
        <w:rPr>
          <w:rFonts w:ascii="Times New Roman" w:eastAsia="Consolas" w:hAnsi="Times New Roman" w:cs="Times New Roman"/>
          <w:i/>
          <w:iCs/>
          <w:color w:val="000000" w:themeColor="text1"/>
          <w:lang w:val="en-GB"/>
        </w:rPr>
        <w:t>( 100</w:t>
      </w:r>
      <w:proofErr w:type="gramEnd"/>
      <w:r w:rsidRPr="003D30A1">
        <w:rPr>
          <w:rFonts w:ascii="Times New Roman" w:eastAsia="Consolas" w:hAnsi="Times New Roman" w:cs="Times New Roman"/>
          <w:i/>
          <w:iCs/>
          <w:color w:val="000000" w:themeColor="text1"/>
          <w:lang w:val="en-GB"/>
        </w:rPr>
        <w:t>% − %Pre-</w:t>
      </w:r>
      <w:proofErr w:type="gramStart"/>
      <w:r w:rsidRPr="003D30A1">
        <w:rPr>
          <w:rFonts w:ascii="Times New Roman" w:eastAsia="Consolas" w:hAnsi="Times New Roman" w:cs="Times New Roman"/>
          <w:i/>
          <w:iCs/>
          <w:color w:val="000000" w:themeColor="text1"/>
          <w:lang w:val="en-GB"/>
        </w:rPr>
        <w:t>test )</w:t>
      </w:r>
      <w:proofErr w:type="gramEnd"/>
    </w:p>
    <w:p w14:paraId="1CEF1B30"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Interpretation: High gain (g ≥ 0.70), medium gain (0.30 ≤ g &lt; 0.70), low gain (g &lt; 0.30). Inferential testing will use paired-sample t-tests to evaluate within-group pre-/post-score improvement, and Analysis of Covariance (ANCOVA) to compare post-test scores between the Experimental and Control groups while controlling for pre-test baseline as a covariate. Educational significance will be established via Cohen’s d effect size:</w:t>
      </w:r>
    </w:p>
    <w:p w14:paraId="1BF2BC7F" w14:textId="77777777" w:rsidR="00031E74" w:rsidRPr="003D30A1" w:rsidRDefault="00000000">
      <w:pPr>
        <w:spacing w:before="120" w:after="120"/>
        <w:jc w:val="center"/>
        <w:rPr>
          <w:rFonts w:ascii="Times New Roman" w:hAnsi="Times New Roman" w:cs="Times New Roman"/>
          <w:color w:val="000000" w:themeColor="text1"/>
          <w:lang w:val="en-GB"/>
        </w:rPr>
      </w:pPr>
      <w:r w:rsidRPr="003D30A1">
        <w:rPr>
          <w:rFonts w:ascii="Times New Roman" w:eastAsia="Consolas" w:hAnsi="Times New Roman" w:cs="Times New Roman"/>
          <w:i/>
          <w:iCs/>
          <w:color w:val="000000" w:themeColor="text1"/>
          <w:lang w:val="en-GB"/>
        </w:rPr>
        <w:t xml:space="preserve">d = </w:t>
      </w:r>
      <w:proofErr w:type="gramStart"/>
      <w:r w:rsidRPr="003D30A1">
        <w:rPr>
          <w:rFonts w:ascii="Times New Roman" w:eastAsia="Consolas" w:hAnsi="Times New Roman" w:cs="Times New Roman"/>
          <w:i/>
          <w:iCs/>
          <w:color w:val="000000" w:themeColor="text1"/>
          <w:lang w:val="en-GB"/>
        </w:rPr>
        <w:t>( x̄</w:t>
      </w:r>
      <w:proofErr w:type="gramEnd"/>
      <w:r w:rsidRPr="003D30A1">
        <w:rPr>
          <w:rFonts w:ascii="Times New Roman" w:eastAsia="Consolas" w:hAnsi="Times New Roman" w:cs="Times New Roman"/>
          <w:i/>
          <w:iCs/>
          <w:color w:val="000000" w:themeColor="text1"/>
          <w:lang w:val="en-GB"/>
        </w:rPr>
        <w:t>₁ − x̄</w:t>
      </w:r>
      <w:proofErr w:type="gramStart"/>
      <w:r w:rsidRPr="003D30A1">
        <w:rPr>
          <w:rFonts w:ascii="Times New Roman" w:eastAsia="Consolas" w:hAnsi="Times New Roman" w:cs="Times New Roman"/>
          <w:i/>
          <w:iCs/>
          <w:color w:val="000000" w:themeColor="text1"/>
          <w:lang w:val="en-GB"/>
        </w:rPr>
        <w:t>₂ )</w:t>
      </w:r>
      <w:proofErr w:type="gramEnd"/>
      <w:r w:rsidRPr="003D30A1">
        <w:rPr>
          <w:rFonts w:ascii="Times New Roman" w:eastAsia="Consolas" w:hAnsi="Times New Roman" w:cs="Times New Roman"/>
          <w:i/>
          <w:iCs/>
          <w:color w:val="000000" w:themeColor="text1"/>
          <w:lang w:val="en-GB"/>
        </w:rPr>
        <w:t xml:space="preserve"> / s(pooled)</w:t>
      </w:r>
    </w:p>
    <w:p w14:paraId="4A360ADF" w14:textId="77777777" w:rsidR="00031E74" w:rsidRPr="003D30A1" w:rsidRDefault="00000000">
      <w:pPr>
        <w:pStyle w:val="Heading3"/>
        <w:spacing w:before="240" w:after="120"/>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3"/>
          <w:szCs w:val="23"/>
          <w:lang w:val="en-GB"/>
        </w:rPr>
        <w:t>2.6.8 Ethical Considerations</w:t>
      </w:r>
    </w:p>
    <w:p w14:paraId="164BEE16"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A research permit will be obtained from the National Commission for Science, Technology and Innovation (NACOSTI), alongside institutional clearance from the Open University of Kenya Directorate of Research and partner school administrations. Parental/guardian consent and headteacher permissions will be secured for all participating minor students, with participation entirely voluntary and free to withdraw at any stage without academic penalty. In line with the Kenya Data Protection Act (2019), student data will be anonymised using random alphanumeric identifiers (STU-XXXX), passwords cryptographically hashed with bcrypt, and raw records stored in encrypted cloud databases accessible solely by the principal investigator.</w:t>
      </w:r>
    </w:p>
    <w:p w14:paraId="79F96E59"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2.7 Analysis of the Identified Problem</w:t>
      </w:r>
    </w:p>
    <w:p w14:paraId="710B3A8D"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The analysis confirms that the inability to access physical labs directly correlates with poor KCSE outcomes and necessitates an immediate, scalable digital solution.</w:t>
      </w:r>
    </w:p>
    <w:p w14:paraId="56D2148E"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2.8 Root-Cause Analysis</w:t>
      </w:r>
    </w:p>
    <w:p w14:paraId="546B63A0"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The root causes include underfunding for physical infrastructure, the high cost and short shelf-life of chemical reagents, unsafe student-to-teacher ratios for hazardous wet-chemistry work, and logistical challenges in remote school locations.</w:t>
      </w:r>
    </w:p>
    <w:p w14:paraId="36D9DB60"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2.9 Needs and Gap Analysis</w:t>
      </w:r>
    </w:p>
    <w:p w14:paraId="5EC1BB14"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While global virtual labs exist, a critical gap remains: the absolute lack of tools aligned with the KICD syllabus and KNEC marking conventions, accessible offline via a lightweight PWA on entry-level Android devices, and localised with Kiswahili support for the Kenyan demographic.</w:t>
      </w:r>
    </w:p>
    <w:p w14:paraId="5F03A7BB" w14:textId="77777777" w:rsidR="003D30A1" w:rsidRPr="003D30A1" w:rsidRDefault="003D30A1">
      <w:pPr>
        <w:spacing w:after="200" w:line="276" w:lineRule="auto"/>
        <w:jc w:val="both"/>
        <w:rPr>
          <w:rFonts w:ascii="Times New Roman" w:hAnsi="Times New Roman" w:cs="Times New Roman"/>
          <w:color w:val="000000" w:themeColor="text1"/>
          <w:lang w:val="en-GB"/>
        </w:rPr>
      </w:pPr>
    </w:p>
    <w:p w14:paraId="4932D9DD"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lastRenderedPageBreak/>
        <w:t>2.10 Analysis of Alternative Solutions</w:t>
      </w:r>
    </w:p>
    <w:p w14:paraId="36C4A129" w14:textId="2A468D2C" w:rsidR="0015551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Alternative solutions such as mobile physical labs or increased government infrastructure funding are highly capital-intensive and slow to deploy.</w:t>
      </w:r>
    </w:p>
    <w:p w14:paraId="30677C2F"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2.11 Selection of the Preferred Intervention</w:t>
      </w:r>
    </w:p>
    <w:p w14:paraId="0D13EC32"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VirtuLab Kenya is selected as the preferred intervention because it is cost-effective, scalable, instantly deployable via standard web browsers, resilient to connectivity outages, and uniquely aligned to KNEC standards.</w:t>
      </w:r>
    </w:p>
    <w:p w14:paraId="5058FAD4"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2.12 Chapter Summary</w:t>
      </w:r>
    </w:p>
    <w:p w14:paraId="009B677E"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Chapter Two reviewed the empirical evidence on educational inequity and virtual laboratory effectiveness, presented the theoretical and conceptual framework — constructivism/IBSE, CTML/CLT, and TAM 3 — that emerges from it, compared VirtuLab Kenya favourably against existing tools, and established a rigorous mixed-methods quasi-experimental methodology for its development and evaluation.</w:t>
      </w:r>
    </w:p>
    <w:p w14:paraId="64DE0365" w14:textId="77777777" w:rsidR="00031E74" w:rsidRPr="003D30A1" w:rsidRDefault="00000000">
      <w:pPr>
        <w:pStyle w:val="Heading1"/>
        <w:pageBreakBefore/>
        <w:spacing w:before="480" w:after="24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lastRenderedPageBreak/>
        <w:t>CHAPTER THREE: DESIGN AND DEVELOPMENT OF THE CAPSTONE INTERVENTION</w:t>
      </w:r>
    </w:p>
    <w:p w14:paraId="3435237E"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This chapter translates the findings from Chapter Two into the practical design, technological architecture, and development trajectory of VirtuLab Kenya.</w:t>
      </w:r>
    </w:p>
    <w:p w14:paraId="759F69FE"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3.1 Design Principles of the Capstone Intervention</w:t>
      </w:r>
    </w:p>
    <w:p w14:paraId="7FB23193" w14:textId="77777777"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 xml:space="preserve">Context Relevance: </w:t>
      </w:r>
      <w:r w:rsidRPr="003D30A1">
        <w:rPr>
          <w:rFonts w:ascii="Times New Roman" w:hAnsi="Times New Roman" w:cs="Times New Roman"/>
          <w:color w:val="000000" w:themeColor="text1"/>
          <w:lang w:val="en-GB"/>
        </w:rPr>
        <w:t xml:space="preserve">100% alignment with the KICD syllabus and KNEC formats. </w:t>
      </w:r>
      <w:r w:rsidRPr="003D30A1">
        <w:rPr>
          <w:rFonts w:ascii="Times New Roman" w:hAnsi="Times New Roman" w:cs="Times New Roman"/>
          <w:b/>
          <w:bCs/>
          <w:color w:val="000000" w:themeColor="text1"/>
          <w:lang w:val="en-GB"/>
        </w:rPr>
        <w:t xml:space="preserve">Accessibility: </w:t>
      </w:r>
      <w:r w:rsidRPr="003D30A1">
        <w:rPr>
          <w:rFonts w:ascii="Times New Roman" w:hAnsi="Times New Roman" w:cs="Times New Roman"/>
          <w:color w:val="000000" w:themeColor="text1"/>
          <w:lang w:val="en-GB"/>
        </w:rPr>
        <w:t xml:space="preserve">PWA offline support and low-bandwidth functionality via semantic HTML5, responsive vanilla CSS3, and vanilla ECMAScript 2022 — avoiding framework bundle overhead so initial load stays under 250 ms on 3G networks. </w:t>
      </w:r>
      <w:r w:rsidRPr="003D30A1">
        <w:rPr>
          <w:rFonts w:ascii="Times New Roman" w:hAnsi="Times New Roman" w:cs="Times New Roman"/>
          <w:b/>
          <w:bCs/>
          <w:color w:val="000000" w:themeColor="text1"/>
          <w:lang w:val="en-GB"/>
        </w:rPr>
        <w:t xml:space="preserve">Inclusivity: </w:t>
      </w:r>
      <w:r w:rsidRPr="003D30A1">
        <w:rPr>
          <w:rFonts w:ascii="Times New Roman" w:hAnsi="Times New Roman" w:cs="Times New Roman"/>
          <w:color w:val="000000" w:themeColor="text1"/>
          <w:lang w:val="en-GB"/>
        </w:rPr>
        <w:t xml:space="preserve">Bilingual interface (English and Kiswahili) to support diverse linguistic contexts. </w:t>
      </w:r>
      <w:r w:rsidRPr="003D30A1">
        <w:rPr>
          <w:rFonts w:ascii="Times New Roman" w:hAnsi="Times New Roman" w:cs="Times New Roman"/>
          <w:b/>
          <w:bCs/>
          <w:color w:val="000000" w:themeColor="text1"/>
          <w:lang w:val="en-GB"/>
        </w:rPr>
        <w:t xml:space="preserve">Cognitive-Load-Aware Design: </w:t>
      </w:r>
      <w:r w:rsidRPr="003D30A1">
        <w:rPr>
          <w:rFonts w:ascii="Times New Roman" w:hAnsi="Times New Roman" w:cs="Times New Roman"/>
          <w:color w:val="000000" w:themeColor="text1"/>
          <w:lang w:val="en-GB"/>
        </w:rPr>
        <w:t xml:space="preserve">Spatial contiguity and signalling principles (Mayer, 2009) keep apparatus, readouts, and guidance notes co-located, minimising split attention. </w:t>
      </w:r>
      <w:r w:rsidRPr="003D30A1">
        <w:rPr>
          <w:rFonts w:ascii="Times New Roman" w:hAnsi="Times New Roman" w:cs="Times New Roman"/>
          <w:b/>
          <w:bCs/>
          <w:color w:val="000000" w:themeColor="text1"/>
          <w:lang w:val="en-GB"/>
        </w:rPr>
        <w:t xml:space="preserve">User-Centred Design: </w:t>
      </w:r>
      <w:r w:rsidRPr="003D30A1">
        <w:rPr>
          <w:rFonts w:ascii="Times New Roman" w:hAnsi="Times New Roman" w:cs="Times New Roman"/>
          <w:color w:val="000000" w:themeColor="text1"/>
          <w:lang w:val="en-GB"/>
        </w:rPr>
        <w:t>Iterative UI improvements, such as the tabbed interface and compact control buttons, based on usability feedback.</w:t>
      </w:r>
    </w:p>
    <w:p w14:paraId="7224E1CA"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3.2 Proposed Capstone Intervention / Innovation</w:t>
      </w:r>
    </w:p>
    <w:p w14:paraId="0BF6F94C" w14:textId="77777777"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 xml:space="preserve">VirtuLab Kenya is a fully functional, offline-first, web-based virtual chemistry laboratory delivered as a Progressive Web App. It includes a student platform featuring KCSE past-paper practice modes (1989–2016), a teacher diagnostic dashboard with real-time analytics, and comprehensive curriculum alignment. The platform is distinguished by four contextual features. </w:t>
      </w:r>
      <w:r w:rsidRPr="003D30A1">
        <w:rPr>
          <w:rFonts w:ascii="Times New Roman" w:hAnsi="Times New Roman" w:cs="Times New Roman"/>
          <w:b/>
          <w:bCs/>
          <w:color w:val="000000" w:themeColor="text1"/>
          <w:lang w:val="en-GB"/>
        </w:rPr>
        <w:t xml:space="preserve">Zero-Bandwidth Resilience: </w:t>
      </w:r>
      <w:r w:rsidRPr="003D30A1">
        <w:rPr>
          <w:rFonts w:ascii="Times New Roman" w:hAnsi="Times New Roman" w:cs="Times New Roman"/>
          <w:color w:val="000000" w:themeColor="text1"/>
          <w:lang w:val="en-GB"/>
        </w:rPr>
        <w:t xml:space="preserve">Full offline execution via service workers and client-side simulation engines, with background telemetry sync once connectivity returns. </w:t>
      </w:r>
      <w:r w:rsidRPr="003D30A1">
        <w:rPr>
          <w:rFonts w:ascii="Times New Roman" w:hAnsi="Times New Roman" w:cs="Times New Roman"/>
          <w:b/>
          <w:bCs/>
          <w:color w:val="000000" w:themeColor="text1"/>
          <w:lang w:val="en-GB"/>
        </w:rPr>
        <w:t xml:space="preserve">Dual-Language Scaffolding: </w:t>
      </w:r>
      <w:r w:rsidRPr="003D30A1">
        <w:rPr>
          <w:rFonts w:ascii="Times New Roman" w:hAnsi="Times New Roman" w:cs="Times New Roman"/>
          <w:color w:val="000000" w:themeColor="text1"/>
          <w:lang w:val="en-GB"/>
        </w:rPr>
        <w:t xml:space="preserve">Native bilingual (English/Kiswahili) support to reinforce conceptual grasp. </w:t>
      </w:r>
      <w:r w:rsidRPr="003D30A1">
        <w:rPr>
          <w:rFonts w:ascii="Times New Roman" w:hAnsi="Times New Roman" w:cs="Times New Roman"/>
          <w:b/>
          <w:bCs/>
          <w:color w:val="000000" w:themeColor="text1"/>
          <w:lang w:val="en-GB"/>
        </w:rPr>
        <w:t xml:space="preserve">Teacher Diagnostic Ecosystem: </w:t>
      </w:r>
      <w:r w:rsidRPr="003D30A1">
        <w:rPr>
          <w:rFonts w:ascii="Times New Roman" w:hAnsi="Times New Roman" w:cs="Times New Roman"/>
          <w:color w:val="000000" w:themeColor="text1"/>
          <w:lang w:val="en-GB"/>
        </w:rPr>
        <w:t xml:space="preserve">Real-time class dashboards providing granular diagnostic telemetry on student titration concordance, calculation errors, and practical proficiency. </w:t>
      </w:r>
      <w:r w:rsidRPr="003D30A1">
        <w:rPr>
          <w:rFonts w:ascii="Times New Roman" w:hAnsi="Times New Roman" w:cs="Times New Roman"/>
          <w:b/>
          <w:bCs/>
          <w:color w:val="000000" w:themeColor="text1"/>
          <w:lang w:val="en-GB"/>
        </w:rPr>
        <w:t xml:space="preserve">Pedagogical Scaffolding: </w:t>
      </w:r>
      <w:r w:rsidRPr="003D30A1">
        <w:rPr>
          <w:rFonts w:ascii="Times New Roman" w:hAnsi="Times New Roman" w:cs="Times New Roman"/>
          <w:color w:val="000000" w:themeColor="text1"/>
          <w:lang w:val="en-GB"/>
        </w:rPr>
        <w:t>Guided-inquiry modes, automated volumetric error feedback, interactive meniscus readings, and adaptive speed challenges.</w:t>
      </w:r>
    </w:p>
    <w:p w14:paraId="1CC69647"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3.3 Intervention Design Framework</w:t>
      </w:r>
    </w:p>
    <w:p w14:paraId="097FE814"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 xml:space="preserve">The intervention maps constructivist scaffolding directly to technological features: beginner students utilise a “Guided Mode” with step-by-step prompts and validation, while advanced students use </w:t>
      </w:r>
      <w:proofErr w:type="gramStart"/>
      <w:r w:rsidRPr="003D30A1">
        <w:rPr>
          <w:rFonts w:ascii="Times New Roman" w:hAnsi="Times New Roman" w:cs="Times New Roman"/>
          <w:color w:val="000000" w:themeColor="text1"/>
          <w:lang w:val="en-GB"/>
        </w:rPr>
        <w:t>an</w:t>
      </w:r>
      <w:proofErr w:type="gramEnd"/>
      <w:r w:rsidRPr="003D30A1">
        <w:rPr>
          <w:rFonts w:ascii="Times New Roman" w:hAnsi="Times New Roman" w:cs="Times New Roman"/>
          <w:color w:val="000000" w:themeColor="text1"/>
          <w:lang w:val="en-GB"/>
        </w:rPr>
        <w:t xml:space="preserve"> scaffolded, timed “Exam Mode” that replicates authentic KCSE exam conditions.</w:t>
      </w:r>
    </w:p>
    <w:p w14:paraId="0AF70948" w14:textId="77777777" w:rsidR="0015551C" w:rsidRPr="003D30A1" w:rsidRDefault="0015551C">
      <w:pPr>
        <w:spacing w:after="200" w:line="276" w:lineRule="auto"/>
        <w:jc w:val="both"/>
        <w:rPr>
          <w:rFonts w:ascii="Times New Roman" w:hAnsi="Times New Roman" w:cs="Times New Roman"/>
          <w:color w:val="000000" w:themeColor="text1"/>
          <w:lang w:val="en-GB"/>
        </w:rPr>
      </w:pPr>
    </w:p>
    <w:p w14:paraId="422BC39B" w14:textId="77777777" w:rsidR="0015551C" w:rsidRPr="003D30A1" w:rsidRDefault="0015551C">
      <w:pPr>
        <w:spacing w:after="200" w:line="276" w:lineRule="auto"/>
        <w:jc w:val="both"/>
        <w:rPr>
          <w:rFonts w:ascii="Times New Roman" w:hAnsi="Times New Roman" w:cs="Times New Roman"/>
          <w:color w:val="000000" w:themeColor="text1"/>
          <w:lang w:val="en-GB"/>
        </w:rPr>
      </w:pPr>
    </w:p>
    <w:p w14:paraId="23FBF0D8"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3.4 System Architecture</w:t>
      </w:r>
    </w:p>
    <w:p w14:paraId="135358A7"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VirtuLab Kenya is engineered around a modern, modular, low-overhead client-server architecture optimised for low-bandwidth, intermittent-connectivity environments, structured across three tiers: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031E74" w:rsidRPr="003D30A1" w14:paraId="5C1B82C3" w14:textId="77777777">
        <w:trPr>
          <w:tblHeader/>
        </w:trPr>
        <w:tc>
          <w:tcPr>
            <w:tcW w:w="2600" w:type="dxa"/>
            <w:shd w:val="clear" w:color="auto" w:fill="1F3864"/>
            <w:tcMar>
              <w:top w:w="100" w:type="dxa"/>
              <w:left w:w="120" w:type="dxa"/>
              <w:bottom w:w="100" w:type="dxa"/>
              <w:right w:w="120" w:type="dxa"/>
            </w:tcMar>
            <w:vAlign w:val="center"/>
          </w:tcPr>
          <w:p w14:paraId="7F7CAB66"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lastRenderedPageBreak/>
              <w:t>Tier</w:t>
            </w:r>
          </w:p>
        </w:tc>
        <w:tc>
          <w:tcPr>
            <w:tcW w:w="6900" w:type="dxa"/>
            <w:shd w:val="clear" w:color="auto" w:fill="1F3864"/>
            <w:tcMar>
              <w:top w:w="100" w:type="dxa"/>
              <w:left w:w="120" w:type="dxa"/>
              <w:bottom w:w="100" w:type="dxa"/>
              <w:right w:w="120" w:type="dxa"/>
            </w:tcMar>
            <w:vAlign w:val="center"/>
          </w:tcPr>
          <w:p w14:paraId="6CC852C0"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Key Components</w:t>
            </w:r>
          </w:p>
        </w:tc>
      </w:tr>
      <w:tr w:rsidR="00031E74" w:rsidRPr="003D30A1" w14:paraId="6B18F191" w14:textId="77777777">
        <w:tc>
          <w:tcPr>
            <w:tcW w:w="2600" w:type="dxa"/>
            <w:shd w:val="clear" w:color="auto" w:fill="F2F2F2"/>
            <w:tcMar>
              <w:top w:w="90" w:type="dxa"/>
              <w:left w:w="120" w:type="dxa"/>
              <w:bottom w:w="90" w:type="dxa"/>
              <w:right w:w="120" w:type="dxa"/>
            </w:tcMar>
            <w:vAlign w:val="center"/>
          </w:tcPr>
          <w:p w14:paraId="26746C27"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Client Tier (PWA)</w:t>
            </w:r>
          </w:p>
        </w:tc>
        <w:tc>
          <w:tcPr>
            <w:tcW w:w="6900" w:type="dxa"/>
            <w:shd w:val="clear" w:color="auto" w:fill="F2F2F2"/>
            <w:tcMar>
              <w:top w:w="90" w:type="dxa"/>
              <w:left w:w="120" w:type="dxa"/>
              <w:bottom w:w="90" w:type="dxa"/>
              <w:right w:w="120" w:type="dxa"/>
            </w:tcMar>
            <w:vAlign w:val="center"/>
          </w:tcPr>
          <w:p w14:paraId="5B65CA91"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Student dashboard &amp; revision history · Virtual chemistry simulation engine · Teacher analytics dashboard · Service worker &amp; cache storage (offline engine) · LocalStorage/IndexedDB local session cache</w:t>
            </w:r>
          </w:p>
        </w:tc>
      </w:tr>
      <w:tr w:rsidR="00031E74" w:rsidRPr="003D30A1" w14:paraId="73607ECB" w14:textId="77777777">
        <w:tc>
          <w:tcPr>
            <w:tcW w:w="2600" w:type="dxa"/>
            <w:tcMar>
              <w:top w:w="90" w:type="dxa"/>
              <w:left w:w="120" w:type="dxa"/>
              <w:bottom w:w="90" w:type="dxa"/>
              <w:right w:w="120" w:type="dxa"/>
            </w:tcMar>
            <w:vAlign w:val="center"/>
          </w:tcPr>
          <w:p w14:paraId="36F84029"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Server Tier (Node.js)</w:t>
            </w:r>
          </w:p>
        </w:tc>
        <w:tc>
          <w:tcPr>
            <w:tcW w:w="6900" w:type="dxa"/>
            <w:tcMar>
              <w:top w:w="90" w:type="dxa"/>
              <w:left w:w="120" w:type="dxa"/>
              <w:bottom w:w="90" w:type="dxa"/>
              <w:right w:w="120" w:type="dxa"/>
            </w:tcMar>
            <w:vAlign w:val="center"/>
          </w:tcPr>
          <w:p w14:paraId="6CC241BA"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Express REST API gateway (/api/auth, /api/sessions, /api/assignments, …) · JWT auth verification, role-based access control, rate limiting · Business logic: telemetry analyzer, leaderboard, badge evaluator, grading</w:t>
            </w:r>
          </w:p>
        </w:tc>
      </w:tr>
      <w:tr w:rsidR="00031E74" w:rsidRPr="003D30A1" w14:paraId="4D588498" w14:textId="77777777">
        <w:tc>
          <w:tcPr>
            <w:tcW w:w="2600" w:type="dxa"/>
            <w:shd w:val="clear" w:color="auto" w:fill="F2F2F2"/>
            <w:tcMar>
              <w:top w:w="90" w:type="dxa"/>
              <w:left w:w="120" w:type="dxa"/>
              <w:bottom w:w="90" w:type="dxa"/>
              <w:right w:w="120" w:type="dxa"/>
            </w:tcMar>
            <w:vAlign w:val="center"/>
          </w:tcPr>
          <w:p w14:paraId="57ED2642"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20"/>
                <w:szCs w:val="20"/>
                <w:lang w:val="en-GB"/>
              </w:rPr>
              <w:t>Database Tier (PostgreSQL)</w:t>
            </w:r>
          </w:p>
        </w:tc>
        <w:tc>
          <w:tcPr>
            <w:tcW w:w="6900" w:type="dxa"/>
            <w:shd w:val="clear" w:color="auto" w:fill="F2F2F2"/>
            <w:tcMar>
              <w:top w:w="90" w:type="dxa"/>
              <w:left w:w="120" w:type="dxa"/>
              <w:bottom w:w="90" w:type="dxa"/>
              <w:right w:w="120" w:type="dxa"/>
            </w:tcMar>
            <w:vAlign w:val="center"/>
          </w:tcPr>
          <w:p w14:paraId="3FE19D33"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20"/>
                <w:szCs w:val="20"/>
                <w:lang w:val="en-GB"/>
              </w:rPr>
              <w:t>users · schools · classes/teachers · lab_sessions · assignments · badges · student_badges · error_telemetry</w:t>
            </w:r>
          </w:p>
        </w:tc>
      </w:tr>
    </w:tbl>
    <w:p w14:paraId="57E3979B"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3.5 Laboratory Modules Implemented and Roadmap</w:t>
      </w:r>
    </w:p>
    <w:p w14:paraId="513BEDB9"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Seven core modules cover the major KCSE Paper 3 practical domains: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900"/>
        <w:gridCol w:w="3400"/>
        <w:gridCol w:w="1500"/>
      </w:tblGrid>
      <w:tr w:rsidR="00031E74" w:rsidRPr="003D30A1" w14:paraId="6B27C442" w14:textId="77777777">
        <w:trPr>
          <w:tblHeader/>
        </w:trPr>
        <w:tc>
          <w:tcPr>
            <w:tcW w:w="1700" w:type="dxa"/>
            <w:shd w:val="clear" w:color="auto" w:fill="1F3864"/>
            <w:tcMar>
              <w:top w:w="100" w:type="dxa"/>
              <w:left w:w="100" w:type="dxa"/>
              <w:bottom w:w="100" w:type="dxa"/>
              <w:right w:w="100" w:type="dxa"/>
            </w:tcMar>
            <w:vAlign w:val="center"/>
          </w:tcPr>
          <w:p w14:paraId="031BB8F0"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Module</w:t>
            </w:r>
          </w:p>
        </w:tc>
        <w:tc>
          <w:tcPr>
            <w:tcW w:w="2900" w:type="dxa"/>
            <w:shd w:val="clear" w:color="auto" w:fill="1F3864"/>
            <w:tcMar>
              <w:top w:w="100" w:type="dxa"/>
              <w:left w:w="100" w:type="dxa"/>
              <w:bottom w:w="100" w:type="dxa"/>
              <w:right w:w="100" w:type="dxa"/>
            </w:tcMar>
            <w:vAlign w:val="center"/>
          </w:tcPr>
          <w:p w14:paraId="599283C9"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Simulated Experiment</w:t>
            </w:r>
          </w:p>
        </w:tc>
        <w:tc>
          <w:tcPr>
            <w:tcW w:w="3400" w:type="dxa"/>
            <w:shd w:val="clear" w:color="auto" w:fill="1F3864"/>
            <w:tcMar>
              <w:top w:w="100" w:type="dxa"/>
              <w:left w:w="100" w:type="dxa"/>
              <w:bottom w:w="100" w:type="dxa"/>
              <w:right w:w="100" w:type="dxa"/>
            </w:tcMar>
            <w:vAlign w:val="center"/>
          </w:tcPr>
          <w:p w14:paraId="64D6A37D"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Target KCSE Skills</w:t>
            </w:r>
          </w:p>
        </w:tc>
        <w:tc>
          <w:tcPr>
            <w:tcW w:w="1500" w:type="dxa"/>
            <w:shd w:val="clear" w:color="auto" w:fill="1F3864"/>
            <w:tcMar>
              <w:top w:w="100" w:type="dxa"/>
              <w:left w:w="100" w:type="dxa"/>
              <w:bottom w:w="100" w:type="dxa"/>
              <w:right w:w="100" w:type="dxa"/>
            </w:tcMar>
            <w:vAlign w:val="center"/>
          </w:tcPr>
          <w:p w14:paraId="194AF1B7"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Syllabus Ref.</w:t>
            </w:r>
          </w:p>
        </w:tc>
      </w:tr>
      <w:tr w:rsidR="00031E74" w:rsidRPr="003D30A1" w14:paraId="5D6F01D1" w14:textId="77777777">
        <w:tc>
          <w:tcPr>
            <w:tcW w:w="1700" w:type="dxa"/>
            <w:shd w:val="clear" w:color="auto" w:fill="F2F2F2"/>
            <w:tcMar>
              <w:top w:w="80" w:type="dxa"/>
              <w:left w:w="100" w:type="dxa"/>
              <w:bottom w:w="80" w:type="dxa"/>
              <w:right w:w="100" w:type="dxa"/>
            </w:tcMar>
            <w:vAlign w:val="center"/>
          </w:tcPr>
          <w:p w14:paraId="6FA0FC74"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1. Volumetric Analysis</w:t>
            </w:r>
          </w:p>
        </w:tc>
        <w:tc>
          <w:tcPr>
            <w:tcW w:w="2900" w:type="dxa"/>
            <w:shd w:val="clear" w:color="auto" w:fill="F2F2F2"/>
            <w:tcMar>
              <w:top w:w="80" w:type="dxa"/>
              <w:left w:w="100" w:type="dxa"/>
              <w:bottom w:w="80" w:type="dxa"/>
              <w:right w:w="100" w:type="dxa"/>
            </w:tcMar>
            <w:vAlign w:val="center"/>
          </w:tcPr>
          <w:p w14:paraId="0E01DE50"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Acid–base, redox, precipitation &amp; complexometric titrations</w:t>
            </w:r>
          </w:p>
        </w:tc>
        <w:tc>
          <w:tcPr>
            <w:tcW w:w="3400" w:type="dxa"/>
            <w:shd w:val="clear" w:color="auto" w:fill="F2F2F2"/>
            <w:tcMar>
              <w:top w:w="80" w:type="dxa"/>
              <w:left w:w="100" w:type="dxa"/>
              <w:bottom w:w="80" w:type="dxa"/>
              <w:right w:w="100" w:type="dxa"/>
            </w:tcMar>
            <w:vAlign w:val="center"/>
          </w:tcPr>
          <w:p w14:paraId="78BA5363"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Pipette priming, burette flow control, end-point detection, concordant titres (ΔV ≤ 0.10 cm³), stoichiometric calculation</w:t>
            </w:r>
          </w:p>
        </w:tc>
        <w:tc>
          <w:tcPr>
            <w:tcW w:w="1500" w:type="dxa"/>
            <w:shd w:val="clear" w:color="auto" w:fill="F2F2F2"/>
            <w:tcMar>
              <w:top w:w="80" w:type="dxa"/>
              <w:left w:w="100" w:type="dxa"/>
              <w:bottom w:w="80" w:type="dxa"/>
              <w:right w:w="100" w:type="dxa"/>
            </w:tcMar>
            <w:vAlign w:val="center"/>
          </w:tcPr>
          <w:p w14:paraId="1F1E033D"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Form 3/4, Paper 3 Q1</w:t>
            </w:r>
          </w:p>
        </w:tc>
      </w:tr>
      <w:tr w:rsidR="00031E74" w:rsidRPr="003D30A1" w14:paraId="505B7E08" w14:textId="77777777">
        <w:tc>
          <w:tcPr>
            <w:tcW w:w="1700" w:type="dxa"/>
            <w:tcMar>
              <w:top w:w="80" w:type="dxa"/>
              <w:left w:w="100" w:type="dxa"/>
              <w:bottom w:w="80" w:type="dxa"/>
              <w:right w:w="100" w:type="dxa"/>
            </w:tcMar>
            <w:vAlign w:val="center"/>
          </w:tcPr>
          <w:p w14:paraId="06A593C8"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2. Qualitative Inorganic Analysis</w:t>
            </w:r>
          </w:p>
        </w:tc>
        <w:tc>
          <w:tcPr>
            <w:tcW w:w="2900" w:type="dxa"/>
            <w:tcMar>
              <w:top w:w="80" w:type="dxa"/>
              <w:left w:w="100" w:type="dxa"/>
              <w:bottom w:w="80" w:type="dxa"/>
              <w:right w:w="100" w:type="dxa"/>
            </w:tcMar>
            <w:vAlign w:val="center"/>
          </w:tcPr>
          <w:p w14:paraId="192325DE"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Cation tests (Fe²⁺, Fe³⁺, Cu²⁺, Al³⁺, Pb²⁺, Zn²⁺, Ca²⁺, NH₄⁺); anion &amp; gas identification; flame tests</w:t>
            </w:r>
          </w:p>
        </w:tc>
        <w:tc>
          <w:tcPr>
            <w:tcW w:w="3400" w:type="dxa"/>
            <w:tcMar>
              <w:top w:w="80" w:type="dxa"/>
              <w:left w:w="100" w:type="dxa"/>
              <w:bottom w:w="80" w:type="dxa"/>
              <w:right w:w="100" w:type="dxa"/>
            </w:tcMar>
            <w:vAlign w:val="center"/>
          </w:tcPr>
          <w:p w14:paraId="747070B0"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Dropwise reagent addition to excess, precipitate-dissolution observation, systematic inference logic</w:t>
            </w:r>
          </w:p>
        </w:tc>
        <w:tc>
          <w:tcPr>
            <w:tcW w:w="1500" w:type="dxa"/>
            <w:tcMar>
              <w:top w:w="80" w:type="dxa"/>
              <w:left w:w="100" w:type="dxa"/>
              <w:bottom w:w="80" w:type="dxa"/>
              <w:right w:w="100" w:type="dxa"/>
            </w:tcMar>
            <w:vAlign w:val="center"/>
          </w:tcPr>
          <w:p w14:paraId="18A0153D"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Form 4, Paper 3 Q2</w:t>
            </w:r>
          </w:p>
        </w:tc>
      </w:tr>
      <w:tr w:rsidR="00031E74" w:rsidRPr="003D30A1" w14:paraId="2D2F292C" w14:textId="77777777">
        <w:tc>
          <w:tcPr>
            <w:tcW w:w="1700" w:type="dxa"/>
            <w:shd w:val="clear" w:color="auto" w:fill="F2F2F2"/>
            <w:tcMar>
              <w:top w:w="80" w:type="dxa"/>
              <w:left w:w="100" w:type="dxa"/>
              <w:bottom w:w="80" w:type="dxa"/>
              <w:right w:w="100" w:type="dxa"/>
            </w:tcMar>
            <w:vAlign w:val="center"/>
          </w:tcPr>
          <w:p w14:paraId="60FECD93"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3. Chemical Kinetics</w:t>
            </w:r>
          </w:p>
        </w:tc>
        <w:tc>
          <w:tcPr>
            <w:tcW w:w="2900" w:type="dxa"/>
            <w:shd w:val="clear" w:color="auto" w:fill="F2F2F2"/>
            <w:tcMar>
              <w:top w:w="80" w:type="dxa"/>
              <w:left w:w="100" w:type="dxa"/>
              <w:bottom w:w="80" w:type="dxa"/>
              <w:right w:w="100" w:type="dxa"/>
            </w:tcMar>
            <w:vAlign w:val="center"/>
          </w:tcPr>
          <w:p w14:paraId="2A2163FC"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Thiosulphate + HCl (disappearing cross); Mg ribbon + acid (gas-syringe volume)</w:t>
            </w:r>
          </w:p>
        </w:tc>
        <w:tc>
          <w:tcPr>
            <w:tcW w:w="3400" w:type="dxa"/>
            <w:shd w:val="clear" w:color="auto" w:fill="F2F2F2"/>
            <w:tcMar>
              <w:top w:w="80" w:type="dxa"/>
              <w:left w:w="100" w:type="dxa"/>
              <w:bottom w:w="80" w:type="dxa"/>
              <w:right w:w="100" w:type="dxa"/>
            </w:tcMar>
            <w:vAlign w:val="center"/>
          </w:tcPr>
          <w:p w14:paraId="5E057D62"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Rate-curve plotting, gradient calculation, collision-theory interpretation</w:t>
            </w:r>
          </w:p>
        </w:tc>
        <w:tc>
          <w:tcPr>
            <w:tcW w:w="1500" w:type="dxa"/>
            <w:shd w:val="clear" w:color="auto" w:fill="F2F2F2"/>
            <w:tcMar>
              <w:top w:w="80" w:type="dxa"/>
              <w:left w:w="100" w:type="dxa"/>
              <w:bottom w:w="80" w:type="dxa"/>
              <w:right w:w="100" w:type="dxa"/>
            </w:tcMar>
            <w:vAlign w:val="center"/>
          </w:tcPr>
          <w:p w14:paraId="13A7F358"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Form 4, Paper 3 Q3</w:t>
            </w:r>
          </w:p>
        </w:tc>
      </w:tr>
      <w:tr w:rsidR="00031E74" w:rsidRPr="003D30A1" w14:paraId="51E38722" w14:textId="77777777">
        <w:tc>
          <w:tcPr>
            <w:tcW w:w="1700" w:type="dxa"/>
            <w:tcMar>
              <w:top w:w="80" w:type="dxa"/>
              <w:left w:w="100" w:type="dxa"/>
              <w:bottom w:w="80" w:type="dxa"/>
              <w:right w:w="100" w:type="dxa"/>
            </w:tcMar>
            <w:vAlign w:val="center"/>
          </w:tcPr>
          <w:p w14:paraId="054B4B4A"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4. Chemical Energetics</w:t>
            </w:r>
          </w:p>
        </w:tc>
        <w:tc>
          <w:tcPr>
            <w:tcW w:w="2900" w:type="dxa"/>
            <w:tcMar>
              <w:top w:w="80" w:type="dxa"/>
              <w:left w:w="100" w:type="dxa"/>
              <w:bottom w:w="80" w:type="dxa"/>
              <w:right w:w="100" w:type="dxa"/>
            </w:tcMar>
            <w:vAlign w:val="center"/>
          </w:tcPr>
          <w:p w14:paraId="3494023E"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Enthalpy of neutralisation; enthalpy of solution &amp; displacement</w:t>
            </w:r>
          </w:p>
        </w:tc>
        <w:tc>
          <w:tcPr>
            <w:tcW w:w="3400" w:type="dxa"/>
            <w:tcMar>
              <w:top w:w="80" w:type="dxa"/>
              <w:left w:w="100" w:type="dxa"/>
              <w:bottom w:w="80" w:type="dxa"/>
              <w:right w:w="100" w:type="dxa"/>
            </w:tcMar>
            <w:vAlign w:val="center"/>
          </w:tcPr>
          <w:p w14:paraId="2D26CC62"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Temperature–time extrapolation, specific heat capacity (ΔH = mcΔT)</w:t>
            </w:r>
          </w:p>
        </w:tc>
        <w:tc>
          <w:tcPr>
            <w:tcW w:w="1500" w:type="dxa"/>
            <w:tcMar>
              <w:top w:w="80" w:type="dxa"/>
              <w:left w:w="100" w:type="dxa"/>
              <w:bottom w:w="80" w:type="dxa"/>
              <w:right w:w="100" w:type="dxa"/>
            </w:tcMar>
            <w:vAlign w:val="center"/>
          </w:tcPr>
          <w:p w14:paraId="447B867F"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Form 4, Paper 3 Q3</w:t>
            </w:r>
          </w:p>
        </w:tc>
      </w:tr>
      <w:tr w:rsidR="00031E74" w:rsidRPr="003D30A1" w14:paraId="418D007D" w14:textId="77777777">
        <w:tc>
          <w:tcPr>
            <w:tcW w:w="1700" w:type="dxa"/>
            <w:shd w:val="clear" w:color="auto" w:fill="F2F2F2"/>
            <w:tcMar>
              <w:top w:w="80" w:type="dxa"/>
              <w:left w:w="100" w:type="dxa"/>
              <w:bottom w:w="80" w:type="dxa"/>
              <w:right w:w="100" w:type="dxa"/>
            </w:tcMar>
            <w:vAlign w:val="center"/>
          </w:tcPr>
          <w:p w14:paraId="20C40AC1"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5. Solubility Curves</w:t>
            </w:r>
          </w:p>
        </w:tc>
        <w:tc>
          <w:tcPr>
            <w:tcW w:w="2900" w:type="dxa"/>
            <w:shd w:val="clear" w:color="auto" w:fill="F2F2F2"/>
            <w:tcMar>
              <w:top w:w="80" w:type="dxa"/>
              <w:left w:w="100" w:type="dxa"/>
              <w:bottom w:w="80" w:type="dxa"/>
              <w:right w:w="100" w:type="dxa"/>
            </w:tcMar>
            <w:vAlign w:val="center"/>
          </w:tcPr>
          <w:p w14:paraId="1BDD5B11"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KClO₃ crystallisation-temperature measurement across dilutions</w:t>
            </w:r>
          </w:p>
        </w:tc>
        <w:tc>
          <w:tcPr>
            <w:tcW w:w="3400" w:type="dxa"/>
            <w:shd w:val="clear" w:color="auto" w:fill="F2F2F2"/>
            <w:tcMar>
              <w:top w:w="80" w:type="dxa"/>
              <w:left w:w="100" w:type="dxa"/>
              <w:bottom w:w="80" w:type="dxa"/>
              <w:right w:w="100" w:type="dxa"/>
            </w:tcMar>
            <w:vAlign w:val="center"/>
          </w:tcPr>
          <w:p w14:paraId="15FB638F"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Cooling-curve determination, solubility-curve generation</w:t>
            </w:r>
          </w:p>
        </w:tc>
        <w:tc>
          <w:tcPr>
            <w:tcW w:w="1500" w:type="dxa"/>
            <w:shd w:val="clear" w:color="auto" w:fill="F2F2F2"/>
            <w:tcMar>
              <w:top w:w="80" w:type="dxa"/>
              <w:left w:w="100" w:type="dxa"/>
              <w:bottom w:w="80" w:type="dxa"/>
              <w:right w:w="100" w:type="dxa"/>
            </w:tcMar>
            <w:vAlign w:val="center"/>
          </w:tcPr>
          <w:p w14:paraId="68272A41"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Form 3, Topic 4</w:t>
            </w:r>
          </w:p>
        </w:tc>
      </w:tr>
      <w:tr w:rsidR="00031E74" w:rsidRPr="003D30A1" w14:paraId="15689FA7" w14:textId="77777777">
        <w:tc>
          <w:tcPr>
            <w:tcW w:w="1700" w:type="dxa"/>
            <w:tcMar>
              <w:top w:w="80" w:type="dxa"/>
              <w:left w:w="100" w:type="dxa"/>
              <w:bottom w:w="80" w:type="dxa"/>
              <w:right w:w="100" w:type="dxa"/>
            </w:tcMar>
            <w:vAlign w:val="center"/>
          </w:tcPr>
          <w:p w14:paraId="5958A56F"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6. Qualitative Organic Chemistry</w:t>
            </w:r>
          </w:p>
        </w:tc>
        <w:tc>
          <w:tcPr>
            <w:tcW w:w="2900" w:type="dxa"/>
            <w:tcMar>
              <w:top w:w="80" w:type="dxa"/>
              <w:left w:w="100" w:type="dxa"/>
              <w:bottom w:w="80" w:type="dxa"/>
              <w:right w:w="100" w:type="dxa"/>
            </w:tcMar>
            <w:vAlign w:val="center"/>
          </w:tcPr>
          <w:p w14:paraId="38CF6DFD"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Saturated vs. unsaturated hydrocarbons; carboxylic acids; alkanols</w:t>
            </w:r>
          </w:p>
        </w:tc>
        <w:tc>
          <w:tcPr>
            <w:tcW w:w="3400" w:type="dxa"/>
            <w:tcMar>
              <w:top w:w="80" w:type="dxa"/>
              <w:left w:w="100" w:type="dxa"/>
              <w:bottom w:w="80" w:type="dxa"/>
              <w:right w:w="100" w:type="dxa"/>
            </w:tcMar>
            <w:vAlign w:val="center"/>
          </w:tcPr>
          <w:p w14:paraId="08BB5483"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Organic observation-table recording, functional-group inference</w:t>
            </w:r>
          </w:p>
        </w:tc>
        <w:tc>
          <w:tcPr>
            <w:tcW w:w="1500" w:type="dxa"/>
            <w:tcMar>
              <w:top w:w="80" w:type="dxa"/>
              <w:left w:w="100" w:type="dxa"/>
              <w:bottom w:w="80" w:type="dxa"/>
              <w:right w:w="100" w:type="dxa"/>
            </w:tcMar>
            <w:vAlign w:val="center"/>
          </w:tcPr>
          <w:p w14:paraId="15A5D1A7"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Form 4, Organic Chem II</w:t>
            </w:r>
          </w:p>
        </w:tc>
      </w:tr>
      <w:tr w:rsidR="00031E74" w:rsidRPr="003D30A1" w14:paraId="4231BB9D" w14:textId="77777777">
        <w:tc>
          <w:tcPr>
            <w:tcW w:w="1700" w:type="dxa"/>
            <w:shd w:val="clear" w:color="auto" w:fill="F2F2F2"/>
            <w:tcMar>
              <w:top w:w="80" w:type="dxa"/>
              <w:left w:w="100" w:type="dxa"/>
              <w:bottom w:w="80" w:type="dxa"/>
              <w:right w:w="100" w:type="dxa"/>
            </w:tcMar>
            <w:vAlign w:val="center"/>
          </w:tcPr>
          <w:p w14:paraId="69C1950B"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7. Composite Mock Examination</w:t>
            </w:r>
          </w:p>
        </w:tc>
        <w:tc>
          <w:tcPr>
            <w:tcW w:w="2900" w:type="dxa"/>
            <w:shd w:val="clear" w:color="auto" w:fill="F2F2F2"/>
            <w:tcMar>
              <w:top w:w="80" w:type="dxa"/>
              <w:left w:w="100" w:type="dxa"/>
              <w:bottom w:w="80" w:type="dxa"/>
              <w:right w:w="100" w:type="dxa"/>
            </w:tcMar>
            <w:vAlign w:val="center"/>
          </w:tcPr>
          <w:p w14:paraId="427FBCDC"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Full 3-question timed composite practical replicating KCSE Paper 3</w:t>
            </w:r>
          </w:p>
        </w:tc>
        <w:tc>
          <w:tcPr>
            <w:tcW w:w="3400" w:type="dxa"/>
            <w:shd w:val="clear" w:color="auto" w:fill="F2F2F2"/>
            <w:tcMar>
              <w:top w:w="80" w:type="dxa"/>
              <w:left w:w="100" w:type="dxa"/>
              <w:bottom w:w="80" w:type="dxa"/>
              <w:right w:w="100" w:type="dxa"/>
            </w:tcMar>
            <w:vAlign w:val="center"/>
          </w:tcPr>
          <w:p w14:paraId="397D130C"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Exam pacing, data transcription, comprehensive mark-scheme grading</w:t>
            </w:r>
          </w:p>
        </w:tc>
        <w:tc>
          <w:tcPr>
            <w:tcW w:w="1500" w:type="dxa"/>
            <w:shd w:val="clear" w:color="auto" w:fill="F2F2F2"/>
            <w:tcMar>
              <w:top w:w="80" w:type="dxa"/>
              <w:left w:w="100" w:type="dxa"/>
              <w:bottom w:w="80" w:type="dxa"/>
              <w:right w:w="100" w:type="dxa"/>
            </w:tcMar>
            <w:vAlign w:val="center"/>
          </w:tcPr>
          <w:p w14:paraId="0E508602"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All Forms</w:t>
            </w:r>
          </w:p>
        </w:tc>
      </w:tr>
    </w:tbl>
    <w:p w14:paraId="08F75B6B"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3.6 Technical Specifications</w:t>
      </w:r>
    </w:p>
    <w:p w14:paraId="147AC222" w14:textId="77777777"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 xml:space="preserve">Frontend: </w:t>
      </w:r>
      <w:r w:rsidRPr="003D30A1">
        <w:rPr>
          <w:rFonts w:ascii="Times New Roman" w:hAnsi="Times New Roman" w:cs="Times New Roman"/>
          <w:color w:val="000000" w:themeColor="text1"/>
          <w:lang w:val="en-GB"/>
        </w:rPr>
        <w:t xml:space="preserve">Semantic HTML5, responsive vanilla CSS3 design tokens, vanilla ECMAScript 2022 — no React/Vue bundle overhead. </w:t>
      </w:r>
      <w:r w:rsidRPr="003D30A1">
        <w:rPr>
          <w:rFonts w:ascii="Times New Roman" w:hAnsi="Times New Roman" w:cs="Times New Roman"/>
          <w:b/>
          <w:bCs/>
          <w:color w:val="000000" w:themeColor="text1"/>
          <w:lang w:val="en-GB"/>
        </w:rPr>
        <w:t xml:space="preserve">Offline &amp; Storage: </w:t>
      </w:r>
      <w:r w:rsidRPr="003D30A1">
        <w:rPr>
          <w:rFonts w:ascii="Times New Roman" w:hAnsi="Times New Roman" w:cs="Times New Roman"/>
          <w:color w:val="000000" w:themeColor="text1"/>
          <w:lang w:val="en-GB"/>
        </w:rPr>
        <w:t xml:space="preserve">Progressive Web App with service-worker Cache-First / Stale-While-Revalidate strategies; complete local simulation execution with a background sync queue for telemetry. </w:t>
      </w:r>
      <w:r w:rsidRPr="003D30A1">
        <w:rPr>
          <w:rFonts w:ascii="Times New Roman" w:hAnsi="Times New Roman" w:cs="Times New Roman"/>
          <w:b/>
          <w:bCs/>
          <w:color w:val="000000" w:themeColor="text1"/>
          <w:lang w:val="en-GB"/>
        </w:rPr>
        <w:t xml:space="preserve">Backend API: </w:t>
      </w:r>
      <w:r w:rsidRPr="003D30A1">
        <w:rPr>
          <w:rFonts w:ascii="Times New Roman" w:hAnsi="Times New Roman" w:cs="Times New Roman"/>
          <w:color w:val="000000" w:themeColor="text1"/>
          <w:lang w:val="en-GB"/>
        </w:rPr>
        <w:t xml:space="preserve">Node.js (v18+) with Express, helmet security headers, CORS protection, and express-rate-limit. </w:t>
      </w:r>
      <w:r w:rsidRPr="003D30A1">
        <w:rPr>
          <w:rFonts w:ascii="Times New Roman" w:hAnsi="Times New Roman" w:cs="Times New Roman"/>
          <w:b/>
          <w:bCs/>
          <w:color w:val="000000" w:themeColor="text1"/>
          <w:lang w:val="en-GB"/>
        </w:rPr>
        <w:t xml:space="preserve">Database: </w:t>
      </w:r>
      <w:r w:rsidRPr="003D30A1">
        <w:rPr>
          <w:rFonts w:ascii="Times New Roman" w:hAnsi="Times New Roman" w:cs="Times New Roman"/>
          <w:color w:val="000000" w:themeColor="text1"/>
          <w:lang w:val="en-GB"/>
        </w:rPr>
        <w:t xml:space="preserve">PostgreSQL with relational integrity, foreign keys, B-tree indexes on session queries, and versioned migrations. </w:t>
      </w:r>
      <w:r w:rsidRPr="003D30A1">
        <w:rPr>
          <w:rFonts w:ascii="Times New Roman" w:hAnsi="Times New Roman" w:cs="Times New Roman"/>
          <w:b/>
          <w:bCs/>
          <w:color w:val="000000" w:themeColor="text1"/>
          <w:lang w:val="en-GB"/>
        </w:rPr>
        <w:t xml:space="preserve">Authentication &amp; Authorization: </w:t>
      </w:r>
      <w:r w:rsidRPr="003D30A1">
        <w:rPr>
          <w:rFonts w:ascii="Times New Roman" w:hAnsi="Times New Roman" w:cs="Times New Roman"/>
          <w:color w:val="000000" w:themeColor="text1"/>
          <w:lang w:val="en-GB"/>
        </w:rPr>
        <w:t xml:space="preserve">Stateless JSON Web Tokens signed with HMAC-SHA256, bcrypt password hashing (work factor 10), and strict role-based access control (student, teacher, admin). </w:t>
      </w:r>
      <w:r w:rsidRPr="003D30A1">
        <w:rPr>
          <w:rFonts w:ascii="Times New Roman" w:hAnsi="Times New Roman" w:cs="Times New Roman"/>
          <w:b/>
          <w:bCs/>
          <w:color w:val="000000" w:themeColor="text1"/>
          <w:lang w:val="en-GB"/>
        </w:rPr>
        <w:t xml:space="preserve">Telemetry &amp; Diagnostic Logging: </w:t>
      </w:r>
      <w:r w:rsidRPr="003D30A1">
        <w:rPr>
          <w:rFonts w:ascii="Times New Roman" w:hAnsi="Times New Roman" w:cs="Times New Roman"/>
          <w:color w:val="000000" w:themeColor="text1"/>
          <w:lang w:val="en-GB"/>
        </w:rPr>
        <w:t>Automated logging of step timestamps, trial counts, titre discrepancy, calculation errors, and hint utilisation.</w:t>
      </w:r>
    </w:p>
    <w:p w14:paraId="447656E9"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lastRenderedPageBreak/>
        <w:t>3.7 Development Process</w:t>
      </w:r>
    </w:p>
    <w:p w14:paraId="0AF10A34" w14:textId="77777777"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The development follows a 12-month plan structured in ADDE phases: Needs Assessment (completed prototype scoping), Design &amp; Development (Phases 1–5, building the frontend, backend, and specific titration modules), and Validation &amp; Piloting (Phase 6, testing with target users).</w:t>
      </w:r>
    </w:p>
    <w:p w14:paraId="5C213366"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3.8 Prototype / Product / Programme Development</w:t>
      </w:r>
    </w:p>
    <w:p w14:paraId="00BDA6FA" w14:textId="77777777"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A working prototype of VirtuLab Kenya has been successfully developed as a single-file application. Completed features include four titration types (acid–base, redox, precipitation, complexometric), an interactive indicator dropper and magnified burette view (reading to 0.05 cm³), a KNEC-format results table and on-demand pH curve visualisations, 17 real KCSE past paper questions (1989–2013) with full text and answer checking, and three visual UI themes (Clean White, Slate Blue Dark, Lab Green).</w:t>
      </w:r>
    </w:p>
    <w:p w14:paraId="06BB6CE9"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3.9 Stakeholder Engagement and Validation</w:t>
      </w:r>
    </w:p>
    <w:p w14:paraId="5F4DE0F0"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Relevant stakeholders, including CEMASTEA, KICD, and KNEC, will be engaged for platform demonstrations, alignment mapping, and feedback. The CPCAT instrument and simulation content will additionally be validated by experienced KCSE national examiners. Academic oversight will be provided by Open University of Kenya supervisors.</w:t>
      </w:r>
    </w:p>
    <w:p w14:paraId="49BB48AB"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3.10 Pilot Testing / Pre-Testing</w:t>
      </w:r>
    </w:p>
    <w:p w14:paraId="30DF9274" w14:textId="77777777"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 xml:space="preserve">Participants: </w:t>
      </w:r>
      <w:r w:rsidRPr="003D30A1">
        <w:rPr>
          <w:rFonts w:ascii="Times New Roman" w:hAnsi="Times New Roman" w:cs="Times New Roman"/>
          <w:color w:val="000000" w:themeColor="text1"/>
          <w:lang w:val="en-GB"/>
        </w:rPr>
        <w:t xml:space="preserve">Approximately 600 Form 3 and 4 students and 20 chemistry teachers, stratified across 10 schools (National/Extra-County, County, and Sub-County categories). </w:t>
      </w:r>
      <w:r w:rsidRPr="003D30A1">
        <w:rPr>
          <w:rFonts w:ascii="Times New Roman" w:hAnsi="Times New Roman" w:cs="Times New Roman"/>
          <w:b/>
          <w:bCs/>
          <w:color w:val="000000" w:themeColor="text1"/>
          <w:lang w:val="en-GB"/>
        </w:rPr>
        <w:t xml:space="preserve">Setting: </w:t>
      </w:r>
      <w:r w:rsidRPr="003D30A1">
        <w:rPr>
          <w:rFonts w:ascii="Times New Roman" w:hAnsi="Times New Roman" w:cs="Times New Roman"/>
          <w:color w:val="000000" w:themeColor="text1"/>
          <w:lang w:val="en-GB"/>
        </w:rPr>
        <w:t xml:space="preserve">Partner schools spanning Nairobi, Machakos, and Kiambu counties. </w:t>
      </w:r>
      <w:r w:rsidRPr="003D30A1">
        <w:rPr>
          <w:rFonts w:ascii="Times New Roman" w:hAnsi="Times New Roman" w:cs="Times New Roman"/>
          <w:b/>
          <w:bCs/>
          <w:color w:val="000000" w:themeColor="text1"/>
          <w:lang w:val="en-GB"/>
        </w:rPr>
        <w:t xml:space="preserve">Procedures: </w:t>
      </w:r>
      <w:r w:rsidRPr="003D30A1">
        <w:rPr>
          <w:rFonts w:ascii="Times New Roman" w:hAnsi="Times New Roman" w:cs="Times New Roman"/>
          <w:color w:val="000000" w:themeColor="text1"/>
          <w:lang w:val="en-GB"/>
        </w:rPr>
        <w:t xml:space="preserve">An 8-week intervention period of independent and assigned student use, following pre-testing. </w:t>
      </w:r>
      <w:r w:rsidRPr="003D30A1">
        <w:rPr>
          <w:rFonts w:ascii="Times New Roman" w:hAnsi="Times New Roman" w:cs="Times New Roman"/>
          <w:b/>
          <w:bCs/>
          <w:color w:val="000000" w:themeColor="text1"/>
          <w:lang w:val="en-GB"/>
        </w:rPr>
        <w:t xml:space="preserve">Feedback: </w:t>
      </w:r>
      <w:r w:rsidRPr="003D30A1">
        <w:rPr>
          <w:rFonts w:ascii="Times New Roman" w:hAnsi="Times New Roman" w:cs="Times New Roman"/>
          <w:color w:val="000000" w:themeColor="text1"/>
          <w:lang w:val="en-GB"/>
        </w:rPr>
        <w:t>Gathered via CPCAT pre-/post-tests, SUS, TAM questionnaires, and qualitative interviews.</w:t>
      </w:r>
    </w:p>
    <w:p w14:paraId="0C0226D0"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3.11 Revision and Refinement of the Intervention</w:t>
      </w:r>
    </w:p>
    <w:p w14:paraId="4997B5A8"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Three iterations have already been completed based on early testing: adding an indicator dropper mechanic, organising the UI into five distinct tabs (Experiment, Results Table, Calculation, Past Papers, Help) to prevent information overload, and redesigning control buttons for better screen utilisation. Further refinements will follow the pilot.</w:t>
      </w:r>
    </w:p>
    <w:p w14:paraId="53B6635C" w14:textId="77777777" w:rsidR="00941884" w:rsidRPr="003D30A1" w:rsidRDefault="00941884">
      <w:pPr>
        <w:spacing w:after="200" w:line="276" w:lineRule="auto"/>
        <w:jc w:val="both"/>
        <w:rPr>
          <w:rFonts w:ascii="Times New Roman" w:hAnsi="Times New Roman" w:cs="Times New Roman"/>
          <w:color w:val="000000" w:themeColor="text1"/>
          <w:lang w:val="en-GB"/>
        </w:rPr>
      </w:pPr>
    </w:p>
    <w:p w14:paraId="2990C7DD" w14:textId="77777777" w:rsidR="00941884" w:rsidRPr="003D30A1" w:rsidRDefault="00941884">
      <w:pPr>
        <w:spacing w:after="200" w:line="276" w:lineRule="auto"/>
        <w:jc w:val="both"/>
        <w:rPr>
          <w:rFonts w:ascii="Times New Roman" w:hAnsi="Times New Roman" w:cs="Times New Roman"/>
          <w:color w:val="000000" w:themeColor="text1"/>
          <w:lang w:val="en-GB"/>
        </w:rPr>
      </w:pPr>
    </w:p>
    <w:p w14:paraId="482402BA" w14:textId="77777777" w:rsidR="00941884" w:rsidRPr="003D30A1" w:rsidRDefault="00941884">
      <w:pPr>
        <w:spacing w:after="200" w:line="276" w:lineRule="auto"/>
        <w:jc w:val="both"/>
        <w:rPr>
          <w:rFonts w:ascii="Times New Roman" w:hAnsi="Times New Roman" w:cs="Times New Roman"/>
          <w:color w:val="000000" w:themeColor="text1"/>
          <w:lang w:val="en-GB"/>
        </w:rPr>
      </w:pPr>
    </w:p>
    <w:p w14:paraId="398B126F" w14:textId="77777777" w:rsidR="00941884" w:rsidRPr="003D30A1" w:rsidRDefault="00941884">
      <w:pPr>
        <w:spacing w:after="200" w:line="276" w:lineRule="auto"/>
        <w:jc w:val="both"/>
        <w:rPr>
          <w:rFonts w:ascii="Times New Roman" w:hAnsi="Times New Roman" w:cs="Times New Roman"/>
          <w:color w:val="000000" w:themeColor="text1"/>
          <w:lang w:val="en-GB"/>
        </w:rPr>
      </w:pPr>
    </w:p>
    <w:p w14:paraId="1B4DC638" w14:textId="77777777" w:rsidR="00941884" w:rsidRPr="003D30A1" w:rsidRDefault="00941884">
      <w:pPr>
        <w:spacing w:after="200" w:line="276" w:lineRule="auto"/>
        <w:jc w:val="both"/>
        <w:rPr>
          <w:rFonts w:ascii="Times New Roman" w:hAnsi="Times New Roman" w:cs="Times New Roman"/>
          <w:color w:val="000000" w:themeColor="text1"/>
          <w:lang w:val="en-GB"/>
        </w:rPr>
      </w:pPr>
    </w:p>
    <w:p w14:paraId="2C410FA3" w14:textId="77777777" w:rsidR="00941884" w:rsidRPr="003D30A1" w:rsidRDefault="00941884">
      <w:pPr>
        <w:spacing w:after="200" w:line="276" w:lineRule="auto"/>
        <w:jc w:val="both"/>
        <w:rPr>
          <w:rFonts w:ascii="Times New Roman" w:hAnsi="Times New Roman" w:cs="Times New Roman"/>
          <w:color w:val="000000" w:themeColor="text1"/>
          <w:lang w:val="en-GB"/>
        </w:rPr>
      </w:pPr>
    </w:p>
    <w:p w14:paraId="5C20BB6E"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lastRenderedPageBreak/>
        <w:t>3.12 Implementation Plan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000"/>
        <w:gridCol w:w="1400"/>
        <w:gridCol w:w="3400"/>
      </w:tblGrid>
      <w:tr w:rsidR="00031E74" w:rsidRPr="003D30A1" w14:paraId="2F05C9E0" w14:textId="77777777">
        <w:trPr>
          <w:tblHeader/>
        </w:trPr>
        <w:tc>
          <w:tcPr>
            <w:tcW w:w="700" w:type="dxa"/>
            <w:shd w:val="clear" w:color="auto" w:fill="1F3864"/>
            <w:tcMar>
              <w:top w:w="100" w:type="dxa"/>
              <w:left w:w="100" w:type="dxa"/>
              <w:bottom w:w="100" w:type="dxa"/>
              <w:right w:w="100" w:type="dxa"/>
            </w:tcMar>
            <w:vAlign w:val="center"/>
          </w:tcPr>
          <w:p w14:paraId="6EC35D26"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Phase</w:t>
            </w:r>
          </w:p>
        </w:tc>
        <w:tc>
          <w:tcPr>
            <w:tcW w:w="4000" w:type="dxa"/>
            <w:shd w:val="clear" w:color="auto" w:fill="1F3864"/>
            <w:tcMar>
              <w:top w:w="100" w:type="dxa"/>
              <w:left w:w="100" w:type="dxa"/>
              <w:bottom w:w="100" w:type="dxa"/>
              <w:right w:w="100" w:type="dxa"/>
            </w:tcMar>
            <w:vAlign w:val="center"/>
          </w:tcPr>
          <w:p w14:paraId="57D9741D"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Milestone / Key Deliverables</w:t>
            </w:r>
          </w:p>
        </w:tc>
        <w:tc>
          <w:tcPr>
            <w:tcW w:w="1400" w:type="dxa"/>
            <w:shd w:val="clear" w:color="auto" w:fill="1F3864"/>
            <w:tcMar>
              <w:top w:w="100" w:type="dxa"/>
              <w:left w:w="100" w:type="dxa"/>
              <w:bottom w:w="100" w:type="dxa"/>
              <w:right w:w="100" w:type="dxa"/>
            </w:tcMar>
            <w:vAlign w:val="center"/>
          </w:tcPr>
          <w:p w14:paraId="4C48595F"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Timeline</w:t>
            </w:r>
          </w:p>
        </w:tc>
        <w:tc>
          <w:tcPr>
            <w:tcW w:w="3400" w:type="dxa"/>
            <w:shd w:val="clear" w:color="auto" w:fill="1F3864"/>
            <w:tcMar>
              <w:top w:w="100" w:type="dxa"/>
              <w:left w:w="100" w:type="dxa"/>
              <w:bottom w:w="100" w:type="dxa"/>
              <w:right w:w="100" w:type="dxa"/>
            </w:tcMar>
            <w:vAlign w:val="center"/>
          </w:tcPr>
          <w:p w14:paraId="0E996D61"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Verification Criterion</w:t>
            </w:r>
          </w:p>
        </w:tc>
      </w:tr>
      <w:tr w:rsidR="00031E74" w:rsidRPr="003D30A1" w14:paraId="38F9E835" w14:textId="77777777">
        <w:tc>
          <w:tcPr>
            <w:tcW w:w="700" w:type="dxa"/>
            <w:shd w:val="clear" w:color="auto" w:fill="F2F2F2"/>
            <w:tcMar>
              <w:top w:w="80" w:type="dxa"/>
              <w:left w:w="100" w:type="dxa"/>
              <w:bottom w:w="80" w:type="dxa"/>
              <w:right w:w="100" w:type="dxa"/>
            </w:tcMar>
            <w:vAlign w:val="center"/>
          </w:tcPr>
          <w:p w14:paraId="0C1E7397"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1</w:t>
            </w:r>
          </w:p>
        </w:tc>
        <w:tc>
          <w:tcPr>
            <w:tcW w:w="4000" w:type="dxa"/>
            <w:shd w:val="clear" w:color="auto" w:fill="F2F2F2"/>
            <w:tcMar>
              <w:top w:w="80" w:type="dxa"/>
              <w:left w:w="100" w:type="dxa"/>
              <w:bottom w:w="80" w:type="dxa"/>
              <w:right w:w="100" w:type="dxa"/>
            </w:tcMar>
            <w:vAlign w:val="center"/>
          </w:tcPr>
          <w:p w14:paraId="074519D6"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Requirements specification &amp; KICD alignment matrix; Node.js/PostgreSQL backend &amp; PWA service-worker scaffolding</w:t>
            </w:r>
          </w:p>
        </w:tc>
        <w:tc>
          <w:tcPr>
            <w:tcW w:w="1400" w:type="dxa"/>
            <w:shd w:val="clear" w:color="auto" w:fill="F2F2F2"/>
            <w:tcMar>
              <w:top w:w="80" w:type="dxa"/>
              <w:left w:w="100" w:type="dxa"/>
              <w:bottom w:w="80" w:type="dxa"/>
              <w:right w:w="100" w:type="dxa"/>
            </w:tcMar>
            <w:vAlign w:val="center"/>
          </w:tcPr>
          <w:p w14:paraId="00FCE024"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Months 1–2</w:t>
            </w:r>
          </w:p>
        </w:tc>
        <w:tc>
          <w:tcPr>
            <w:tcW w:w="3400" w:type="dxa"/>
            <w:shd w:val="clear" w:color="auto" w:fill="F2F2F2"/>
            <w:tcMar>
              <w:top w:w="80" w:type="dxa"/>
              <w:left w:w="100" w:type="dxa"/>
              <w:bottom w:w="80" w:type="dxa"/>
              <w:right w:w="100" w:type="dxa"/>
            </w:tcMar>
            <w:vAlign w:val="center"/>
          </w:tcPr>
          <w:p w14:paraId="002F7DCE"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Working auth API; database schema migrations passed.</w:t>
            </w:r>
          </w:p>
        </w:tc>
      </w:tr>
      <w:tr w:rsidR="00031E74" w:rsidRPr="003D30A1" w14:paraId="77C2BDB2" w14:textId="77777777">
        <w:tc>
          <w:tcPr>
            <w:tcW w:w="700" w:type="dxa"/>
            <w:tcMar>
              <w:top w:w="80" w:type="dxa"/>
              <w:left w:w="100" w:type="dxa"/>
              <w:bottom w:w="80" w:type="dxa"/>
              <w:right w:w="100" w:type="dxa"/>
            </w:tcMar>
            <w:vAlign w:val="center"/>
          </w:tcPr>
          <w:p w14:paraId="664E0A36"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2</w:t>
            </w:r>
          </w:p>
        </w:tc>
        <w:tc>
          <w:tcPr>
            <w:tcW w:w="4000" w:type="dxa"/>
            <w:tcMar>
              <w:top w:w="80" w:type="dxa"/>
              <w:left w:w="100" w:type="dxa"/>
              <w:bottom w:w="80" w:type="dxa"/>
              <w:right w:w="100" w:type="dxa"/>
            </w:tcMar>
            <w:vAlign w:val="center"/>
          </w:tcPr>
          <w:p w14:paraId="5AEA9C99"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Volumetric titration engine (acid-base, redox, precipitation, complexometric); kinetics &amp; equilibria engine</w:t>
            </w:r>
          </w:p>
        </w:tc>
        <w:tc>
          <w:tcPr>
            <w:tcW w:w="1400" w:type="dxa"/>
            <w:tcMar>
              <w:top w:w="80" w:type="dxa"/>
              <w:left w:w="100" w:type="dxa"/>
              <w:bottom w:w="80" w:type="dxa"/>
              <w:right w:w="100" w:type="dxa"/>
            </w:tcMar>
            <w:vAlign w:val="center"/>
          </w:tcPr>
          <w:p w14:paraId="75867165"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Months 3–4</w:t>
            </w:r>
          </w:p>
        </w:tc>
        <w:tc>
          <w:tcPr>
            <w:tcW w:w="3400" w:type="dxa"/>
            <w:tcMar>
              <w:top w:w="80" w:type="dxa"/>
              <w:left w:w="100" w:type="dxa"/>
              <w:bottom w:w="80" w:type="dxa"/>
              <w:right w:w="100" w:type="dxa"/>
            </w:tcMar>
            <w:vAlign w:val="center"/>
          </w:tcPr>
          <w:p w14:paraId="41B92B66"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Precision burette simulation with concordance checks verified.</w:t>
            </w:r>
          </w:p>
        </w:tc>
      </w:tr>
      <w:tr w:rsidR="00031E74" w:rsidRPr="003D30A1" w14:paraId="61ED9FA7" w14:textId="77777777">
        <w:tc>
          <w:tcPr>
            <w:tcW w:w="700" w:type="dxa"/>
            <w:shd w:val="clear" w:color="auto" w:fill="F2F2F2"/>
            <w:tcMar>
              <w:top w:w="80" w:type="dxa"/>
              <w:left w:w="100" w:type="dxa"/>
              <w:bottom w:w="80" w:type="dxa"/>
              <w:right w:w="100" w:type="dxa"/>
            </w:tcMar>
            <w:vAlign w:val="center"/>
          </w:tcPr>
          <w:p w14:paraId="04F4471C"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3</w:t>
            </w:r>
          </w:p>
        </w:tc>
        <w:tc>
          <w:tcPr>
            <w:tcW w:w="4000" w:type="dxa"/>
            <w:shd w:val="clear" w:color="auto" w:fill="F2F2F2"/>
            <w:tcMar>
              <w:top w:w="80" w:type="dxa"/>
              <w:left w:w="100" w:type="dxa"/>
              <w:bottom w:w="80" w:type="dxa"/>
              <w:right w:w="100" w:type="dxa"/>
            </w:tcMar>
            <w:vAlign w:val="center"/>
          </w:tcPr>
          <w:p w14:paraId="2A58B0F3"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Qualitative inorganic analysis, energetics, solubility &amp; organic tests; student dashboard, badges &amp; certificates</w:t>
            </w:r>
          </w:p>
        </w:tc>
        <w:tc>
          <w:tcPr>
            <w:tcW w:w="1400" w:type="dxa"/>
            <w:shd w:val="clear" w:color="auto" w:fill="F2F2F2"/>
            <w:tcMar>
              <w:top w:w="80" w:type="dxa"/>
              <w:left w:w="100" w:type="dxa"/>
              <w:bottom w:w="80" w:type="dxa"/>
              <w:right w:w="100" w:type="dxa"/>
            </w:tcMar>
            <w:vAlign w:val="center"/>
          </w:tcPr>
          <w:p w14:paraId="27892176"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Months 5–6</w:t>
            </w:r>
          </w:p>
        </w:tc>
        <w:tc>
          <w:tcPr>
            <w:tcW w:w="3400" w:type="dxa"/>
            <w:shd w:val="clear" w:color="auto" w:fill="F2F2F2"/>
            <w:tcMar>
              <w:top w:w="80" w:type="dxa"/>
              <w:left w:w="100" w:type="dxa"/>
              <w:bottom w:w="80" w:type="dxa"/>
              <w:right w:w="100" w:type="dxa"/>
            </w:tcMar>
            <w:vAlign w:val="center"/>
          </w:tcPr>
          <w:p w14:paraId="52D574C6"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7 complete simulation modules functioning fully offline.</w:t>
            </w:r>
          </w:p>
        </w:tc>
      </w:tr>
      <w:tr w:rsidR="00031E74" w:rsidRPr="003D30A1" w14:paraId="269457CC" w14:textId="77777777">
        <w:tc>
          <w:tcPr>
            <w:tcW w:w="700" w:type="dxa"/>
            <w:tcMar>
              <w:top w:w="80" w:type="dxa"/>
              <w:left w:w="100" w:type="dxa"/>
              <w:bottom w:w="80" w:type="dxa"/>
              <w:right w:w="100" w:type="dxa"/>
            </w:tcMar>
            <w:vAlign w:val="center"/>
          </w:tcPr>
          <w:p w14:paraId="7412ADB2"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4</w:t>
            </w:r>
          </w:p>
        </w:tc>
        <w:tc>
          <w:tcPr>
            <w:tcW w:w="4000" w:type="dxa"/>
            <w:tcMar>
              <w:top w:w="80" w:type="dxa"/>
              <w:left w:w="100" w:type="dxa"/>
              <w:bottom w:w="80" w:type="dxa"/>
              <w:right w:w="100" w:type="dxa"/>
            </w:tcMar>
            <w:vAlign w:val="center"/>
          </w:tcPr>
          <w:p w14:paraId="0B9E7250"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Teacher dashboard with telemetry analytics &amp; assignment broadcasting; timed composite mock exam module</w:t>
            </w:r>
          </w:p>
        </w:tc>
        <w:tc>
          <w:tcPr>
            <w:tcW w:w="1400" w:type="dxa"/>
            <w:tcMar>
              <w:top w:w="80" w:type="dxa"/>
              <w:left w:w="100" w:type="dxa"/>
              <w:bottom w:w="80" w:type="dxa"/>
              <w:right w:w="100" w:type="dxa"/>
            </w:tcMar>
            <w:vAlign w:val="center"/>
          </w:tcPr>
          <w:p w14:paraId="58942939"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Months 7–8</w:t>
            </w:r>
          </w:p>
        </w:tc>
        <w:tc>
          <w:tcPr>
            <w:tcW w:w="3400" w:type="dxa"/>
            <w:tcMar>
              <w:top w:w="80" w:type="dxa"/>
              <w:left w:w="100" w:type="dxa"/>
              <w:bottom w:w="80" w:type="dxa"/>
              <w:right w:w="100" w:type="dxa"/>
            </w:tcMar>
            <w:vAlign w:val="center"/>
          </w:tcPr>
          <w:p w14:paraId="46FE5875"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Multi-school teacher/student role access successfully tested.</w:t>
            </w:r>
          </w:p>
        </w:tc>
      </w:tr>
      <w:tr w:rsidR="00031E74" w:rsidRPr="003D30A1" w14:paraId="294755A8" w14:textId="77777777">
        <w:tc>
          <w:tcPr>
            <w:tcW w:w="700" w:type="dxa"/>
            <w:shd w:val="clear" w:color="auto" w:fill="F2F2F2"/>
            <w:tcMar>
              <w:top w:w="80" w:type="dxa"/>
              <w:left w:w="100" w:type="dxa"/>
              <w:bottom w:w="80" w:type="dxa"/>
              <w:right w:w="100" w:type="dxa"/>
            </w:tcMar>
            <w:vAlign w:val="center"/>
          </w:tcPr>
          <w:p w14:paraId="23F8F80A"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5</w:t>
            </w:r>
          </w:p>
        </w:tc>
        <w:tc>
          <w:tcPr>
            <w:tcW w:w="4000" w:type="dxa"/>
            <w:shd w:val="clear" w:color="auto" w:fill="F2F2F2"/>
            <w:tcMar>
              <w:top w:w="80" w:type="dxa"/>
              <w:left w:w="100" w:type="dxa"/>
              <w:bottom w:w="80" w:type="dxa"/>
              <w:right w:w="100" w:type="dxa"/>
            </w:tcMar>
            <w:vAlign w:val="center"/>
          </w:tcPr>
          <w:p w14:paraId="215063B0"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NACOSTI research ethics clearance obtained; 10 pilot schools onboarded, pre-tests administered, 8-week intervention begins</w:t>
            </w:r>
          </w:p>
        </w:tc>
        <w:tc>
          <w:tcPr>
            <w:tcW w:w="1400" w:type="dxa"/>
            <w:shd w:val="clear" w:color="auto" w:fill="F2F2F2"/>
            <w:tcMar>
              <w:top w:w="80" w:type="dxa"/>
              <w:left w:w="100" w:type="dxa"/>
              <w:bottom w:w="80" w:type="dxa"/>
              <w:right w:w="100" w:type="dxa"/>
            </w:tcMar>
            <w:vAlign w:val="center"/>
          </w:tcPr>
          <w:p w14:paraId="240D186D"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Months 9–10</w:t>
            </w:r>
          </w:p>
        </w:tc>
        <w:tc>
          <w:tcPr>
            <w:tcW w:w="3400" w:type="dxa"/>
            <w:shd w:val="clear" w:color="auto" w:fill="F2F2F2"/>
            <w:tcMar>
              <w:top w:w="80" w:type="dxa"/>
              <w:left w:w="100" w:type="dxa"/>
              <w:bottom w:w="80" w:type="dxa"/>
              <w:right w:w="100" w:type="dxa"/>
            </w:tcMar>
            <w:vAlign w:val="center"/>
          </w:tcPr>
          <w:p w14:paraId="256EDDFF"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Active student usage logs recorded across ≥600 learners.</w:t>
            </w:r>
          </w:p>
        </w:tc>
      </w:tr>
      <w:tr w:rsidR="00031E74" w:rsidRPr="003D30A1" w14:paraId="58AC0EB8" w14:textId="77777777">
        <w:tc>
          <w:tcPr>
            <w:tcW w:w="700" w:type="dxa"/>
            <w:tcMar>
              <w:top w:w="80" w:type="dxa"/>
              <w:left w:w="100" w:type="dxa"/>
              <w:bottom w:w="80" w:type="dxa"/>
              <w:right w:w="100" w:type="dxa"/>
            </w:tcMar>
            <w:vAlign w:val="center"/>
          </w:tcPr>
          <w:p w14:paraId="30ADD597"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6</w:t>
            </w:r>
          </w:p>
        </w:tc>
        <w:tc>
          <w:tcPr>
            <w:tcW w:w="4000" w:type="dxa"/>
            <w:tcMar>
              <w:top w:w="80" w:type="dxa"/>
              <w:left w:w="100" w:type="dxa"/>
              <w:bottom w:w="80" w:type="dxa"/>
              <w:right w:w="100" w:type="dxa"/>
            </w:tcMar>
            <w:vAlign w:val="center"/>
          </w:tcPr>
          <w:p w14:paraId="17E7C73E"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Post-tests, TAM &amp; SUS questionnaires administered; statistical analysis (ANCOVA, Cohen’s d, TAM regression); dissertation submission &amp; KICD policy brief</w:t>
            </w:r>
          </w:p>
        </w:tc>
        <w:tc>
          <w:tcPr>
            <w:tcW w:w="1400" w:type="dxa"/>
            <w:tcMar>
              <w:top w:w="80" w:type="dxa"/>
              <w:left w:w="100" w:type="dxa"/>
              <w:bottom w:w="80" w:type="dxa"/>
              <w:right w:w="100" w:type="dxa"/>
            </w:tcMar>
            <w:vAlign w:val="center"/>
          </w:tcPr>
          <w:p w14:paraId="31D350A5"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Months 11–12</w:t>
            </w:r>
          </w:p>
        </w:tc>
        <w:tc>
          <w:tcPr>
            <w:tcW w:w="3400" w:type="dxa"/>
            <w:tcMar>
              <w:top w:w="80" w:type="dxa"/>
              <w:left w:w="100" w:type="dxa"/>
              <w:bottom w:w="80" w:type="dxa"/>
              <w:right w:w="100" w:type="dxa"/>
            </w:tcMar>
            <w:vAlign w:val="center"/>
          </w:tcPr>
          <w:p w14:paraId="12C9897C"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Final dissertation defended; open-source codebase published.</w:t>
            </w:r>
          </w:p>
        </w:tc>
      </w:tr>
    </w:tbl>
    <w:p w14:paraId="5BBD9D48"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3.13 Resource Requirements and Budget</w:t>
      </w:r>
    </w:p>
    <w:p w14:paraId="1447B757"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The project budget reflects lean, sustainable resource allocation for pilot development, cloud hosting, field testing across sub-county schools, and research dissemination.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1400"/>
        <w:gridCol w:w="1300"/>
      </w:tblGrid>
      <w:tr w:rsidR="00031E74" w:rsidRPr="003D30A1" w14:paraId="2234722B" w14:textId="77777777">
        <w:trPr>
          <w:tblHeader/>
        </w:trPr>
        <w:tc>
          <w:tcPr>
            <w:tcW w:w="2600" w:type="dxa"/>
            <w:shd w:val="clear" w:color="auto" w:fill="1F3864"/>
            <w:tcMar>
              <w:top w:w="100" w:type="dxa"/>
              <w:left w:w="100" w:type="dxa"/>
              <w:bottom w:w="100" w:type="dxa"/>
              <w:right w:w="100" w:type="dxa"/>
            </w:tcMar>
            <w:vAlign w:val="center"/>
          </w:tcPr>
          <w:p w14:paraId="1E513277"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Item Category</w:t>
            </w:r>
          </w:p>
        </w:tc>
        <w:tc>
          <w:tcPr>
            <w:tcW w:w="4200" w:type="dxa"/>
            <w:shd w:val="clear" w:color="auto" w:fill="1F3864"/>
            <w:tcMar>
              <w:top w:w="100" w:type="dxa"/>
              <w:left w:w="100" w:type="dxa"/>
              <w:bottom w:w="100" w:type="dxa"/>
              <w:right w:w="100" w:type="dxa"/>
            </w:tcMar>
            <w:vAlign w:val="center"/>
          </w:tcPr>
          <w:p w14:paraId="2C09B900"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Description</w:t>
            </w:r>
          </w:p>
        </w:tc>
        <w:tc>
          <w:tcPr>
            <w:tcW w:w="1400" w:type="dxa"/>
            <w:shd w:val="clear" w:color="auto" w:fill="1F3864"/>
            <w:tcMar>
              <w:top w:w="100" w:type="dxa"/>
              <w:left w:w="100" w:type="dxa"/>
              <w:bottom w:w="100" w:type="dxa"/>
              <w:right w:w="100" w:type="dxa"/>
            </w:tcMar>
            <w:vAlign w:val="center"/>
          </w:tcPr>
          <w:p w14:paraId="0C0B1091"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Total (KES)</w:t>
            </w:r>
          </w:p>
        </w:tc>
        <w:tc>
          <w:tcPr>
            <w:tcW w:w="1300" w:type="dxa"/>
            <w:shd w:val="clear" w:color="auto" w:fill="1F3864"/>
            <w:tcMar>
              <w:top w:w="100" w:type="dxa"/>
              <w:left w:w="100" w:type="dxa"/>
              <w:bottom w:w="100" w:type="dxa"/>
              <w:right w:w="100" w:type="dxa"/>
            </w:tcMar>
            <w:vAlign w:val="center"/>
          </w:tcPr>
          <w:p w14:paraId="1F873CCE"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Approx. (USD)</w:t>
            </w:r>
          </w:p>
        </w:tc>
      </w:tr>
      <w:tr w:rsidR="00031E74" w:rsidRPr="003D30A1" w14:paraId="59582725" w14:textId="77777777">
        <w:tc>
          <w:tcPr>
            <w:tcW w:w="2600" w:type="dxa"/>
            <w:shd w:val="clear" w:color="auto" w:fill="F2F2F2"/>
            <w:tcMar>
              <w:top w:w="80" w:type="dxa"/>
              <w:left w:w="100" w:type="dxa"/>
              <w:bottom w:w="80" w:type="dxa"/>
              <w:right w:w="100" w:type="dxa"/>
            </w:tcMar>
            <w:vAlign w:val="center"/>
          </w:tcPr>
          <w:p w14:paraId="510CB276"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1. Cloud Infrastructure &amp; Hosting</w:t>
            </w:r>
          </w:p>
        </w:tc>
        <w:tc>
          <w:tcPr>
            <w:tcW w:w="4200" w:type="dxa"/>
            <w:shd w:val="clear" w:color="auto" w:fill="F2F2F2"/>
            <w:tcMar>
              <w:top w:w="80" w:type="dxa"/>
              <w:left w:w="100" w:type="dxa"/>
              <w:bottom w:w="80" w:type="dxa"/>
              <w:right w:w="100" w:type="dxa"/>
            </w:tcMar>
            <w:vAlign w:val="center"/>
          </w:tcPr>
          <w:p w14:paraId="6F2746B6"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Managed server &amp; PostgreSQL DB, domain name &amp; SSL (12 months)</w:t>
            </w:r>
          </w:p>
        </w:tc>
        <w:tc>
          <w:tcPr>
            <w:tcW w:w="1400" w:type="dxa"/>
            <w:shd w:val="clear" w:color="auto" w:fill="F2F2F2"/>
            <w:tcMar>
              <w:top w:w="80" w:type="dxa"/>
              <w:left w:w="100" w:type="dxa"/>
              <w:bottom w:w="80" w:type="dxa"/>
              <w:right w:w="100" w:type="dxa"/>
            </w:tcMar>
            <w:vAlign w:val="center"/>
          </w:tcPr>
          <w:p w14:paraId="50D098E5"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54,000</w:t>
            </w:r>
          </w:p>
        </w:tc>
        <w:tc>
          <w:tcPr>
            <w:tcW w:w="1300" w:type="dxa"/>
            <w:shd w:val="clear" w:color="auto" w:fill="F2F2F2"/>
            <w:tcMar>
              <w:top w:w="80" w:type="dxa"/>
              <w:left w:w="100" w:type="dxa"/>
              <w:bottom w:w="80" w:type="dxa"/>
              <w:right w:w="100" w:type="dxa"/>
            </w:tcMar>
            <w:vAlign w:val="center"/>
          </w:tcPr>
          <w:p w14:paraId="6D866EDE"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~$415</w:t>
            </w:r>
          </w:p>
        </w:tc>
      </w:tr>
      <w:tr w:rsidR="00031E74" w:rsidRPr="003D30A1" w14:paraId="5862AC4D" w14:textId="77777777">
        <w:tc>
          <w:tcPr>
            <w:tcW w:w="2600" w:type="dxa"/>
            <w:tcMar>
              <w:top w:w="80" w:type="dxa"/>
              <w:left w:w="100" w:type="dxa"/>
              <w:bottom w:w="80" w:type="dxa"/>
              <w:right w:w="100" w:type="dxa"/>
            </w:tcMar>
            <w:vAlign w:val="center"/>
          </w:tcPr>
          <w:p w14:paraId="25E290E2"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2. Pilot Hardware Support</w:t>
            </w:r>
          </w:p>
        </w:tc>
        <w:tc>
          <w:tcPr>
            <w:tcW w:w="4200" w:type="dxa"/>
            <w:tcMar>
              <w:top w:w="80" w:type="dxa"/>
              <w:left w:w="100" w:type="dxa"/>
              <w:bottom w:w="80" w:type="dxa"/>
              <w:right w:w="100" w:type="dxa"/>
            </w:tcMar>
            <w:vAlign w:val="center"/>
          </w:tcPr>
          <w:p w14:paraId="7FDCEACA"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10 refurbished Android tablets for under-resourced schools</w:t>
            </w:r>
          </w:p>
        </w:tc>
        <w:tc>
          <w:tcPr>
            <w:tcW w:w="1400" w:type="dxa"/>
            <w:tcMar>
              <w:top w:w="80" w:type="dxa"/>
              <w:left w:w="100" w:type="dxa"/>
              <w:bottom w:w="80" w:type="dxa"/>
              <w:right w:w="100" w:type="dxa"/>
            </w:tcMar>
            <w:vAlign w:val="center"/>
          </w:tcPr>
          <w:p w14:paraId="59284C87"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120,000</w:t>
            </w:r>
          </w:p>
        </w:tc>
        <w:tc>
          <w:tcPr>
            <w:tcW w:w="1300" w:type="dxa"/>
            <w:tcMar>
              <w:top w:w="80" w:type="dxa"/>
              <w:left w:w="100" w:type="dxa"/>
              <w:bottom w:w="80" w:type="dxa"/>
              <w:right w:w="100" w:type="dxa"/>
            </w:tcMar>
            <w:vAlign w:val="center"/>
          </w:tcPr>
          <w:p w14:paraId="7A0CCEB3"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~$920</w:t>
            </w:r>
          </w:p>
        </w:tc>
      </w:tr>
      <w:tr w:rsidR="00031E74" w:rsidRPr="003D30A1" w14:paraId="3E74ABCA" w14:textId="77777777">
        <w:tc>
          <w:tcPr>
            <w:tcW w:w="2600" w:type="dxa"/>
            <w:shd w:val="clear" w:color="auto" w:fill="F2F2F2"/>
            <w:tcMar>
              <w:top w:w="80" w:type="dxa"/>
              <w:left w:w="100" w:type="dxa"/>
              <w:bottom w:w="80" w:type="dxa"/>
              <w:right w:w="100" w:type="dxa"/>
            </w:tcMar>
            <w:vAlign w:val="center"/>
          </w:tcPr>
          <w:p w14:paraId="5C78E8CD"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3. Field Research &amp; Travel</w:t>
            </w:r>
          </w:p>
        </w:tc>
        <w:tc>
          <w:tcPr>
            <w:tcW w:w="4200" w:type="dxa"/>
            <w:shd w:val="clear" w:color="auto" w:fill="F2F2F2"/>
            <w:tcMar>
              <w:top w:w="80" w:type="dxa"/>
              <w:left w:w="100" w:type="dxa"/>
              <w:bottom w:w="80" w:type="dxa"/>
              <w:right w:w="100" w:type="dxa"/>
            </w:tcMar>
            <w:vAlign w:val="center"/>
          </w:tcPr>
          <w:p w14:paraId="2587F0B8"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Travel to 10 pilot schools; teacher orientation workshops</w:t>
            </w:r>
          </w:p>
        </w:tc>
        <w:tc>
          <w:tcPr>
            <w:tcW w:w="1400" w:type="dxa"/>
            <w:shd w:val="clear" w:color="auto" w:fill="F2F2F2"/>
            <w:tcMar>
              <w:top w:w="80" w:type="dxa"/>
              <w:left w:w="100" w:type="dxa"/>
              <w:bottom w:w="80" w:type="dxa"/>
              <w:right w:w="100" w:type="dxa"/>
            </w:tcMar>
            <w:vAlign w:val="center"/>
          </w:tcPr>
          <w:p w14:paraId="6B2A7A10"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60,000</w:t>
            </w:r>
          </w:p>
        </w:tc>
        <w:tc>
          <w:tcPr>
            <w:tcW w:w="1300" w:type="dxa"/>
            <w:shd w:val="clear" w:color="auto" w:fill="F2F2F2"/>
            <w:tcMar>
              <w:top w:w="80" w:type="dxa"/>
              <w:left w:w="100" w:type="dxa"/>
              <w:bottom w:w="80" w:type="dxa"/>
              <w:right w:w="100" w:type="dxa"/>
            </w:tcMar>
            <w:vAlign w:val="center"/>
          </w:tcPr>
          <w:p w14:paraId="5799B2FE"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~$460</w:t>
            </w:r>
          </w:p>
        </w:tc>
      </w:tr>
      <w:tr w:rsidR="00031E74" w:rsidRPr="003D30A1" w14:paraId="32FEF64A" w14:textId="77777777">
        <w:tc>
          <w:tcPr>
            <w:tcW w:w="2600" w:type="dxa"/>
            <w:tcMar>
              <w:top w:w="80" w:type="dxa"/>
              <w:left w:w="100" w:type="dxa"/>
              <w:bottom w:w="80" w:type="dxa"/>
              <w:right w:w="100" w:type="dxa"/>
            </w:tcMar>
            <w:vAlign w:val="center"/>
          </w:tcPr>
          <w:p w14:paraId="1CEF4558"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4. Printing &amp; Materials</w:t>
            </w:r>
          </w:p>
        </w:tc>
        <w:tc>
          <w:tcPr>
            <w:tcW w:w="4200" w:type="dxa"/>
            <w:tcMar>
              <w:top w:w="80" w:type="dxa"/>
              <w:left w:w="100" w:type="dxa"/>
              <w:bottom w:w="80" w:type="dxa"/>
              <w:right w:w="100" w:type="dxa"/>
            </w:tcMar>
            <w:vAlign w:val="center"/>
          </w:tcPr>
          <w:p w14:paraId="2243F618"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600 sets of pre-/post-test booklets, consent forms, certificates</w:t>
            </w:r>
          </w:p>
        </w:tc>
        <w:tc>
          <w:tcPr>
            <w:tcW w:w="1400" w:type="dxa"/>
            <w:tcMar>
              <w:top w:w="80" w:type="dxa"/>
              <w:left w:w="100" w:type="dxa"/>
              <w:bottom w:w="80" w:type="dxa"/>
              <w:right w:w="100" w:type="dxa"/>
            </w:tcMar>
            <w:vAlign w:val="center"/>
          </w:tcPr>
          <w:p w14:paraId="2444C83E"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30,000</w:t>
            </w:r>
          </w:p>
        </w:tc>
        <w:tc>
          <w:tcPr>
            <w:tcW w:w="1300" w:type="dxa"/>
            <w:tcMar>
              <w:top w:w="80" w:type="dxa"/>
              <w:left w:w="100" w:type="dxa"/>
              <w:bottom w:w="80" w:type="dxa"/>
              <w:right w:w="100" w:type="dxa"/>
            </w:tcMar>
            <w:vAlign w:val="center"/>
          </w:tcPr>
          <w:p w14:paraId="7DC2BDF9"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~$230</w:t>
            </w:r>
          </w:p>
        </w:tc>
      </w:tr>
      <w:tr w:rsidR="00031E74" w:rsidRPr="003D30A1" w14:paraId="1C73F232" w14:textId="77777777">
        <w:tc>
          <w:tcPr>
            <w:tcW w:w="2600" w:type="dxa"/>
            <w:shd w:val="clear" w:color="auto" w:fill="F2F2F2"/>
            <w:tcMar>
              <w:top w:w="80" w:type="dxa"/>
              <w:left w:w="100" w:type="dxa"/>
              <w:bottom w:w="80" w:type="dxa"/>
              <w:right w:w="100" w:type="dxa"/>
            </w:tcMar>
            <w:vAlign w:val="center"/>
          </w:tcPr>
          <w:p w14:paraId="7A3B4008"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5. Research Licensing &amp; Ethics</w:t>
            </w:r>
          </w:p>
        </w:tc>
        <w:tc>
          <w:tcPr>
            <w:tcW w:w="4200" w:type="dxa"/>
            <w:shd w:val="clear" w:color="auto" w:fill="F2F2F2"/>
            <w:tcMar>
              <w:top w:w="80" w:type="dxa"/>
              <w:left w:w="100" w:type="dxa"/>
              <w:bottom w:w="80" w:type="dxa"/>
              <w:right w:w="100" w:type="dxa"/>
            </w:tcMar>
            <w:vAlign w:val="center"/>
          </w:tcPr>
          <w:p w14:paraId="4E147A3A"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NACOSTI research permit &amp; IRB clearance</w:t>
            </w:r>
          </w:p>
        </w:tc>
        <w:tc>
          <w:tcPr>
            <w:tcW w:w="1400" w:type="dxa"/>
            <w:shd w:val="clear" w:color="auto" w:fill="F2F2F2"/>
            <w:tcMar>
              <w:top w:w="80" w:type="dxa"/>
              <w:left w:w="100" w:type="dxa"/>
              <w:bottom w:w="80" w:type="dxa"/>
              <w:right w:w="100" w:type="dxa"/>
            </w:tcMar>
            <w:vAlign w:val="center"/>
          </w:tcPr>
          <w:p w14:paraId="02A1DEB6"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10,000</w:t>
            </w:r>
          </w:p>
        </w:tc>
        <w:tc>
          <w:tcPr>
            <w:tcW w:w="1300" w:type="dxa"/>
            <w:shd w:val="clear" w:color="auto" w:fill="F2F2F2"/>
            <w:tcMar>
              <w:top w:w="80" w:type="dxa"/>
              <w:left w:w="100" w:type="dxa"/>
              <w:bottom w:w="80" w:type="dxa"/>
              <w:right w:w="100" w:type="dxa"/>
            </w:tcMar>
            <w:vAlign w:val="center"/>
          </w:tcPr>
          <w:p w14:paraId="16E9A537"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~$80</w:t>
            </w:r>
          </w:p>
        </w:tc>
      </w:tr>
      <w:tr w:rsidR="00031E74" w:rsidRPr="003D30A1" w14:paraId="46408FD4" w14:textId="77777777">
        <w:tc>
          <w:tcPr>
            <w:tcW w:w="2600" w:type="dxa"/>
            <w:tcMar>
              <w:top w:w="80" w:type="dxa"/>
              <w:left w:w="100" w:type="dxa"/>
              <w:bottom w:w="80" w:type="dxa"/>
              <w:right w:w="100" w:type="dxa"/>
            </w:tcMar>
            <w:vAlign w:val="center"/>
          </w:tcPr>
          <w:p w14:paraId="271F3006"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6. Dissemination &amp; Publishing</w:t>
            </w:r>
          </w:p>
        </w:tc>
        <w:tc>
          <w:tcPr>
            <w:tcW w:w="4200" w:type="dxa"/>
            <w:tcMar>
              <w:top w:w="80" w:type="dxa"/>
              <w:left w:w="100" w:type="dxa"/>
              <w:bottom w:w="80" w:type="dxa"/>
              <w:right w:w="100" w:type="dxa"/>
            </w:tcMar>
            <w:vAlign w:val="center"/>
          </w:tcPr>
          <w:p w14:paraId="72821112"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Open-access journal fee &amp; stakeholder symposium</w:t>
            </w:r>
          </w:p>
        </w:tc>
        <w:tc>
          <w:tcPr>
            <w:tcW w:w="1400" w:type="dxa"/>
            <w:tcMar>
              <w:top w:w="80" w:type="dxa"/>
              <w:left w:w="100" w:type="dxa"/>
              <w:bottom w:w="80" w:type="dxa"/>
              <w:right w:w="100" w:type="dxa"/>
            </w:tcMar>
            <w:vAlign w:val="center"/>
          </w:tcPr>
          <w:p w14:paraId="02D5D6E7"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25,000</w:t>
            </w:r>
          </w:p>
        </w:tc>
        <w:tc>
          <w:tcPr>
            <w:tcW w:w="1300" w:type="dxa"/>
            <w:tcMar>
              <w:top w:w="80" w:type="dxa"/>
              <w:left w:w="100" w:type="dxa"/>
              <w:bottom w:w="80" w:type="dxa"/>
              <w:right w:w="100" w:type="dxa"/>
            </w:tcMar>
            <w:vAlign w:val="center"/>
          </w:tcPr>
          <w:p w14:paraId="60A21D07"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~$195</w:t>
            </w:r>
          </w:p>
        </w:tc>
      </w:tr>
      <w:tr w:rsidR="00031E74" w:rsidRPr="003D30A1" w14:paraId="37447B81" w14:textId="77777777">
        <w:tc>
          <w:tcPr>
            <w:tcW w:w="2600" w:type="dxa"/>
            <w:shd w:val="clear" w:color="auto" w:fill="F2F2F2"/>
            <w:tcMar>
              <w:top w:w="80" w:type="dxa"/>
              <w:left w:w="100" w:type="dxa"/>
              <w:bottom w:w="80" w:type="dxa"/>
              <w:right w:w="100" w:type="dxa"/>
            </w:tcMar>
            <w:vAlign w:val="center"/>
          </w:tcPr>
          <w:p w14:paraId="35DA9347"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7. Contingency Reserve</w:t>
            </w:r>
          </w:p>
        </w:tc>
        <w:tc>
          <w:tcPr>
            <w:tcW w:w="4200" w:type="dxa"/>
            <w:shd w:val="clear" w:color="auto" w:fill="F2F2F2"/>
            <w:tcMar>
              <w:top w:w="80" w:type="dxa"/>
              <w:left w:w="100" w:type="dxa"/>
              <w:bottom w:w="80" w:type="dxa"/>
              <w:right w:w="100" w:type="dxa"/>
            </w:tcMar>
            <w:vAlign w:val="center"/>
          </w:tcPr>
          <w:p w14:paraId="1D50EDC7"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10% operational contingency (repairs / data bundles)</w:t>
            </w:r>
          </w:p>
        </w:tc>
        <w:tc>
          <w:tcPr>
            <w:tcW w:w="1400" w:type="dxa"/>
            <w:shd w:val="clear" w:color="auto" w:fill="F2F2F2"/>
            <w:tcMar>
              <w:top w:w="80" w:type="dxa"/>
              <w:left w:w="100" w:type="dxa"/>
              <w:bottom w:w="80" w:type="dxa"/>
              <w:right w:w="100" w:type="dxa"/>
            </w:tcMar>
            <w:vAlign w:val="center"/>
          </w:tcPr>
          <w:p w14:paraId="44BE9CBF"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29,900</w:t>
            </w:r>
          </w:p>
        </w:tc>
        <w:tc>
          <w:tcPr>
            <w:tcW w:w="1300" w:type="dxa"/>
            <w:shd w:val="clear" w:color="auto" w:fill="F2F2F2"/>
            <w:tcMar>
              <w:top w:w="80" w:type="dxa"/>
              <w:left w:w="100" w:type="dxa"/>
              <w:bottom w:w="80" w:type="dxa"/>
              <w:right w:w="100" w:type="dxa"/>
            </w:tcMar>
            <w:vAlign w:val="center"/>
          </w:tcPr>
          <w:p w14:paraId="5F9020BA"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~$230</w:t>
            </w:r>
          </w:p>
        </w:tc>
      </w:tr>
      <w:tr w:rsidR="00031E74" w:rsidRPr="003D30A1" w14:paraId="556DA183" w14:textId="77777777">
        <w:tc>
          <w:tcPr>
            <w:tcW w:w="2600" w:type="dxa"/>
            <w:shd w:val="clear" w:color="auto" w:fill="E7ECF5"/>
            <w:tcMar>
              <w:top w:w="80" w:type="dxa"/>
              <w:left w:w="100" w:type="dxa"/>
              <w:bottom w:w="80" w:type="dxa"/>
              <w:right w:w="100" w:type="dxa"/>
            </w:tcMar>
            <w:vAlign w:val="center"/>
          </w:tcPr>
          <w:p w14:paraId="5942C7F9"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TOTAL</w:t>
            </w:r>
          </w:p>
        </w:tc>
        <w:tc>
          <w:tcPr>
            <w:tcW w:w="4200" w:type="dxa"/>
            <w:shd w:val="clear" w:color="auto" w:fill="E7ECF5"/>
            <w:tcMar>
              <w:top w:w="80" w:type="dxa"/>
              <w:left w:w="100" w:type="dxa"/>
              <w:bottom w:w="80" w:type="dxa"/>
              <w:right w:w="100" w:type="dxa"/>
            </w:tcMar>
            <w:vAlign w:val="center"/>
          </w:tcPr>
          <w:p w14:paraId="71FE7990" w14:textId="77777777" w:rsidR="00031E74" w:rsidRPr="003D30A1" w:rsidRDefault="00031E74">
            <w:pPr>
              <w:rPr>
                <w:rFonts w:ascii="Times New Roman" w:hAnsi="Times New Roman" w:cs="Times New Roman"/>
                <w:color w:val="000000" w:themeColor="text1"/>
                <w:lang w:val="en-GB"/>
              </w:rPr>
            </w:pPr>
          </w:p>
        </w:tc>
        <w:tc>
          <w:tcPr>
            <w:tcW w:w="1400" w:type="dxa"/>
            <w:shd w:val="clear" w:color="auto" w:fill="E7ECF5"/>
            <w:tcMar>
              <w:top w:w="80" w:type="dxa"/>
              <w:left w:w="100" w:type="dxa"/>
              <w:bottom w:w="80" w:type="dxa"/>
              <w:right w:w="100" w:type="dxa"/>
            </w:tcMar>
            <w:vAlign w:val="center"/>
          </w:tcPr>
          <w:p w14:paraId="4A8A8EE9"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328,900</w:t>
            </w:r>
          </w:p>
        </w:tc>
        <w:tc>
          <w:tcPr>
            <w:tcW w:w="1300" w:type="dxa"/>
            <w:shd w:val="clear" w:color="auto" w:fill="E7ECF5"/>
            <w:tcMar>
              <w:top w:w="80" w:type="dxa"/>
              <w:left w:w="100" w:type="dxa"/>
              <w:bottom w:w="80" w:type="dxa"/>
              <w:right w:w="100" w:type="dxa"/>
            </w:tcMar>
            <w:vAlign w:val="center"/>
          </w:tcPr>
          <w:p w14:paraId="40995564"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~$2,530</w:t>
            </w:r>
          </w:p>
        </w:tc>
      </w:tr>
    </w:tbl>
    <w:p w14:paraId="0B51BD11" w14:textId="77777777" w:rsidR="00941884" w:rsidRPr="003D30A1" w:rsidRDefault="00941884">
      <w:pPr>
        <w:pStyle w:val="Heading2"/>
        <w:spacing w:before="320" w:after="160"/>
        <w:rPr>
          <w:rFonts w:ascii="Times New Roman" w:hAnsi="Times New Roman" w:cs="Times New Roman"/>
          <w:b/>
          <w:bCs/>
          <w:color w:val="000000" w:themeColor="text1"/>
          <w:lang w:val="en-GB"/>
        </w:rPr>
      </w:pPr>
    </w:p>
    <w:p w14:paraId="69DA03AA" w14:textId="3BA02FAC"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lastRenderedPageBreak/>
        <w:t>3.14 Risk Management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000"/>
        <w:gridCol w:w="1100"/>
        <w:gridCol w:w="4900"/>
      </w:tblGrid>
      <w:tr w:rsidR="00031E74" w:rsidRPr="003D30A1" w14:paraId="11903892" w14:textId="77777777">
        <w:trPr>
          <w:tblHeader/>
        </w:trPr>
        <w:tc>
          <w:tcPr>
            <w:tcW w:w="2500" w:type="dxa"/>
            <w:shd w:val="clear" w:color="auto" w:fill="1F3864"/>
            <w:tcMar>
              <w:top w:w="100" w:type="dxa"/>
              <w:left w:w="100" w:type="dxa"/>
              <w:bottom w:w="100" w:type="dxa"/>
              <w:right w:w="100" w:type="dxa"/>
            </w:tcMar>
            <w:vAlign w:val="center"/>
          </w:tcPr>
          <w:p w14:paraId="6BCB923B"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Identified Risk</w:t>
            </w:r>
          </w:p>
        </w:tc>
        <w:tc>
          <w:tcPr>
            <w:tcW w:w="1000" w:type="dxa"/>
            <w:shd w:val="clear" w:color="auto" w:fill="1F3864"/>
            <w:tcMar>
              <w:top w:w="100" w:type="dxa"/>
              <w:left w:w="100" w:type="dxa"/>
              <w:bottom w:w="100" w:type="dxa"/>
              <w:right w:w="100" w:type="dxa"/>
            </w:tcMar>
            <w:vAlign w:val="center"/>
          </w:tcPr>
          <w:p w14:paraId="7BB5DCD6"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Severity</w:t>
            </w:r>
          </w:p>
        </w:tc>
        <w:tc>
          <w:tcPr>
            <w:tcW w:w="1100" w:type="dxa"/>
            <w:shd w:val="clear" w:color="auto" w:fill="1F3864"/>
            <w:tcMar>
              <w:top w:w="100" w:type="dxa"/>
              <w:left w:w="100" w:type="dxa"/>
              <w:bottom w:w="100" w:type="dxa"/>
              <w:right w:w="100" w:type="dxa"/>
            </w:tcMar>
            <w:vAlign w:val="center"/>
          </w:tcPr>
          <w:p w14:paraId="0AE6043E"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Likelihood</w:t>
            </w:r>
          </w:p>
        </w:tc>
        <w:tc>
          <w:tcPr>
            <w:tcW w:w="4900" w:type="dxa"/>
            <w:shd w:val="clear" w:color="auto" w:fill="1F3864"/>
            <w:tcMar>
              <w:top w:w="100" w:type="dxa"/>
              <w:left w:w="100" w:type="dxa"/>
              <w:bottom w:w="100" w:type="dxa"/>
              <w:right w:w="100" w:type="dxa"/>
            </w:tcMar>
            <w:vAlign w:val="center"/>
          </w:tcPr>
          <w:p w14:paraId="353D73CC"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Mitigation Strategy</w:t>
            </w:r>
          </w:p>
        </w:tc>
      </w:tr>
      <w:tr w:rsidR="00031E74" w:rsidRPr="003D30A1" w14:paraId="0F652DF5" w14:textId="77777777">
        <w:tc>
          <w:tcPr>
            <w:tcW w:w="2500" w:type="dxa"/>
            <w:shd w:val="clear" w:color="auto" w:fill="F2F2F2"/>
            <w:tcMar>
              <w:top w:w="80" w:type="dxa"/>
              <w:left w:w="100" w:type="dxa"/>
              <w:bottom w:w="80" w:type="dxa"/>
              <w:right w:w="100" w:type="dxa"/>
            </w:tcMar>
            <w:vAlign w:val="center"/>
          </w:tcPr>
          <w:p w14:paraId="64D6FC3F"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Intermittent / zero internet in rural schools</w:t>
            </w:r>
          </w:p>
        </w:tc>
        <w:tc>
          <w:tcPr>
            <w:tcW w:w="1000" w:type="dxa"/>
            <w:shd w:val="clear" w:color="auto" w:fill="F2F2F2"/>
            <w:tcMar>
              <w:top w:w="80" w:type="dxa"/>
              <w:left w:w="100" w:type="dxa"/>
              <w:bottom w:w="80" w:type="dxa"/>
              <w:right w:w="100" w:type="dxa"/>
            </w:tcMar>
            <w:vAlign w:val="center"/>
          </w:tcPr>
          <w:p w14:paraId="2697FA78"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High</w:t>
            </w:r>
          </w:p>
        </w:tc>
        <w:tc>
          <w:tcPr>
            <w:tcW w:w="1100" w:type="dxa"/>
            <w:shd w:val="clear" w:color="auto" w:fill="F2F2F2"/>
            <w:tcMar>
              <w:top w:w="80" w:type="dxa"/>
              <w:left w:w="100" w:type="dxa"/>
              <w:bottom w:w="80" w:type="dxa"/>
              <w:right w:w="100" w:type="dxa"/>
            </w:tcMar>
            <w:vAlign w:val="center"/>
          </w:tcPr>
          <w:p w14:paraId="2F70918E"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High</w:t>
            </w:r>
          </w:p>
        </w:tc>
        <w:tc>
          <w:tcPr>
            <w:tcW w:w="4900" w:type="dxa"/>
            <w:shd w:val="clear" w:color="auto" w:fill="F2F2F2"/>
            <w:tcMar>
              <w:top w:w="80" w:type="dxa"/>
              <w:left w:w="100" w:type="dxa"/>
              <w:bottom w:w="80" w:type="dxa"/>
              <w:right w:w="100" w:type="dxa"/>
            </w:tcMar>
            <w:vAlign w:val="center"/>
          </w:tcPr>
          <w:p w14:paraId="0C8CC4C3"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Offline-first PWA with service-worker pre-caching; LocalStorage caching for full offline simulations; telemetry queued and auto-synced on reconnect.</w:t>
            </w:r>
          </w:p>
        </w:tc>
      </w:tr>
      <w:tr w:rsidR="00031E74" w:rsidRPr="003D30A1" w14:paraId="6277ED0A" w14:textId="77777777">
        <w:tc>
          <w:tcPr>
            <w:tcW w:w="2500" w:type="dxa"/>
            <w:tcMar>
              <w:top w:w="80" w:type="dxa"/>
              <w:left w:w="100" w:type="dxa"/>
              <w:bottom w:w="80" w:type="dxa"/>
              <w:right w:w="100" w:type="dxa"/>
            </w:tcMar>
            <w:vAlign w:val="center"/>
          </w:tcPr>
          <w:p w14:paraId="37A0BD90"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Limited computer / smartphone access</w:t>
            </w:r>
          </w:p>
        </w:tc>
        <w:tc>
          <w:tcPr>
            <w:tcW w:w="1000" w:type="dxa"/>
            <w:tcMar>
              <w:top w:w="80" w:type="dxa"/>
              <w:left w:w="100" w:type="dxa"/>
              <w:bottom w:w="80" w:type="dxa"/>
              <w:right w:w="100" w:type="dxa"/>
            </w:tcMar>
            <w:vAlign w:val="center"/>
          </w:tcPr>
          <w:p w14:paraId="2C950193"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High</w:t>
            </w:r>
          </w:p>
        </w:tc>
        <w:tc>
          <w:tcPr>
            <w:tcW w:w="1100" w:type="dxa"/>
            <w:tcMar>
              <w:top w:w="80" w:type="dxa"/>
              <w:left w:w="100" w:type="dxa"/>
              <w:bottom w:w="80" w:type="dxa"/>
              <w:right w:w="100" w:type="dxa"/>
            </w:tcMar>
            <w:vAlign w:val="center"/>
          </w:tcPr>
          <w:p w14:paraId="6B6A2A15"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Medium</w:t>
            </w:r>
          </w:p>
        </w:tc>
        <w:tc>
          <w:tcPr>
            <w:tcW w:w="4900" w:type="dxa"/>
            <w:tcMar>
              <w:top w:w="80" w:type="dxa"/>
              <w:left w:w="100" w:type="dxa"/>
              <w:bottom w:w="80" w:type="dxa"/>
              <w:right w:w="100" w:type="dxa"/>
            </w:tcMar>
            <w:vAlign w:val="center"/>
          </w:tcPr>
          <w:p w14:paraId="62DD64FB"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Extreme responsive optimisation for budget Android smartphones; touch-friendly controls for shared single-device rotation; 10 pilot tablets provided to under-resourced schools.</w:t>
            </w:r>
          </w:p>
        </w:tc>
      </w:tr>
      <w:tr w:rsidR="00031E74" w:rsidRPr="003D30A1" w14:paraId="68C9F915" w14:textId="77777777">
        <w:tc>
          <w:tcPr>
            <w:tcW w:w="2500" w:type="dxa"/>
            <w:shd w:val="clear" w:color="auto" w:fill="F2F2F2"/>
            <w:tcMar>
              <w:top w:w="80" w:type="dxa"/>
              <w:left w:w="100" w:type="dxa"/>
              <w:bottom w:w="80" w:type="dxa"/>
              <w:right w:w="100" w:type="dxa"/>
            </w:tcMar>
            <w:vAlign w:val="center"/>
          </w:tcPr>
          <w:p w14:paraId="2DCD7C24"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Teacher resistance or low ICT literacy</w:t>
            </w:r>
          </w:p>
        </w:tc>
        <w:tc>
          <w:tcPr>
            <w:tcW w:w="1000" w:type="dxa"/>
            <w:shd w:val="clear" w:color="auto" w:fill="F2F2F2"/>
            <w:tcMar>
              <w:top w:w="80" w:type="dxa"/>
              <w:left w:w="100" w:type="dxa"/>
              <w:bottom w:w="80" w:type="dxa"/>
              <w:right w:w="100" w:type="dxa"/>
            </w:tcMar>
            <w:vAlign w:val="center"/>
          </w:tcPr>
          <w:p w14:paraId="3F202CF2"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Medium</w:t>
            </w:r>
          </w:p>
        </w:tc>
        <w:tc>
          <w:tcPr>
            <w:tcW w:w="1100" w:type="dxa"/>
            <w:shd w:val="clear" w:color="auto" w:fill="F2F2F2"/>
            <w:tcMar>
              <w:top w:w="80" w:type="dxa"/>
              <w:left w:w="100" w:type="dxa"/>
              <w:bottom w:w="80" w:type="dxa"/>
              <w:right w:w="100" w:type="dxa"/>
            </w:tcMar>
            <w:vAlign w:val="center"/>
          </w:tcPr>
          <w:p w14:paraId="50691EC6"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Medium</w:t>
            </w:r>
          </w:p>
        </w:tc>
        <w:tc>
          <w:tcPr>
            <w:tcW w:w="4900" w:type="dxa"/>
            <w:shd w:val="clear" w:color="auto" w:fill="F2F2F2"/>
            <w:tcMar>
              <w:top w:w="80" w:type="dxa"/>
              <w:left w:w="100" w:type="dxa"/>
              <w:bottom w:w="80" w:type="dxa"/>
              <w:right w:w="100" w:type="dxa"/>
            </w:tcMar>
            <w:vAlign w:val="center"/>
          </w:tcPr>
          <w:p w14:paraId="6BCE6A1E"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Zero-installation requirement (opens in standard mobile browser); intuitive two-click assignment dispatch; teacher training workshops and Swahili/English quick-start guides.</w:t>
            </w:r>
          </w:p>
        </w:tc>
      </w:tr>
      <w:tr w:rsidR="00031E74" w:rsidRPr="003D30A1" w14:paraId="501EFB08" w14:textId="77777777">
        <w:tc>
          <w:tcPr>
            <w:tcW w:w="2500" w:type="dxa"/>
            <w:tcMar>
              <w:top w:w="80" w:type="dxa"/>
              <w:left w:w="100" w:type="dxa"/>
              <w:bottom w:w="80" w:type="dxa"/>
              <w:right w:w="100" w:type="dxa"/>
            </w:tcMar>
            <w:vAlign w:val="center"/>
          </w:tcPr>
          <w:p w14:paraId="276581F5"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Curriculum or examination format drift</w:t>
            </w:r>
          </w:p>
        </w:tc>
        <w:tc>
          <w:tcPr>
            <w:tcW w:w="1000" w:type="dxa"/>
            <w:tcMar>
              <w:top w:w="80" w:type="dxa"/>
              <w:left w:w="100" w:type="dxa"/>
              <w:bottom w:w="80" w:type="dxa"/>
              <w:right w:w="100" w:type="dxa"/>
            </w:tcMar>
            <w:vAlign w:val="center"/>
          </w:tcPr>
          <w:p w14:paraId="7C3759FC"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Low</w:t>
            </w:r>
          </w:p>
        </w:tc>
        <w:tc>
          <w:tcPr>
            <w:tcW w:w="1100" w:type="dxa"/>
            <w:tcMar>
              <w:top w:w="80" w:type="dxa"/>
              <w:left w:w="100" w:type="dxa"/>
              <w:bottom w:w="80" w:type="dxa"/>
              <w:right w:w="100" w:type="dxa"/>
            </w:tcMar>
            <w:vAlign w:val="center"/>
          </w:tcPr>
          <w:p w14:paraId="72840B69"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Low</w:t>
            </w:r>
          </w:p>
        </w:tc>
        <w:tc>
          <w:tcPr>
            <w:tcW w:w="4900" w:type="dxa"/>
            <w:tcMar>
              <w:top w:w="80" w:type="dxa"/>
              <w:left w:w="100" w:type="dxa"/>
              <w:bottom w:w="80" w:type="dxa"/>
              <w:right w:w="100" w:type="dxa"/>
            </w:tcMar>
            <w:vAlign w:val="center"/>
          </w:tcPr>
          <w:p w14:paraId="4EB6A684"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Direct collaboration with certified KCSE chemistry examiners; modular simulation architecture allowing rapid parameter updates.</w:t>
            </w:r>
          </w:p>
        </w:tc>
      </w:tr>
      <w:tr w:rsidR="00031E74" w:rsidRPr="003D30A1" w14:paraId="34FE3BE8" w14:textId="77777777">
        <w:tc>
          <w:tcPr>
            <w:tcW w:w="2500" w:type="dxa"/>
            <w:shd w:val="clear" w:color="auto" w:fill="F2F2F2"/>
            <w:tcMar>
              <w:top w:w="80" w:type="dxa"/>
              <w:left w:w="100" w:type="dxa"/>
              <w:bottom w:w="80" w:type="dxa"/>
              <w:right w:w="100" w:type="dxa"/>
            </w:tcMar>
            <w:vAlign w:val="center"/>
          </w:tcPr>
          <w:p w14:paraId="4F913D05"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b/>
                <w:bCs/>
                <w:color w:val="000000" w:themeColor="text1"/>
                <w:sz w:val="18"/>
                <w:szCs w:val="18"/>
                <w:lang w:val="en-GB"/>
              </w:rPr>
              <w:t>Student data privacy &amp; protection</w:t>
            </w:r>
          </w:p>
        </w:tc>
        <w:tc>
          <w:tcPr>
            <w:tcW w:w="1000" w:type="dxa"/>
            <w:shd w:val="clear" w:color="auto" w:fill="F2F2F2"/>
            <w:tcMar>
              <w:top w:w="80" w:type="dxa"/>
              <w:left w:w="100" w:type="dxa"/>
              <w:bottom w:w="80" w:type="dxa"/>
              <w:right w:w="100" w:type="dxa"/>
            </w:tcMar>
            <w:vAlign w:val="center"/>
          </w:tcPr>
          <w:p w14:paraId="11DEBDDD"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Medium</w:t>
            </w:r>
          </w:p>
        </w:tc>
        <w:tc>
          <w:tcPr>
            <w:tcW w:w="1100" w:type="dxa"/>
            <w:shd w:val="clear" w:color="auto" w:fill="F2F2F2"/>
            <w:tcMar>
              <w:top w:w="80" w:type="dxa"/>
              <w:left w:w="100" w:type="dxa"/>
              <w:bottom w:w="80" w:type="dxa"/>
              <w:right w:w="100" w:type="dxa"/>
            </w:tcMar>
            <w:vAlign w:val="center"/>
          </w:tcPr>
          <w:p w14:paraId="292680FB"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Low</w:t>
            </w:r>
          </w:p>
        </w:tc>
        <w:tc>
          <w:tcPr>
            <w:tcW w:w="4900" w:type="dxa"/>
            <w:shd w:val="clear" w:color="auto" w:fill="F2F2F2"/>
            <w:tcMar>
              <w:top w:w="80" w:type="dxa"/>
              <w:left w:w="100" w:type="dxa"/>
              <w:bottom w:w="80" w:type="dxa"/>
              <w:right w:w="100" w:type="dxa"/>
            </w:tcMar>
            <w:vAlign w:val="center"/>
          </w:tcPr>
          <w:p w14:paraId="452EF1C7" w14:textId="77777777" w:rsidR="00031E74" w:rsidRPr="003D30A1" w:rsidRDefault="00000000">
            <w:pPr>
              <w:rPr>
                <w:rFonts w:ascii="Times New Roman" w:hAnsi="Times New Roman" w:cs="Times New Roman"/>
                <w:color w:val="000000" w:themeColor="text1"/>
                <w:lang w:val="en-GB"/>
              </w:rPr>
            </w:pPr>
            <w:r w:rsidRPr="003D30A1">
              <w:rPr>
                <w:rFonts w:ascii="Times New Roman" w:hAnsi="Times New Roman" w:cs="Times New Roman"/>
                <w:color w:val="000000" w:themeColor="text1"/>
                <w:sz w:val="18"/>
                <w:szCs w:val="18"/>
                <w:lang w:val="en-GB"/>
              </w:rPr>
              <w:t>Strict compliance with the Kenya Data Protection Act (2019); bcrypt password encryption, JWT authorisation tokens, and anonymised research reporting.</w:t>
            </w:r>
          </w:p>
        </w:tc>
      </w:tr>
    </w:tbl>
    <w:p w14:paraId="184CFA3E"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3.15 Sustainability and Scalability</w:t>
      </w:r>
    </w:p>
    <w:p w14:paraId="5C28D086"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The platform is built using free, open-source technologies (HTML/JS, Node.js, PostgreSQL), keeping operational costs minimal. It is architected for extensible multi-disciplinary scale, with a planned Phase 7 expansion adding Physics practicals (electrical circuits, ray optics, Hooke’s law, mechanics) and Biology practicals (enzyme kinetics, osmosis, food tests, respiration). Institutional integration is envisaged through partnerships with County Education Directorates and national teacher networks such as CEMASTEA, embedding VirtuLab Kenya into national in-service teacher professional development programmes.</w:t>
      </w:r>
    </w:p>
    <w:p w14:paraId="24D480C5" w14:textId="77777777" w:rsidR="00B61BB5" w:rsidRPr="003D30A1" w:rsidRDefault="00B61BB5">
      <w:pPr>
        <w:spacing w:after="200" w:line="276" w:lineRule="auto"/>
        <w:jc w:val="both"/>
        <w:rPr>
          <w:rFonts w:ascii="Times New Roman" w:hAnsi="Times New Roman" w:cs="Times New Roman"/>
          <w:color w:val="000000" w:themeColor="text1"/>
          <w:lang w:val="en-GB"/>
        </w:rPr>
      </w:pPr>
    </w:p>
    <w:p w14:paraId="075CC21D"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3.16 Monitoring and Evaluation Framework</w:t>
      </w:r>
    </w:p>
    <w:p w14:paraId="0C8F7D06"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Success indicators include a statistically significant learning gain (p &lt; 0.05, normalised gain g ≥ 0.40), a System Usability Scale score of ≥78 (Grade A/Excellent), a TAM mean score of ≥4.0 out of 5.0 for teacher acceptance, and internal-consistency reliability of α ≥ 0.80 (Cronbach’s alpha) across all instruments. Curriculum alignment will be measured by 100% successful mapping to syllabus references.</w:t>
      </w:r>
    </w:p>
    <w:p w14:paraId="77BC0247"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3.17 Chapter Summary</w:t>
      </w:r>
    </w:p>
    <w:p w14:paraId="02B0595B"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This chapter provided a comprehensive blueprint for VirtuLab Kenya, detailing its pedagogical design, three-tier technical architecture, seven laboratory modules, agile development phases, budget, risk mitigation strategy, and structured rollout plan for the upcoming pilot study.</w:t>
      </w:r>
    </w:p>
    <w:p w14:paraId="42609967" w14:textId="77777777" w:rsidR="00031E74" w:rsidRPr="003D30A1" w:rsidRDefault="00000000">
      <w:pPr>
        <w:pStyle w:val="Heading1"/>
        <w:pageBreakBefore/>
        <w:spacing w:before="480" w:after="24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lastRenderedPageBreak/>
        <w:t>CHAPTER FOUR: IMPLEMENTATION, EVALUATION AND REFLECTION</w:t>
      </w:r>
    </w:p>
    <w:p w14:paraId="0EE9D7BE" w14:textId="77777777" w:rsidR="00031E74" w:rsidRPr="003D30A1" w:rsidRDefault="00000000">
      <w:pPr>
        <w:spacing w:after="240"/>
        <w:rPr>
          <w:rFonts w:ascii="Times New Roman" w:hAnsi="Times New Roman" w:cs="Times New Roman"/>
          <w:color w:val="000000" w:themeColor="text1"/>
          <w:lang w:val="en-GB"/>
        </w:rPr>
      </w:pPr>
      <w:r w:rsidRPr="003D30A1">
        <w:rPr>
          <w:rFonts w:ascii="Times New Roman" w:hAnsi="Times New Roman" w:cs="Times New Roman"/>
          <w:i/>
          <w:iCs/>
          <w:color w:val="000000" w:themeColor="text1"/>
          <w:lang w:val="en-GB"/>
        </w:rPr>
        <w:t>Note: As this document is a capstone proposal, Chapter Four outlines the projected framework and planned presentation of outcomes once the pilot study and development are executed.</w:t>
      </w:r>
    </w:p>
    <w:p w14:paraId="3C065DE7"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4.1 Implementation of the Capstone Intervention</w:t>
      </w:r>
    </w:p>
    <w:p w14:paraId="5B4D4481"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This chapter will document the execution of the VirtuLab Kenya pilot, present evaluation findings from stakeholder interactions, and reflect on the project’s overall impact on chemistry pedagogy. The implementation phase will record the specific schools engaged, the exact timelines of the 3–4-week pilot duration, and the demographic details of the Form 3 and Form 4 student participants and chemistry teachers.</w:t>
      </w:r>
    </w:p>
    <w:p w14:paraId="3E49DDAF"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4.2 Implementation Process</w:t>
      </w:r>
    </w:p>
    <w:p w14:paraId="32CA4DBA"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Activities will be presented chronologically, detailing the deployment of the PWA offline system, student onboarding to the platform, and the induction of teachers onto the analytics dashboard.</w:t>
      </w:r>
    </w:p>
    <w:p w14:paraId="1614B988"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4.3 Participation and Stakeholder Engagement</w:t>
      </w:r>
    </w:p>
    <w:p w14:paraId="341E4B88"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This section will describe how actively students utilised the Guided vs. Free Practice modes and how frequently teachers engaged with the live performance data and CSV/PDF export tools.</w:t>
      </w:r>
    </w:p>
    <w:p w14:paraId="094471EF"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4.4 Evaluation of the Intervention</w:t>
      </w:r>
    </w:p>
    <w:p w14:paraId="21D382EA"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VirtuLab Kenya will be assessed against its primary success metrics: achieving a statistically significant learning gain, securing an SUS score of ≥68, and verifying comprehensive curriculum alignment.</w:t>
      </w:r>
    </w:p>
    <w:p w14:paraId="4A52217A"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4.5 Presentation of Evaluation Findings</w:t>
      </w:r>
    </w:p>
    <w:p w14:paraId="4BDB1053" w14:textId="77777777"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Evidence will be synthesised using tables displaying pre-test and post-test mean score differentials, charts illustrating TAM questionnaire Likert-scale distributions (perceived usefulness and ease of use), and database export figures showing average session times and attempt accuracy.</w:t>
      </w:r>
    </w:p>
    <w:p w14:paraId="2E0E132D"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4.6 Assessment of Outcomes</w:t>
      </w:r>
    </w:p>
    <w:p w14:paraId="6D0262B6"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The evaluation will determine whether VirtuLab Kenya successfully allowed students in underequipped schools to practice KCSE Paper 3 titration types effectively, and whether teachers gained previously unavailable visibility into student practical skills.</w:t>
      </w:r>
    </w:p>
    <w:p w14:paraId="0F91D742" w14:textId="77777777" w:rsidR="00881ABE" w:rsidRPr="003D30A1" w:rsidRDefault="00881ABE">
      <w:pPr>
        <w:spacing w:after="200" w:line="276" w:lineRule="auto"/>
        <w:jc w:val="both"/>
        <w:rPr>
          <w:rFonts w:ascii="Times New Roman" w:hAnsi="Times New Roman" w:cs="Times New Roman"/>
          <w:color w:val="000000" w:themeColor="text1"/>
          <w:lang w:val="en-GB"/>
        </w:rPr>
      </w:pPr>
    </w:p>
    <w:p w14:paraId="68FBAB42" w14:textId="77777777" w:rsidR="00881ABE" w:rsidRPr="003D30A1" w:rsidRDefault="00881ABE">
      <w:pPr>
        <w:spacing w:after="200" w:line="276" w:lineRule="auto"/>
        <w:jc w:val="both"/>
        <w:rPr>
          <w:rFonts w:ascii="Times New Roman" w:hAnsi="Times New Roman" w:cs="Times New Roman"/>
          <w:color w:val="000000" w:themeColor="text1"/>
          <w:lang w:val="en-GB"/>
        </w:rPr>
      </w:pPr>
    </w:p>
    <w:p w14:paraId="740D65D3" w14:textId="77777777" w:rsidR="00941884" w:rsidRPr="003D30A1" w:rsidRDefault="00941884">
      <w:pPr>
        <w:spacing w:after="200" w:line="276" w:lineRule="auto"/>
        <w:jc w:val="both"/>
        <w:rPr>
          <w:rFonts w:ascii="Times New Roman" w:hAnsi="Times New Roman" w:cs="Times New Roman"/>
          <w:color w:val="000000" w:themeColor="text1"/>
          <w:lang w:val="en-GB"/>
        </w:rPr>
      </w:pPr>
    </w:p>
    <w:p w14:paraId="76BB7893" w14:textId="77777777" w:rsidR="00941884" w:rsidRPr="003D30A1" w:rsidRDefault="00941884">
      <w:pPr>
        <w:spacing w:after="200" w:line="276" w:lineRule="auto"/>
        <w:jc w:val="both"/>
        <w:rPr>
          <w:rFonts w:ascii="Times New Roman" w:hAnsi="Times New Roman" w:cs="Times New Roman"/>
          <w:color w:val="000000" w:themeColor="text1"/>
          <w:lang w:val="en-GB"/>
        </w:rPr>
      </w:pPr>
    </w:p>
    <w:p w14:paraId="19E5EA3B"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lastRenderedPageBreak/>
        <w:t>4.7 User / Stakeholder Feedback</w:t>
      </w:r>
    </w:p>
    <w:p w14:paraId="24579873"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Feedback on usability, relevance, and accessibility will be derived directly from the SUS and TAM surveys. Specific focus will be placed on the bilingual interface (English/Kiswahili) and the usability of the offline capabilities on low-end Android devices.</w:t>
      </w:r>
    </w:p>
    <w:p w14:paraId="4F804466"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4.8 Comparison of Intended and Actual Outcomes</w:t>
      </w:r>
    </w:p>
    <w:p w14:paraId="06CCE7FB"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A detailed matrix will compare planned objectives (e.g., executing the pilot with 20 students, achieving p &lt; 0.05 on learning gains) against the actual developmental and statistical achievements captured at the end of Month 12.</w:t>
      </w:r>
    </w:p>
    <w:p w14:paraId="7DEC4360"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4.9 Challenges Encountered During Implementation</w:t>
      </w:r>
    </w:p>
    <w:p w14:paraId="6BE1A6BE"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Anticipated and realised challenges will be documented, particularly regarding low-bandwidth digital deployment in remote schools, hardware limitations during the pilot, and the logistical intricacies of executing pre-experimental testing.</w:t>
      </w:r>
    </w:p>
    <w:p w14:paraId="4AC6C461"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4.10 Mitigation Measures</w:t>
      </w:r>
    </w:p>
    <w:p w14:paraId="466892BB"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This section will evaluate the effectiveness of the risk management strategies deployed, such as utilising the Progressive Web App architecture to circumvent internet outages.</w:t>
      </w:r>
    </w:p>
    <w:p w14:paraId="34D1F370"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4.11 Reflection on the Capstone Process</w:t>
      </w:r>
    </w:p>
    <w:p w14:paraId="7574F1EA"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A critical reflection will be provided detailing professional growth in instructional design and full-stack development (Node.js/PostgreSQL), as well as lessons learned regarding the intersection of open-source technology and the Kenyan curriculum.</w:t>
      </w:r>
    </w:p>
    <w:p w14:paraId="2271A33C"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4.12 Lessons Learned and Best Practices</w:t>
      </w:r>
    </w:p>
    <w:p w14:paraId="7C8FE6C5"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The project will identify best practices for designing localised, offline-first educational technologies that can be replicated for other African curricula or STEM disciplines.</w:t>
      </w:r>
    </w:p>
    <w:p w14:paraId="379519B0"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4.13 Recommendations for Improvement and Scale-Up</w:t>
      </w:r>
    </w:p>
    <w:p w14:paraId="6E07542B"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Evidence-based recommendations will be submitted to the Open University of Kenya, KICD policy makers, and CEMASTEA regarding the national integration of VirtuLab Kenya. Recommendations will also address the execution of the Phase 7 expansion (Physics and Biology practicals) and wider institutional adoption.</w:t>
      </w:r>
    </w:p>
    <w:p w14:paraId="2A34F0A8"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4.14 Expected Academic and Practical Deliverables</w:t>
      </w:r>
    </w:p>
    <w:p w14:paraId="4C011A66" w14:textId="77777777" w:rsidR="00E1705C"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 xml:space="preserve">Fully Operational, Open-Access Platform: </w:t>
      </w:r>
      <w:r w:rsidRPr="003D30A1">
        <w:rPr>
          <w:rFonts w:ascii="Times New Roman" w:hAnsi="Times New Roman" w:cs="Times New Roman"/>
          <w:color w:val="000000" w:themeColor="text1"/>
          <w:lang w:val="en-GB"/>
        </w:rPr>
        <w:t xml:space="preserve">A production-ready, open-source virtual chemistry laboratory PWA hosted and accessible at zero cost to Kenyan learners and educators. </w:t>
      </w:r>
      <w:r w:rsidRPr="003D30A1">
        <w:rPr>
          <w:rFonts w:ascii="Times New Roman" w:hAnsi="Times New Roman" w:cs="Times New Roman"/>
          <w:b/>
          <w:bCs/>
          <w:color w:val="000000" w:themeColor="text1"/>
          <w:lang w:val="en-GB"/>
        </w:rPr>
        <w:t xml:space="preserve">Empirical Master’s Dissertation: </w:t>
      </w:r>
      <w:r w:rsidRPr="003D30A1">
        <w:rPr>
          <w:rFonts w:ascii="Times New Roman" w:hAnsi="Times New Roman" w:cs="Times New Roman"/>
          <w:color w:val="000000" w:themeColor="text1"/>
          <w:lang w:val="en-GB"/>
        </w:rPr>
        <w:t xml:space="preserve">A rigorous research thesis documenting the pedagogical efficacy, normalised learning gains, and adoption factors of virtual science labs in Sub-Saharan Africa. </w:t>
      </w:r>
      <w:r w:rsidRPr="003D30A1">
        <w:rPr>
          <w:rFonts w:ascii="Times New Roman" w:hAnsi="Times New Roman" w:cs="Times New Roman"/>
          <w:b/>
          <w:bCs/>
          <w:color w:val="000000" w:themeColor="text1"/>
          <w:lang w:val="en-GB"/>
        </w:rPr>
        <w:t xml:space="preserve">Policy Brief for KICD &amp; the Ministry </w:t>
      </w:r>
      <w:r w:rsidRPr="003D30A1">
        <w:rPr>
          <w:rFonts w:ascii="Times New Roman" w:hAnsi="Times New Roman" w:cs="Times New Roman"/>
          <w:b/>
          <w:bCs/>
          <w:color w:val="000000" w:themeColor="text1"/>
          <w:lang w:val="en-GB"/>
        </w:rPr>
        <w:lastRenderedPageBreak/>
        <w:t xml:space="preserve">of Education: </w:t>
      </w:r>
      <w:r w:rsidRPr="003D30A1">
        <w:rPr>
          <w:rFonts w:ascii="Times New Roman" w:hAnsi="Times New Roman" w:cs="Times New Roman"/>
          <w:color w:val="000000" w:themeColor="text1"/>
          <w:lang w:val="en-GB"/>
        </w:rPr>
        <w:t xml:space="preserve">An actionable policy white paper outlining strategic frameworks for scaling virtual STEM laboratories under the CBC Senior Secondary Pathways. </w:t>
      </w:r>
      <w:r w:rsidRPr="003D30A1">
        <w:rPr>
          <w:rFonts w:ascii="Times New Roman" w:hAnsi="Times New Roman" w:cs="Times New Roman"/>
          <w:b/>
          <w:bCs/>
          <w:color w:val="000000" w:themeColor="text1"/>
          <w:lang w:val="en-GB"/>
        </w:rPr>
        <w:t xml:space="preserve">Peer-Reviewed Scholarly Publication: </w:t>
      </w:r>
      <w:r w:rsidRPr="003D30A1">
        <w:rPr>
          <w:rFonts w:ascii="Times New Roman" w:hAnsi="Times New Roman" w:cs="Times New Roman"/>
          <w:color w:val="000000" w:themeColor="text1"/>
          <w:lang w:val="en-GB"/>
        </w:rPr>
        <w:t>Submission of empirical findings to high-impact educational technology journals (e.g. Computers &amp; Education, Journal of Science Education and Technology, or African Journal of Educational and Information Opportunities).</w:t>
      </w:r>
    </w:p>
    <w:p w14:paraId="615E8BD3"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4.15 Sustainability and Future Directions</w:t>
      </w:r>
    </w:p>
    <w:p w14:paraId="03271684"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Future directions will highlight maintaining the open-source codebase to allow researchers to adapt the software, and scaling the infrastructure through a Phase 7 expansion to encompass Physics practicals (electrical circuits, ray optics, Hooke’s law, mechanics) and Biology practicals (enzyme kinetics, osmosis, food tests, respiration). Institutional integration will be pursued through partnerships with County Education Directorates and national teacher networks such as CEMASTEA, embedding VirtuLab Kenya into national in-service teacher professional development programmes.</w:t>
      </w:r>
    </w:p>
    <w:p w14:paraId="0D9778E8"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4.16 Conclusion</w:t>
      </w:r>
    </w:p>
    <w:p w14:paraId="0706238B"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A comprehensive summary will demonstrate how the capstone transitioned from identifying a critical structural inequality to delivering VirtuLab Kenya — a rigorous, solution-oriented digital product that democratises chemistry education for KCSE candidates.</w:t>
      </w:r>
    </w:p>
    <w:p w14:paraId="118E4C03" w14:textId="77777777" w:rsidR="00031E74" w:rsidRPr="003D30A1" w:rsidRDefault="00000000">
      <w:pPr>
        <w:pStyle w:val="Heading2"/>
        <w:spacing w:before="320" w:after="16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t>4.17 Chapter Summary</w:t>
      </w:r>
    </w:p>
    <w:p w14:paraId="1B06D1A1" w14:textId="77777777" w:rsidR="00031E74" w:rsidRPr="003D30A1" w:rsidRDefault="00000000">
      <w:pPr>
        <w:spacing w:after="200" w:line="276" w:lineRule="auto"/>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This final chapter outlines the framework for validating VirtuLab Kenya’s pedagogical efficacy, ensuring that the final capstone deliverable proves its intended change in the targeted learning environments.</w:t>
      </w:r>
    </w:p>
    <w:p w14:paraId="6FA4CC5A" w14:textId="77777777" w:rsidR="00031E74" w:rsidRPr="003D30A1" w:rsidRDefault="00000000">
      <w:pPr>
        <w:pStyle w:val="Heading1"/>
        <w:pageBreakBefore/>
        <w:spacing w:before="480" w:after="240"/>
        <w:rPr>
          <w:rFonts w:ascii="Times New Roman" w:hAnsi="Times New Roman" w:cs="Times New Roman"/>
          <w:color w:val="000000" w:themeColor="text1"/>
          <w:lang w:val="en-GB"/>
        </w:rPr>
      </w:pPr>
      <w:r w:rsidRPr="003D30A1">
        <w:rPr>
          <w:rFonts w:ascii="Times New Roman" w:hAnsi="Times New Roman" w:cs="Times New Roman"/>
          <w:b/>
          <w:bCs/>
          <w:color w:val="000000" w:themeColor="text1"/>
          <w:lang w:val="en-GB"/>
        </w:rPr>
        <w:lastRenderedPageBreak/>
        <w:t>REFERENCES</w:t>
      </w:r>
    </w:p>
    <w:p w14:paraId="204081BF" w14:textId="77777777" w:rsidR="00031E74" w:rsidRPr="003D30A1" w:rsidRDefault="00000000">
      <w:pPr>
        <w:spacing w:after="180" w:line="276" w:lineRule="auto"/>
        <w:ind w:left="360" w:hanging="360"/>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Brooke, J. (1996). SUS-A quick and dirty usability scale. Usability Evaluation in Industry, 189(194), 4–7.</w:t>
      </w:r>
    </w:p>
    <w:p w14:paraId="65BE4956" w14:textId="77777777" w:rsidR="00031E74" w:rsidRPr="003D30A1" w:rsidRDefault="00000000">
      <w:pPr>
        <w:spacing w:after="180" w:line="276" w:lineRule="auto"/>
        <w:ind w:left="360" w:hanging="360"/>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Bybee, R. W. (2009). The BSCS 5E instructional model and 21st century skills. National Academies Board on Science Education, Washington, DC.</w:t>
      </w:r>
    </w:p>
    <w:p w14:paraId="501056FC" w14:textId="77777777" w:rsidR="00031E74" w:rsidRPr="003D30A1" w:rsidRDefault="00000000">
      <w:pPr>
        <w:spacing w:after="180" w:line="276" w:lineRule="auto"/>
        <w:ind w:left="360" w:hanging="360"/>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Davis, F. D. (1989). Perceived usefulness, perceived ease of use, and user acceptance of information technology. MIS Quarterly, 319–340.</w:t>
      </w:r>
    </w:p>
    <w:p w14:paraId="1DE5ED39" w14:textId="77777777" w:rsidR="00E1705C" w:rsidRPr="003D30A1" w:rsidRDefault="00000000">
      <w:pPr>
        <w:spacing w:after="180" w:line="276" w:lineRule="auto"/>
        <w:ind w:left="360" w:hanging="360"/>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Gitira, C. B. (2025). School-based variables’ influence on performance in the Kenya Certificate of Secondary Education in sub-county schools in Kakamega County, Kenya. East African Journal of Education Studies, 8(3), 180–192.</w:t>
      </w:r>
    </w:p>
    <w:p w14:paraId="18CA57DC" w14:textId="77777777" w:rsidR="00031E74" w:rsidRPr="003D30A1" w:rsidRDefault="00000000">
      <w:pPr>
        <w:spacing w:after="180" w:line="276" w:lineRule="auto"/>
        <w:ind w:left="360" w:hanging="360"/>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Hake, R. R. (1998). Interactive-engagement versus traditional methods: A six-thousand-student survey of mechanics test data for introductory physics courses. American Journal of Physics, 66(1), 64–74.</w:t>
      </w:r>
    </w:p>
    <w:p w14:paraId="25995696" w14:textId="77777777" w:rsidR="00031E74" w:rsidRPr="003D30A1" w:rsidRDefault="00000000">
      <w:pPr>
        <w:spacing w:after="180" w:line="276" w:lineRule="auto"/>
        <w:ind w:left="360" w:hanging="360"/>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Mayer, R. E. (2009). Multimedia Learning (2nd ed.). Cambridge University Press.</w:t>
      </w:r>
    </w:p>
    <w:p w14:paraId="069B6CCC" w14:textId="77777777" w:rsidR="00E1705C" w:rsidRPr="003D30A1" w:rsidRDefault="00000000">
      <w:pPr>
        <w:spacing w:after="180" w:line="276" w:lineRule="auto"/>
        <w:ind w:left="360" w:hanging="360"/>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Nizeyimana, T., &amp; Musengimana, J. (2026). Enhancing conceptual understanding of chemistry among ordinary level students through virtual laboratories in Rulindo District, Rwanda [Preprint]. Research Square.</w:t>
      </w:r>
    </w:p>
    <w:p w14:paraId="13A97959" w14:textId="77777777" w:rsidR="00E1705C" w:rsidRPr="003D30A1" w:rsidRDefault="00000000">
      <w:pPr>
        <w:spacing w:after="180" w:line="276" w:lineRule="auto"/>
        <w:ind w:left="360" w:hanging="360"/>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Ochieng’, M. A. (2023). Influence of laboratory utilisation on students’ academic achievement in chemistry among public secondary schools in Kisumu County, Kenya (Master’s thesis). Kenyatta University.</w:t>
      </w:r>
    </w:p>
    <w:p w14:paraId="67A0F763" w14:textId="77777777" w:rsidR="00E1705C" w:rsidRPr="003D30A1" w:rsidRDefault="00000000">
      <w:pPr>
        <w:spacing w:after="180" w:line="276" w:lineRule="auto"/>
        <w:ind w:left="360" w:hanging="360"/>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Piaget, J. (1973). To Understand Is to Invent: The Future of Education. Grossman Publishers.</w:t>
      </w:r>
    </w:p>
    <w:p w14:paraId="253F89AD" w14:textId="77777777" w:rsidR="00031E74" w:rsidRPr="003D30A1" w:rsidRDefault="00000000">
      <w:pPr>
        <w:spacing w:after="180" w:line="276" w:lineRule="auto"/>
        <w:ind w:left="360" w:hanging="360"/>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Sweller, J. (1988). Cognitive load during problem solving: Effects on learning. Cognitive Science, 12(2), 257–285.</w:t>
      </w:r>
    </w:p>
    <w:p w14:paraId="11917D3B" w14:textId="77777777" w:rsidR="00031E74" w:rsidRPr="003D30A1" w:rsidRDefault="00000000">
      <w:pPr>
        <w:spacing w:after="180" w:line="276" w:lineRule="auto"/>
        <w:ind w:left="360" w:hanging="360"/>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Venkatesh, V., &amp; Bala, H. (2008). Technology acceptance model 3 and a research agenda on interventions. Decision Sciences, 39(2), 273–315.</w:t>
      </w:r>
    </w:p>
    <w:p w14:paraId="157DE992" w14:textId="77777777" w:rsidR="00E1705C" w:rsidRPr="003D30A1" w:rsidRDefault="00000000">
      <w:pPr>
        <w:spacing w:after="180" w:line="276" w:lineRule="auto"/>
        <w:ind w:left="360" w:hanging="360"/>
        <w:jc w:val="both"/>
        <w:rPr>
          <w:rFonts w:ascii="Times New Roman" w:hAnsi="Times New Roman" w:cs="Times New Roman"/>
          <w:color w:val="000000" w:themeColor="text1"/>
          <w:lang w:val="en-GB"/>
        </w:rPr>
      </w:pPr>
      <w:r w:rsidRPr="003D30A1">
        <w:rPr>
          <w:rFonts w:ascii="Times New Roman" w:hAnsi="Times New Roman" w:cs="Times New Roman"/>
          <w:color w:val="000000" w:themeColor="text1"/>
          <w:lang w:val="en-GB"/>
        </w:rPr>
        <w:t>Vygotsky, L. S. (1978). Mind in Society: The Development of Higher Psychological Processes. Harvard University Press.</w:t>
      </w:r>
    </w:p>
    <w:sectPr w:rsidR="00E1705C" w:rsidRPr="003D30A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0B48F" w14:textId="77777777" w:rsidR="00FD1F3B" w:rsidRDefault="00FD1F3B">
      <w:r>
        <w:separator/>
      </w:r>
    </w:p>
  </w:endnote>
  <w:endnote w:type="continuationSeparator" w:id="0">
    <w:p w14:paraId="0175EB74" w14:textId="77777777" w:rsidR="00FD1F3B" w:rsidRDefault="00FD1F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70573" w14:textId="77777777" w:rsidR="00031E74" w:rsidRDefault="00000000">
    <w:pP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B229E7">
      <w:rPr>
        <w:noProof/>
        <w:color w:val="777777"/>
        <w:sz w:val="18"/>
        <w:szCs w:val="18"/>
      </w:rPr>
      <w:t>2</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B229E7">
      <w:rPr>
        <w:noProof/>
        <w:color w:val="777777"/>
        <w:sz w:val="18"/>
        <w:szCs w:val="18"/>
      </w:rPr>
      <w:t>3</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555F3" w14:textId="77777777" w:rsidR="00FD1F3B" w:rsidRDefault="00FD1F3B">
      <w:r>
        <w:separator/>
      </w:r>
    </w:p>
  </w:footnote>
  <w:footnote w:type="continuationSeparator" w:id="0">
    <w:p w14:paraId="37540C2D" w14:textId="77777777" w:rsidR="00FD1F3B" w:rsidRDefault="00FD1F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C858D" w14:textId="77777777" w:rsidR="00031E74" w:rsidRDefault="00000000">
    <w:pPr>
      <w:pBdr>
        <w:bottom w:val="single" w:sz="4" w:space="0" w:color="BFBFBF"/>
      </w:pBdr>
      <w:jc w:val="right"/>
    </w:pPr>
    <w:r>
      <w:rPr>
        <w:i/>
        <w:iCs/>
        <w:color w:val="777777"/>
        <w:sz w:val="16"/>
        <w:szCs w:val="16"/>
      </w:rPr>
      <w:t>VirtuLab Kenya — Capstone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038B0"/>
    <w:multiLevelType w:val="hybridMultilevel"/>
    <w:tmpl w:val="A6E2DAB8"/>
    <w:lvl w:ilvl="0" w:tplc="4C409F70">
      <w:start w:val="1"/>
      <w:numFmt w:val="bullet"/>
      <w:lvlText w:val="●"/>
      <w:lvlJc w:val="left"/>
      <w:pPr>
        <w:ind w:left="720" w:hanging="360"/>
      </w:pPr>
    </w:lvl>
    <w:lvl w:ilvl="1" w:tplc="1EDC23A4">
      <w:start w:val="1"/>
      <w:numFmt w:val="bullet"/>
      <w:lvlText w:val="○"/>
      <w:lvlJc w:val="left"/>
      <w:pPr>
        <w:ind w:left="1440" w:hanging="360"/>
      </w:pPr>
    </w:lvl>
    <w:lvl w:ilvl="2" w:tplc="C2363120">
      <w:start w:val="1"/>
      <w:numFmt w:val="bullet"/>
      <w:lvlText w:val="■"/>
      <w:lvlJc w:val="left"/>
      <w:pPr>
        <w:ind w:left="2160" w:hanging="360"/>
      </w:pPr>
    </w:lvl>
    <w:lvl w:ilvl="3" w:tplc="05CE0BEA">
      <w:start w:val="1"/>
      <w:numFmt w:val="bullet"/>
      <w:lvlText w:val="●"/>
      <w:lvlJc w:val="left"/>
      <w:pPr>
        <w:ind w:left="2880" w:hanging="360"/>
      </w:pPr>
    </w:lvl>
    <w:lvl w:ilvl="4" w:tplc="623AC786">
      <w:start w:val="1"/>
      <w:numFmt w:val="bullet"/>
      <w:lvlText w:val="○"/>
      <w:lvlJc w:val="left"/>
      <w:pPr>
        <w:ind w:left="3600" w:hanging="360"/>
      </w:pPr>
    </w:lvl>
    <w:lvl w:ilvl="5" w:tplc="D9E4A9A6">
      <w:start w:val="1"/>
      <w:numFmt w:val="bullet"/>
      <w:lvlText w:val="■"/>
      <w:lvlJc w:val="left"/>
      <w:pPr>
        <w:ind w:left="4320" w:hanging="360"/>
      </w:pPr>
    </w:lvl>
    <w:lvl w:ilvl="6" w:tplc="D8FCB9C4">
      <w:start w:val="1"/>
      <w:numFmt w:val="bullet"/>
      <w:lvlText w:val="●"/>
      <w:lvlJc w:val="left"/>
      <w:pPr>
        <w:ind w:left="5040" w:hanging="360"/>
      </w:pPr>
    </w:lvl>
    <w:lvl w:ilvl="7" w:tplc="18724242">
      <w:start w:val="1"/>
      <w:numFmt w:val="bullet"/>
      <w:lvlText w:val="●"/>
      <w:lvlJc w:val="left"/>
      <w:pPr>
        <w:ind w:left="5760" w:hanging="360"/>
      </w:pPr>
    </w:lvl>
    <w:lvl w:ilvl="8" w:tplc="2ACE911A">
      <w:start w:val="1"/>
      <w:numFmt w:val="bullet"/>
      <w:lvlText w:val="●"/>
      <w:lvlJc w:val="left"/>
      <w:pPr>
        <w:ind w:left="6480" w:hanging="360"/>
      </w:pPr>
    </w:lvl>
  </w:abstractNum>
  <w:abstractNum w:abstractNumId="1" w15:restartNumberingAfterBreak="0">
    <w:nsid w:val="0B350F23"/>
    <w:multiLevelType w:val="hybridMultilevel"/>
    <w:tmpl w:val="E6B8D770"/>
    <w:lvl w:ilvl="0" w:tplc="8DE64ADC">
      <w:start w:val="1"/>
      <w:numFmt w:val="bullet"/>
      <w:lvlText w:val="•"/>
      <w:lvlJc w:val="left"/>
      <w:pPr>
        <w:ind w:left="540" w:hanging="270"/>
      </w:pPr>
    </w:lvl>
    <w:lvl w:ilvl="1" w:tplc="52808E9A">
      <w:numFmt w:val="decimal"/>
      <w:lvlText w:val=""/>
      <w:lvlJc w:val="left"/>
    </w:lvl>
    <w:lvl w:ilvl="2" w:tplc="4664DC44">
      <w:numFmt w:val="decimal"/>
      <w:lvlText w:val=""/>
      <w:lvlJc w:val="left"/>
    </w:lvl>
    <w:lvl w:ilvl="3" w:tplc="E0F6D4A6">
      <w:numFmt w:val="decimal"/>
      <w:lvlText w:val=""/>
      <w:lvlJc w:val="left"/>
    </w:lvl>
    <w:lvl w:ilvl="4" w:tplc="6E181746">
      <w:numFmt w:val="decimal"/>
      <w:lvlText w:val=""/>
      <w:lvlJc w:val="left"/>
    </w:lvl>
    <w:lvl w:ilvl="5" w:tplc="2CECD4D8">
      <w:numFmt w:val="decimal"/>
      <w:lvlText w:val=""/>
      <w:lvlJc w:val="left"/>
    </w:lvl>
    <w:lvl w:ilvl="6" w:tplc="F3C0C6CC">
      <w:numFmt w:val="decimal"/>
      <w:lvlText w:val=""/>
      <w:lvlJc w:val="left"/>
    </w:lvl>
    <w:lvl w:ilvl="7" w:tplc="2D600314">
      <w:numFmt w:val="decimal"/>
      <w:lvlText w:val=""/>
      <w:lvlJc w:val="left"/>
    </w:lvl>
    <w:lvl w:ilvl="8" w:tplc="55B0DCA2">
      <w:numFmt w:val="decimal"/>
      <w:lvlText w:val=""/>
      <w:lvlJc w:val="left"/>
    </w:lvl>
  </w:abstractNum>
  <w:num w:numId="1" w16cid:durableId="1140462202">
    <w:abstractNumId w:val="0"/>
    <w:lvlOverride w:ilvl="0">
      <w:startOverride w:val="1"/>
    </w:lvlOverride>
  </w:num>
  <w:num w:numId="2" w16cid:durableId="8582049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E74"/>
    <w:rsid w:val="000076D9"/>
    <w:rsid w:val="00031E74"/>
    <w:rsid w:val="00145E73"/>
    <w:rsid w:val="0015551C"/>
    <w:rsid w:val="001566C3"/>
    <w:rsid w:val="001A50D6"/>
    <w:rsid w:val="001C0983"/>
    <w:rsid w:val="001C57D4"/>
    <w:rsid w:val="00300616"/>
    <w:rsid w:val="003D30A1"/>
    <w:rsid w:val="00402DA5"/>
    <w:rsid w:val="0041027B"/>
    <w:rsid w:val="00515FF2"/>
    <w:rsid w:val="005B1E2F"/>
    <w:rsid w:val="00701376"/>
    <w:rsid w:val="00717B8E"/>
    <w:rsid w:val="008560F0"/>
    <w:rsid w:val="00881ABE"/>
    <w:rsid w:val="008C7748"/>
    <w:rsid w:val="00941884"/>
    <w:rsid w:val="009A34D6"/>
    <w:rsid w:val="00B229E7"/>
    <w:rsid w:val="00B26D30"/>
    <w:rsid w:val="00B61BB5"/>
    <w:rsid w:val="00BB3178"/>
    <w:rsid w:val="00BE31E5"/>
    <w:rsid w:val="00BE344A"/>
    <w:rsid w:val="00DD0C72"/>
    <w:rsid w:val="00E1705C"/>
    <w:rsid w:val="00E626CA"/>
    <w:rsid w:val="00EB2D6F"/>
    <w:rsid w:val="00FD1F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25B55"/>
  <w15:docId w15:val="{63E72037-DF81-4191-BBC7-FB58249CE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403</TotalTime>
  <Pages>30</Pages>
  <Words>8411</Words>
  <Characters>47947</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tellah harrison</cp:lastModifiedBy>
  <cp:revision>13</cp:revision>
  <dcterms:created xsi:type="dcterms:W3CDTF">2026-08-17T00:44:00Z</dcterms:created>
  <dcterms:modified xsi:type="dcterms:W3CDTF">2026-09-13T10:25:00Z</dcterms:modified>
</cp:coreProperties>
</file>