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ABB77" w14:textId="30A84D32" w:rsidR="001B56C4" w:rsidRDefault="001B56C4">
      <w:pPr>
        <w:rPr>
          <w:b/>
          <w:bCs/>
          <w:sz w:val="36"/>
          <w:szCs w:val="36"/>
        </w:rPr>
      </w:pPr>
      <w:r>
        <w:rPr>
          <w:b/>
          <w:bCs/>
          <w:noProof/>
          <w:sz w:val="36"/>
          <w:szCs w:val="36"/>
        </w:rPr>
        <w:drawing>
          <wp:inline distT="0" distB="0" distL="0" distR="0" wp14:anchorId="5EDFDCDE" wp14:editId="6DCD014D">
            <wp:extent cx="5943600" cy="968375"/>
            <wp:effectExtent l="0" t="0" r="0" b="0"/>
            <wp:docPr id="395582258" name="Picture 9"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82258" name="Picture 9" descr="A blue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968375"/>
                    </a:xfrm>
                    <a:prstGeom prst="rect">
                      <a:avLst/>
                    </a:prstGeom>
                  </pic:spPr>
                </pic:pic>
              </a:graphicData>
            </a:graphic>
          </wp:inline>
        </w:drawing>
      </w:r>
    </w:p>
    <w:p w14:paraId="6BD21FE5" w14:textId="77777777" w:rsidR="007B71CD" w:rsidRDefault="007B71CD" w:rsidP="007B71CD">
      <w:pPr>
        <w:pStyle w:val="Heading3"/>
      </w:pPr>
      <w:r>
        <w:rPr>
          <w:rStyle w:val="Strong"/>
          <w:b w:val="0"/>
          <w:bCs w:val="0"/>
        </w:rPr>
        <w:t>Market Insight Report for Emerald Investments</w:t>
      </w:r>
    </w:p>
    <w:p w14:paraId="771E858E" w14:textId="77777777" w:rsidR="007B71CD" w:rsidRDefault="007B71CD" w:rsidP="007B71CD">
      <w:pPr>
        <w:pStyle w:val="NormalWeb"/>
      </w:pPr>
      <w:r>
        <w:t>This report provides an analysis of current market trends based on the provided dataset and offers strategic recommendations tailored to Emerald Investments' portfolio, objectives, and risk tolerance.</w:t>
      </w:r>
    </w:p>
    <w:p w14:paraId="68F6920B" w14:textId="77777777" w:rsidR="007B71CD" w:rsidRDefault="007B71CD" w:rsidP="007B71CD">
      <w:pPr>
        <w:pStyle w:val="NormalWeb"/>
      </w:pPr>
      <w:r>
        <w:rPr>
          <w:rStyle w:val="Strong"/>
        </w:rPr>
        <w:t>Client Profile Overview:</w:t>
      </w:r>
    </w:p>
    <w:p w14:paraId="564D9AC5" w14:textId="77777777" w:rsidR="007B71CD" w:rsidRDefault="007B71CD" w:rsidP="007B71CD">
      <w:pPr>
        <w:numPr>
          <w:ilvl w:val="0"/>
          <w:numId w:val="10"/>
        </w:numPr>
        <w:suppressAutoHyphens w:val="0"/>
        <w:autoSpaceDN/>
        <w:spacing w:before="100" w:beforeAutospacing="1" w:after="100" w:afterAutospacing="1" w:line="240" w:lineRule="auto"/>
      </w:pPr>
      <w:r>
        <w:rPr>
          <w:rStyle w:val="Strong"/>
        </w:rPr>
        <w:t>Client Name:</w:t>
      </w:r>
      <w:r>
        <w:t xml:space="preserve"> Emerald Investments</w:t>
      </w:r>
    </w:p>
    <w:p w14:paraId="7A374B2F" w14:textId="77777777" w:rsidR="007B71CD" w:rsidRDefault="007B71CD" w:rsidP="007B71CD">
      <w:pPr>
        <w:numPr>
          <w:ilvl w:val="0"/>
          <w:numId w:val="10"/>
        </w:numPr>
        <w:suppressAutoHyphens w:val="0"/>
        <w:autoSpaceDN/>
        <w:spacing w:before="100" w:beforeAutospacing="1" w:after="100" w:afterAutospacing="1" w:line="240" w:lineRule="auto"/>
      </w:pPr>
      <w:r>
        <w:rPr>
          <w:rStyle w:val="Strong"/>
        </w:rPr>
        <w:t>Portfolio Composition:</w:t>
      </w:r>
      <w:r>
        <w:t xml:space="preserve"> 50% Technology, 30% Healthcare, 20% Cash Reserves</w:t>
      </w:r>
    </w:p>
    <w:p w14:paraId="364C3F30" w14:textId="77777777" w:rsidR="007B71CD" w:rsidRDefault="007B71CD" w:rsidP="007B71CD">
      <w:pPr>
        <w:numPr>
          <w:ilvl w:val="0"/>
          <w:numId w:val="10"/>
        </w:numPr>
        <w:suppressAutoHyphens w:val="0"/>
        <w:autoSpaceDN/>
        <w:spacing w:before="100" w:beforeAutospacing="1" w:after="100" w:afterAutospacing="1" w:line="240" w:lineRule="auto"/>
      </w:pPr>
      <w:r>
        <w:rPr>
          <w:rStyle w:val="Strong"/>
        </w:rPr>
        <w:t>Investment Objectives:</w:t>
      </w:r>
      <w:r>
        <w:t xml:space="preserve"> Prioritize long-term growth while mitigating short-term volatility.</w:t>
      </w:r>
    </w:p>
    <w:p w14:paraId="2620EAAF" w14:textId="77777777" w:rsidR="007B71CD" w:rsidRDefault="007B71CD" w:rsidP="007B71CD">
      <w:pPr>
        <w:numPr>
          <w:ilvl w:val="0"/>
          <w:numId w:val="10"/>
        </w:numPr>
        <w:suppressAutoHyphens w:val="0"/>
        <w:autoSpaceDN/>
        <w:spacing w:before="100" w:beforeAutospacing="1" w:after="100" w:afterAutospacing="1" w:line="240" w:lineRule="auto"/>
      </w:pPr>
      <w:r>
        <w:rPr>
          <w:rStyle w:val="Strong"/>
        </w:rPr>
        <w:t>Risk Tolerance:</w:t>
      </w:r>
      <w:r>
        <w:t xml:space="preserve"> Moderate, willing to accept some risk for growth but avoiding highly speculative investments.</w:t>
      </w:r>
    </w:p>
    <w:p w14:paraId="57D7F1AC" w14:textId="77777777" w:rsidR="007B71CD" w:rsidRDefault="007B71CD" w:rsidP="007B71CD">
      <w:pPr>
        <w:numPr>
          <w:ilvl w:val="0"/>
          <w:numId w:val="10"/>
        </w:numPr>
        <w:suppressAutoHyphens w:val="0"/>
        <w:autoSpaceDN/>
        <w:spacing w:before="100" w:beforeAutospacing="1" w:after="100" w:afterAutospacing="1" w:line="240" w:lineRule="auto"/>
      </w:pPr>
      <w:r>
        <w:rPr>
          <w:rStyle w:val="Strong"/>
        </w:rPr>
        <w:t>Time Horizon:</w:t>
      </w:r>
      <w:r>
        <w:t xml:space="preserve"> 5-10 years</w:t>
      </w:r>
    </w:p>
    <w:p w14:paraId="125F32DF" w14:textId="77777777" w:rsidR="007B71CD" w:rsidRDefault="007B71CD" w:rsidP="007B71CD">
      <w:pPr>
        <w:numPr>
          <w:ilvl w:val="0"/>
          <w:numId w:val="10"/>
        </w:numPr>
        <w:suppressAutoHyphens w:val="0"/>
        <w:autoSpaceDN/>
        <w:spacing w:before="100" w:beforeAutospacing="1" w:after="100" w:afterAutospacing="1" w:line="240" w:lineRule="auto"/>
      </w:pPr>
      <w:r>
        <w:rPr>
          <w:rStyle w:val="Strong"/>
        </w:rPr>
        <w:t>Key Concerns:</w:t>
      </w:r>
      <w:r>
        <w:t xml:space="preserve"> Volatility in the technology sector, ensuring healthcare provides stability, sensitivity to rising interest rates (especially for technology holdings), and general market volatility from economic or geopolitical events.</w:t>
      </w:r>
    </w:p>
    <w:p w14:paraId="692F5140" w14:textId="77777777" w:rsidR="007B71CD" w:rsidRDefault="007B71CD" w:rsidP="007B71CD">
      <w:pPr>
        <w:numPr>
          <w:ilvl w:val="0"/>
          <w:numId w:val="10"/>
        </w:numPr>
        <w:suppressAutoHyphens w:val="0"/>
        <w:autoSpaceDN/>
        <w:spacing w:before="100" w:beforeAutospacing="1" w:after="100" w:afterAutospacing="1" w:line="240" w:lineRule="auto"/>
      </w:pPr>
      <w:r>
        <w:rPr>
          <w:rStyle w:val="Strong"/>
        </w:rPr>
        <w:t>Investment Priorities:</w:t>
      </w:r>
      <w:r>
        <w:t xml:space="preserve"> Diversification, risk mitigation, and sustainable growth.</w:t>
      </w:r>
    </w:p>
    <w:p w14:paraId="574D05F3" w14:textId="77777777" w:rsidR="007B71CD" w:rsidRDefault="007B71CD" w:rsidP="007B71CD">
      <w:pPr>
        <w:spacing w:after="0"/>
      </w:pPr>
      <w:r>
        <w:pict w14:anchorId="111CACFB">
          <v:rect id="_x0000_i1061" style="width:0;height:1.5pt" o:hralign="center" o:hrstd="t" o:hr="t" fillcolor="#a0a0a0" stroked="f"/>
        </w:pict>
      </w:r>
    </w:p>
    <w:p w14:paraId="40EA253A" w14:textId="77777777" w:rsidR="007B71CD" w:rsidRDefault="007B71CD" w:rsidP="007B71CD">
      <w:pPr>
        <w:pStyle w:val="NormalWeb"/>
      </w:pPr>
      <w:r>
        <w:rPr>
          <w:rStyle w:val="Strong"/>
        </w:rPr>
        <w:t>Executive Summary</w:t>
      </w:r>
    </w:p>
    <w:p w14:paraId="71A2F5C3" w14:textId="77777777" w:rsidR="007B71CD" w:rsidRDefault="007B71CD" w:rsidP="007B71CD">
      <w:pPr>
        <w:pStyle w:val="NormalWeb"/>
      </w:pPr>
      <w:r>
        <w:t xml:space="preserve">This report analyzes recent market data, highlighting a trend of rising interest rates and notable volatility in the technology sector, counterbalanced by relative stability in the healthcare sector. These conditions present both challenges and opportunities for Emerald Investments' portfolio. Key recommendations focus on strategic deployment of cash reserves, cautious management of technology holdings, reaffirming the role of healthcare investments, and exploring diversification to enhance long-term growth prospects while managing risk in line with the client's moderate risk tolerance and </w:t>
      </w:r>
      <w:proofErr w:type="gramStart"/>
      <w:r>
        <w:t>5-10 year</w:t>
      </w:r>
      <w:proofErr w:type="gramEnd"/>
      <w:r>
        <w:t xml:space="preserve"> investment horizon.</w:t>
      </w:r>
    </w:p>
    <w:p w14:paraId="13BB35ED" w14:textId="77777777" w:rsidR="007B71CD" w:rsidRDefault="007B71CD" w:rsidP="007B71CD">
      <w:r>
        <w:pict w14:anchorId="1424E457">
          <v:rect id="_x0000_i1062" style="width:0;height:1.5pt" o:hralign="center" o:hrstd="t" o:hr="t" fillcolor="#a0a0a0" stroked="f"/>
        </w:pict>
      </w:r>
    </w:p>
    <w:p w14:paraId="101070C9" w14:textId="77777777" w:rsidR="007B71CD" w:rsidRDefault="007B71CD" w:rsidP="007B71CD">
      <w:pPr>
        <w:pStyle w:val="NormalWeb"/>
      </w:pPr>
      <w:r>
        <w:rPr>
          <w:rStyle w:val="Strong"/>
        </w:rPr>
        <w:t>Key Trends Identified</w:t>
      </w:r>
    </w:p>
    <w:p w14:paraId="61C37E86" w14:textId="77777777" w:rsidR="007B71CD" w:rsidRDefault="007B71CD" w:rsidP="007B71CD">
      <w:pPr>
        <w:pStyle w:val="NormalWeb"/>
      </w:pPr>
      <w:r>
        <w:t xml:space="preserve">Based on the provided sample </w:t>
      </w:r>
      <w:proofErr w:type="gramStart"/>
      <w:r>
        <w:t>dataset</w:t>
      </w:r>
      <w:proofErr w:type="gramEnd"/>
      <w:r>
        <w:t xml:space="preserve"> covering a recent seven-week period and guidance from the Market Trends Guide:</w:t>
      </w:r>
    </w:p>
    <w:p w14:paraId="23D9BAAA" w14:textId="77777777" w:rsidR="007B71CD" w:rsidRDefault="007B71CD" w:rsidP="007B71CD">
      <w:pPr>
        <w:numPr>
          <w:ilvl w:val="0"/>
          <w:numId w:val="11"/>
        </w:numPr>
        <w:suppressAutoHyphens w:val="0"/>
        <w:autoSpaceDN/>
        <w:spacing w:before="100" w:beforeAutospacing="1" w:after="100" w:afterAutospacing="1" w:line="240" w:lineRule="auto"/>
      </w:pPr>
      <w:r>
        <w:rPr>
          <w:rStyle w:val="Strong"/>
        </w:rPr>
        <w:lastRenderedPageBreak/>
        <w:t>Rising Interest Rates:</w:t>
      </w:r>
      <w:r>
        <w:t xml:space="preserve"> A consistent upward trend in interest rates was observed, increasing from 1.5% in Week 1 to 2.0% by Week 7. Historically, rising interest rates can increase borrowing costs for companies and potentially dampen economic activity, which may lead to lower stock prices, particularly in growth-oriented sectors like technology.</w:t>
      </w:r>
    </w:p>
    <w:p w14:paraId="72DAD961" w14:textId="77777777" w:rsidR="007B71CD" w:rsidRDefault="007B71CD" w:rsidP="007B71CD">
      <w:pPr>
        <w:numPr>
          <w:ilvl w:val="0"/>
          <w:numId w:val="11"/>
        </w:numPr>
        <w:suppressAutoHyphens w:val="0"/>
        <w:autoSpaceDN/>
        <w:spacing w:before="100" w:beforeAutospacing="1" w:after="100" w:afterAutospacing="1" w:line="240" w:lineRule="auto"/>
      </w:pPr>
      <w:r>
        <w:rPr>
          <w:rStyle w:val="Strong"/>
        </w:rPr>
        <w:t>Technology Sector Volatility:</w:t>
      </w:r>
      <w:r>
        <w:t xml:space="preserve"> The technology sector demonstrated significant fluctuations. It started strong but experienced negative performance in Weeks 3, 4, and 5, coinciding with a rate hike announcement, geopolitical tension, and specific tech earnings reports. Performance improved in Weeks 6 and 7, with an "Earnings beat (Technology)" noted in Week 6. This aligns with the client's noted concern about technology sector volatility.</w:t>
      </w:r>
    </w:p>
    <w:p w14:paraId="50D26555" w14:textId="77777777" w:rsidR="007B71CD" w:rsidRDefault="007B71CD" w:rsidP="007B71CD">
      <w:pPr>
        <w:numPr>
          <w:ilvl w:val="0"/>
          <w:numId w:val="11"/>
        </w:numPr>
        <w:suppressAutoHyphens w:val="0"/>
        <w:autoSpaceDN/>
        <w:spacing w:before="100" w:beforeAutospacing="1" w:after="100" w:afterAutospacing="1" w:line="240" w:lineRule="auto"/>
      </w:pPr>
      <w:r>
        <w:rPr>
          <w:rStyle w:val="Strong"/>
        </w:rPr>
        <w:t>Healthcare Sector Stability:</w:t>
      </w:r>
      <w:r>
        <w:t xml:space="preserve"> The healthcare sector exhibited more stable, albeit modest, positive returns throughout the seven-week period, with performance ranging from -0.1% to +0.8% weekly. This behavior is consistent with healthcare's typical defensive characteristics.</w:t>
      </w:r>
    </w:p>
    <w:p w14:paraId="32865AE7" w14:textId="77777777" w:rsidR="007B71CD" w:rsidRDefault="007B71CD" w:rsidP="007B71CD">
      <w:pPr>
        <w:numPr>
          <w:ilvl w:val="0"/>
          <w:numId w:val="11"/>
        </w:numPr>
        <w:suppressAutoHyphens w:val="0"/>
        <w:autoSpaceDN/>
        <w:spacing w:before="100" w:beforeAutospacing="1" w:after="100" w:afterAutospacing="1" w:line="240" w:lineRule="auto"/>
      </w:pPr>
      <w:r>
        <w:rPr>
          <w:rStyle w:val="Strong"/>
        </w:rPr>
        <w:t>Market Volatility (VIX):</w:t>
      </w:r>
      <w:r>
        <w:t xml:space="preserve"> The Market Volatility Index (VIX) showed fluctuations, starting at 18, peaking at 25 in Week 4 (following geopolitical tension and alongside tech earnings reports), and then moderating to 20 by Week 7. This indicates periods of increased market uncertainty.</w:t>
      </w:r>
    </w:p>
    <w:p w14:paraId="675A0E68" w14:textId="77777777" w:rsidR="007B71CD" w:rsidRDefault="007B71CD" w:rsidP="007B71CD">
      <w:pPr>
        <w:numPr>
          <w:ilvl w:val="0"/>
          <w:numId w:val="11"/>
        </w:numPr>
        <w:suppressAutoHyphens w:val="0"/>
        <w:autoSpaceDN/>
        <w:spacing w:before="100" w:beforeAutospacing="1" w:after="100" w:afterAutospacing="1" w:line="240" w:lineRule="auto"/>
      </w:pPr>
      <w:r>
        <w:rPr>
          <w:rStyle w:val="Strong"/>
        </w:rPr>
        <w:t>Impact of Economic Events:</w:t>
      </w:r>
      <w:r>
        <w:t xml:space="preserve"> Specific events such as "Rate hike announcement," "Geopolitical tension," and "Tech earnings reports" appeared to correlate with negative sentiment and downward pressure on the technology sector, while positive news like "Earnings beat (Technology)" and "New government policy" coincided with improved sentiment and sector performance later in the period.</w:t>
      </w:r>
    </w:p>
    <w:p w14:paraId="04E7985B" w14:textId="77777777" w:rsidR="007B71CD" w:rsidRDefault="007B71CD" w:rsidP="007B71CD">
      <w:pPr>
        <w:spacing w:after="0"/>
      </w:pPr>
      <w:r>
        <w:pict w14:anchorId="66589833">
          <v:rect id="_x0000_i1063" style="width:0;height:1.5pt" o:hralign="center" o:hrstd="t" o:hr="t" fillcolor="#a0a0a0" stroked="f"/>
        </w:pict>
      </w:r>
    </w:p>
    <w:p w14:paraId="43CC961A" w14:textId="77777777" w:rsidR="007B71CD" w:rsidRDefault="007B71CD" w:rsidP="007B71CD">
      <w:pPr>
        <w:pStyle w:val="NormalWeb"/>
      </w:pPr>
      <w:r>
        <w:rPr>
          <w:rStyle w:val="Strong"/>
        </w:rPr>
        <w:t>Portfolio Implications</w:t>
      </w:r>
    </w:p>
    <w:p w14:paraId="1AA74262" w14:textId="77777777" w:rsidR="007B71CD" w:rsidRDefault="007B71CD" w:rsidP="007B71CD">
      <w:pPr>
        <w:pStyle w:val="NormalWeb"/>
      </w:pPr>
      <w:r>
        <w:t>The identified trends have several implications for Emerald Investments' portfolio:</w:t>
      </w:r>
    </w:p>
    <w:p w14:paraId="1DAA6266" w14:textId="77777777" w:rsidR="007B71CD" w:rsidRDefault="007B71CD" w:rsidP="007B71CD">
      <w:pPr>
        <w:numPr>
          <w:ilvl w:val="0"/>
          <w:numId w:val="12"/>
        </w:numPr>
        <w:suppressAutoHyphens w:val="0"/>
        <w:autoSpaceDN/>
        <w:spacing w:before="100" w:beforeAutospacing="1" w:after="100" w:afterAutospacing="1" w:line="240" w:lineRule="auto"/>
      </w:pPr>
      <w:r>
        <w:rPr>
          <w:rStyle w:val="Strong"/>
        </w:rPr>
        <w:t>Technology Holdings (50%):</w:t>
      </w:r>
      <w:r>
        <w:t xml:space="preserve"> The significant allocation to technology means the portfolio is sensitive to the observed tech sector volatility and rising interest rates. While the sector offers high growth potential, the recent data underscores the client's concern about rapid swings and the potential impact of higher borrowing costs.</w:t>
      </w:r>
    </w:p>
    <w:p w14:paraId="2C8DB0C2" w14:textId="77777777" w:rsidR="007B71CD" w:rsidRDefault="007B71CD" w:rsidP="007B71CD">
      <w:pPr>
        <w:numPr>
          <w:ilvl w:val="0"/>
          <w:numId w:val="12"/>
        </w:numPr>
        <w:suppressAutoHyphens w:val="0"/>
        <w:autoSpaceDN/>
        <w:spacing w:before="100" w:beforeAutospacing="1" w:after="100" w:afterAutospacing="1" w:line="240" w:lineRule="auto"/>
      </w:pPr>
      <w:r>
        <w:rPr>
          <w:rStyle w:val="Strong"/>
        </w:rPr>
        <w:t>Healthcare Holdings (30%):</w:t>
      </w:r>
      <w:r>
        <w:t xml:space="preserve"> The healthcare allocation is performing its intended role of providing defensive stability and balancing risk from the more volatile technology sector. Its steady performance during the observed period reinforces this.</w:t>
      </w:r>
    </w:p>
    <w:p w14:paraId="52C2C3D0" w14:textId="77777777" w:rsidR="007B71CD" w:rsidRDefault="007B71CD" w:rsidP="007B71CD">
      <w:pPr>
        <w:numPr>
          <w:ilvl w:val="0"/>
          <w:numId w:val="12"/>
        </w:numPr>
        <w:suppressAutoHyphens w:val="0"/>
        <w:autoSpaceDN/>
        <w:spacing w:before="100" w:beforeAutospacing="1" w:after="100" w:afterAutospacing="1" w:line="240" w:lineRule="auto"/>
      </w:pPr>
      <w:r>
        <w:rPr>
          <w:rStyle w:val="Strong"/>
        </w:rPr>
        <w:t>Interest Rate Sensitivity:</w:t>
      </w:r>
      <w:r>
        <w:t xml:space="preserve"> The trend of rising interest rates is a key risk, particularly for the </w:t>
      </w:r>
      <w:proofErr w:type="gramStart"/>
      <w:r>
        <w:t>technology</w:t>
      </w:r>
      <w:proofErr w:type="gramEnd"/>
      <w:r>
        <w:t xml:space="preserve"> investments, which can be sensitive to changes in the cost of capital and future growth expectations.</w:t>
      </w:r>
    </w:p>
    <w:p w14:paraId="14DEEB64" w14:textId="77777777" w:rsidR="007B71CD" w:rsidRDefault="007B71CD" w:rsidP="007B71CD">
      <w:pPr>
        <w:numPr>
          <w:ilvl w:val="0"/>
          <w:numId w:val="12"/>
        </w:numPr>
        <w:suppressAutoHyphens w:val="0"/>
        <w:autoSpaceDN/>
        <w:spacing w:before="100" w:beforeAutospacing="1" w:after="100" w:afterAutospacing="1" w:line="240" w:lineRule="auto"/>
      </w:pPr>
      <w:r>
        <w:rPr>
          <w:rStyle w:val="Strong"/>
        </w:rPr>
        <w:t>Overall Volatility and Risk Management:</w:t>
      </w:r>
      <w:r>
        <w:t xml:space="preserve"> Given the client's moderate risk tolerance and goal to mitigate short-term volatility, the observed market volatility (VIX </w:t>
      </w:r>
      <w:r>
        <w:lastRenderedPageBreak/>
        <w:t>reaching 25) necessitates careful monitoring and proactive risk management strategies.</w:t>
      </w:r>
    </w:p>
    <w:p w14:paraId="46F91339" w14:textId="77777777" w:rsidR="007B71CD" w:rsidRDefault="007B71CD" w:rsidP="007B71CD">
      <w:pPr>
        <w:numPr>
          <w:ilvl w:val="0"/>
          <w:numId w:val="12"/>
        </w:numPr>
        <w:suppressAutoHyphens w:val="0"/>
        <w:autoSpaceDN/>
        <w:spacing w:before="100" w:beforeAutospacing="1" w:after="100" w:afterAutospacing="1" w:line="240" w:lineRule="auto"/>
      </w:pPr>
      <w:r>
        <w:rPr>
          <w:rStyle w:val="Strong"/>
        </w:rPr>
        <w:t>Cash Reserves (20%):</w:t>
      </w:r>
      <w:r>
        <w:t xml:space="preserve"> The 20% allocation to cash reserves provides valuable liquidity. This offers flexibility to capitalize on strategic buying opportunities that may arise from market dips or to further diversify the portfolio.</w:t>
      </w:r>
    </w:p>
    <w:p w14:paraId="5C635EE0" w14:textId="77777777" w:rsidR="007B71CD" w:rsidRDefault="007B71CD" w:rsidP="007B71CD">
      <w:pPr>
        <w:spacing w:after="0"/>
      </w:pPr>
      <w:r>
        <w:pict w14:anchorId="6FD3B803">
          <v:rect id="_x0000_i1064" style="width:0;height:1.5pt" o:hralign="center" o:hrstd="t" o:hr="t" fillcolor="#a0a0a0" stroked="f"/>
        </w:pict>
      </w:r>
    </w:p>
    <w:p w14:paraId="6B3BAA2A" w14:textId="77777777" w:rsidR="007B71CD" w:rsidRDefault="007B71CD" w:rsidP="007B71CD">
      <w:pPr>
        <w:pStyle w:val="NormalWeb"/>
      </w:pPr>
      <w:r>
        <w:rPr>
          <w:rStyle w:val="Strong"/>
        </w:rPr>
        <w:t>Strategic Recommendations</w:t>
      </w:r>
    </w:p>
    <w:p w14:paraId="6AFBF196" w14:textId="77777777" w:rsidR="007B71CD" w:rsidRDefault="007B71CD" w:rsidP="007B71CD">
      <w:pPr>
        <w:pStyle w:val="NormalWeb"/>
      </w:pPr>
      <w:r>
        <w:t>The following recommendations are designed to align with Emerald Investments' objectives, risk tolerance, and long-term financial goals:</w:t>
      </w:r>
    </w:p>
    <w:p w14:paraId="5E6FE9B9" w14:textId="77777777" w:rsidR="007B71CD" w:rsidRDefault="007B71CD" w:rsidP="007B71CD">
      <w:pPr>
        <w:pStyle w:val="NormalWeb"/>
      </w:pPr>
      <w:r>
        <w:rPr>
          <w:rStyle w:val="Strong"/>
        </w:rPr>
        <w:t>Short-Term Actions (Next 3-6 Months):</w:t>
      </w:r>
    </w:p>
    <w:p w14:paraId="06663D25" w14:textId="77777777" w:rsidR="007B71CD" w:rsidRDefault="007B71CD" w:rsidP="007B71CD">
      <w:pPr>
        <w:numPr>
          <w:ilvl w:val="0"/>
          <w:numId w:val="13"/>
        </w:numPr>
        <w:suppressAutoHyphens w:val="0"/>
        <w:autoSpaceDN/>
        <w:spacing w:before="100" w:beforeAutospacing="1" w:after="100" w:afterAutospacing="1" w:line="240" w:lineRule="auto"/>
      </w:pPr>
      <w:r>
        <w:rPr>
          <w:rStyle w:val="Strong"/>
        </w:rPr>
        <w:t>Monitor Technology Sector Closely:</w:t>
      </w:r>
      <w:r>
        <w:t xml:space="preserve"> Given the sector's volatility and sensitivity to interest rates, maintain vigilant oversight of technology holdings. Be prepared for potential further fluctuations as economic conditions evolve.</w:t>
      </w:r>
    </w:p>
    <w:p w14:paraId="1B446D3D" w14:textId="77777777" w:rsidR="007B71CD" w:rsidRDefault="007B71CD" w:rsidP="007B71CD">
      <w:pPr>
        <w:numPr>
          <w:ilvl w:val="0"/>
          <w:numId w:val="13"/>
        </w:numPr>
        <w:suppressAutoHyphens w:val="0"/>
        <w:autoSpaceDN/>
        <w:spacing w:before="100" w:beforeAutospacing="1" w:after="100" w:afterAutospacing="1" w:line="240" w:lineRule="auto"/>
      </w:pPr>
      <w:r>
        <w:rPr>
          <w:rStyle w:val="Strong"/>
        </w:rPr>
        <w:t>Strategic Use of Cash Reserves:</w:t>
      </w:r>
      <w:r>
        <w:t xml:space="preserve"> Consider deploying a portion of the 20% cash reserves to acquire quality technology assets if significant price corrections occur, aligning with the long-term growth objective and the recent signs of recovery.</w:t>
      </w:r>
    </w:p>
    <w:p w14:paraId="2B1F8ADD" w14:textId="77777777" w:rsidR="007B71CD" w:rsidRDefault="007B71CD" w:rsidP="007B71CD">
      <w:pPr>
        <w:numPr>
          <w:ilvl w:val="0"/>
          <w:numId w:val="13"/>
        </w:numPr>
        <w:suppressAutoHyphens w:val="0"/>
        <w:autoSpaceDN/>
        <w:spacing w:before="100" w:beforeAutospacing="1" w:after="100" w:afterAutospacing="1" w:line="240" w:lineRule="auto"/>
      </w:pPr>
      <w:r>
        <w:rPr>
          <w:rStyle w:val="Strong"/>
        </w:rPr>
        <w:t>Maintain Healthcare Allocation:</w:t>
      </w:r>
      <w:r>
        <w:t xml:space="preserve"> Continue with the current 30% allocation to healthcare to provide portfolio stability and act as a defensive cushion against market volatility.</w:t>
      </w:r>
    </w:p>
    <w:p w14:paraId="741F019F" w14:textId="77777777" w:rsidR="007B71CD" w:rsidRDefault="007B71CD" w:rsidP="007B71CD">
      <w:pPr>
        <w:pStyle w:val="NormalWeb"/>
      </w:pPr>
      <w:r>
        <w:rPr>
          <w:rStyle w:val="Strong"/>
        </w:rPr>
        <w:t>Long-Term Strategies (6 Months - 5+ Years):</w:t>
      </w:r>
    </w:p>
    <w:p w14:paraId="648E1996" w14:textId="77777777" w:rsidR="007B71CD" w:rsidRDefault="007B71CD" w:rsidP="007B71CD">
      <w:pPr>
        <w:numPr>
          <w:ilvl w:val="0"/>
          <w:numId w:val="14"/>
        </w:numPr>
        <w:suppressAutoHyphens w:val="0"/>
        <w:autoSpaceDN/>
        <w:spacing w:before="100" w:beforeAutospacing="1" w:after="100" w:afterAutospacing="1" w:line="240" w:lineRule="auto"/>
      </w:pPr>
      <w:r>
        <w:rPr>
          <w:rStyle w:val="Strong"/>
        </w:rPr>
        <w:t>Enhance Diversification:</w:t>
      </w:r>
      <w:r>
        <w:t xml:space="preserve"> </w:t>
      </w:r>
    </w:p>
    <w:p w14:paraId="3A786DD4" w14:textId="77777777" w:rsidR="007B71CD" w:rsidRDefault="007B71CD" w:rsidP="007B71CD">
      <w:pPr>
        <w:numPr>
          <w:ilvl w:val="1"/>
          <w:numId w:val="14"/>
        </w:numPr>
        <w:suppressAutoHyphens w:val="0"/>
        <w:autoSpaceDN/>
        <w:spacing w:before="100" w:beforeAutospacing="1" w:after="100" w:afterAutospacing="1" w:line="240" w:lineRule="auto"/>
      </w:pPr>
      <w:r>
        <w:t>Actively explore opportunities to diversify the portfolio beyond the current concentration in technology and healthcare. This will help mitigate sector-specific risks and align with the client's desire for risk mitigation and sustainable growth.</w:t>
      </w:r>
    </w:p>
    <w:p w14:paraId="391A2BCB" w14:textId="77777777" w:rsidR="007B71CD" w:rsidRDefault="007B71CD" w:rsidP="007B71CD">
      <w:pPr>
        <w:numPr>
          <w:ilvl w:val="1"/>
          <w:numId w:val="14"/>
        </w:numPr>
        <w:suppressAutoHyphens w:val="0"/>
        <w:autoSpaceDN/>
        <w:spacing w:before="100" w:beforeAutospacing="1" w:after="100" w:afterAutospacing="1" w:line="240" w:lineRule="auto"/>
      </w:pPr>
      <w:r>
        <w:t>Investigate sectors that may be less correlated with technology or that could perform well in a rising interest rate environment. The sample data showed positive periods for Energy and Financials, which could be initial areas for research.</w:t>
      </w:r>
    </w:p>
    <w:p w14:paraId="3C0ED30D" w14:textId="77777777" w:rsidR="007B71CD" w:rsidRDefault="007B71CD" w:rsidP="007B71CD">
      <w:pPr>
        <w:numPr>
          <w:ilvl w:val="0"/>
          <w:numId w:val="14"/>
        </w:numPr>
        <w:suppressAutoHyphens w:val="0"/>
        <w:autoSpaceDN/>
        <w:spacing w:before="100" w:beforeAutospacing="1" w:after="100" w:afterAutospacing="1" w:line="240" w:lineRule="auto"/>
      </w:pPr>
      <w:r>
        <w:rPr>
          <w:rStyle w:val="Strong"/>
        </w:rPr>
        <w:t>Manage Technology Risk:</w:t>
      </w:r>
      <w:r>
        <w:t xml:space="preserve"> For the existing technology allocation, consider strategies to manage downside risk without fully sacrificing growth potential. This could involve focusing on sub-sectors with strong fundamentals or companies with proven pricing power. This directly addresses a primary client concern.</w:t>
      </w:r>
    </w:p>
    <w:p w14:paraId="1FC37E6E" w14:textId="77777777" w:rsidR="007B71CD" w:rsidRDefault="007B71CD" w:rsidP="007B71CD">
      <w:pPr>
        <w:numPr>
          <w:ilvl w:val="0"/>
          <w:numId w:val="14"/>
        </w:numPr>
        <w:suppressAutoHyphens w:val="0"/>
        <w:autoSpaceDN/>
        <w:spacing w:before="100" w:beforeAutospacing="1" w:after="100" w:afterAutospacing="1" w:line="240" w:lineRule="auto"/>
      </w:pPr>
      <w:r>
        <w:rPr>
          <w:rStyle w:val="Strong"/>
        </w:rPr>
        <w:t>Regular Portfolio Review and Rebalancing:</w:t>
      </w:r>
      <w:r>
        <w:t xml:space="preserve"> Given the dynamic market environment and the client's </w:t>
      </w:r>
      <w:proofErr w:type="gramStart"/>
      <w:r>
        <w:t>5-10 year</w:t>
      </w:r>
      <w:proofErr w:type="gramEnd"/>
      <w:r>
        <w:t xml:space="preserve"> time horizon, establish a schedule for regular (e.g., semi-annual or annual) portfolio reviews. Rebalance the portfolio as needed to </w:t>
      </w:r>
      <w:r>
        <w:lastRenderedPageBreak/>
        <w:t>maintain the desired asset allocation and risk profile, and to adapt to changing market conditions.</w:t>
      </w:r>
    </w:p>
    <w:p w14:paraId="29D5FA3C" w14:textId="77777777" w:rsidR="007B71CD" w:rsidRDefault="007B71CD" w:rsidP="007B71CD">
      <w:pPr>
        <w:spacing w:after="0"/>
      </w:pPr>
      <w:r>
        <w:pict w14:anchorId="284742FA">
          <v:rect id="_x0000_i1065" style="width:0;height:1.5pt" o:hralign="center" o:hrstd="t" o:hr="t" fillcolor="#a0a0a0" stroked="f"/>
        </w:pict>
      </w:r>
    </w:p>
    <w:p w14:paraId="10ED9316" w14:textId="77777777" w:rsidR="007B71CD" w:rsidRDefault="007B71CD" w:rsidP="007B71CD">
      <w:pPr>
        <w:pStyle w:val="NormalWeb"/>
      </w:pPr>
      <w:r>
        <w:rPr>
          <w:rStyle w:val="Strong"/>
        </w:rPr>
        <w:t>Supporting Data and Visualizations (Optional)</w:t>
      </w:r>
    </w:p>
    <w:p w14:paraId="05306AD1" w14:textId="77777777" w:rsidR="007B71CD" w:rsidRDefault="007B71CD" w:rsidP="007B71CD">
      <w:pPr>
        <w:pStyle w:val="NormalWeb"/>
      </w:pPr>
      <w:r>
        <w:t>Supporting charts and graphs (e.g., interest rate trends, weekly performance of technology vs. healthcare, VIX movement) would typically be included here to visually represent the key data points and trends discussed. These visuals would be clearly labeled with brief descriptions to aid interpretation.</w:t>
      </w:r>
    </w:p>
    <w:p w14:paraId="2D7E93C4" w14:textId="77777777" w:rsidR="007B71CD" w:rsidRDefault="007B71CD" w:rsidP="007B71CD">
      <w:r>
        <w:pict w14:anchorId="50E13C46">
          <v:rect id="_x0000_i1066" style="width:0;height:1.5pt" o:hralign="center" o:hrstd="t" o:hr="t" fillcolor="#a0a0a0" stroked="f"/>
        </w:pict>
      </w:r>
    </w:p>
    <w:p w14:paraId="6BF796C0" w14:textId="77777777" w:rsidR="007B71CD" w:rsidRDefault="007B71CD" w:rsidP="007B71CD">
      <w:pPr>
        <w:pStyle w:val="NormalWeb"/>
      </w:pPr>
      <w:r>
        <w:rPr>
          <w:rStyle w:val="Strong"/>
        </w:rPr>
        <w:t>Closing Remarks</w:t>
      </w:r>
    </w:p>
    <w:p w14:paraId="145F27B5" w14:textId="77777777" w:rsidR="007B71CD" w:rsidRDefault="007B71CD" w:rsidP="007B71CD">
      <w:pPr>
        <w:pStyle w:val="NormalWeb"/>
      </w:pPr>
      <w:r>
        <w:t>The current market environment, characterized by rising interest rates and sector-specific volatility, requires a proactive and strategic approach to portfolio management. The recommendations provided aim to navigate these conditions effectively, balancing Emerald Investments' primary goal of long-term growth with the need to mitigate short-term volatility. We propose discussing these findings and recommendations further to determine the optimal implementation strategy.</w:t>
      </w:r>
    </w:p>
    <w:p w14:paraId="5A231736" w14:textId="77777777" w:rsidR="00BF1CE8" w:rsidRDefault="00BF1CE8">
      <w:pPr>
        <w:rPr>
          <w:b/>
          <w:bCs/>
          <w:sz w:val="36"/>
          <w:szCs w:val="36"/>
        </w:rPr>
      </w:pPr>
    </w:p>
    <w:sectPr w:rsidR="00BF1C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16916" w14:textId="77777777" w:rsidR="00805692" w:rsidRDefault="00805692">
      <w:pPr>
        <w:spacing w:after="0" w:line="240" w:lineRule="auto"/>
      </w:pPr>
      <w:r>
        <w:separator/>
      </w:r>
    </w:p>
  </w:endnote>
  <w:endnote w:type="continuationSeparator" w:id="0">
    <w:p w14:paraId="61628409" w14:textId="77777777" w:rsidR="00805692" w:rsidRDefault="0080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1386E" w14:textId="77777777" w:rsidR="00805692" w:rsidRDefault="00805692">
      <w:pPr>
        <w:spacing w:after="0" w:line="240" w:lineRule="auto"/>
      </w:pPr>
      <w:r>
        <w:rPr>
          <w:color w:val="000000"/>
        </w:rPr>
        <w:separator/>
      </w:r>
    </w:p>
  </w:footnote>
  <w:footnote w:type="continuationSeparator" w:id="0">
    <w:p w14:paraId="18307A06" w14:textId="77777777" w:rsidR="00805692" w:rsidRDefault="00805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5B65"/>
    <w:multiLevelType w:val="multilevel"/>
    <w:tmpl w:val="D2AC871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EEC1442"/>
    <w:multiLevelType w:val="multilevel"/>
    <w:tmpl w:val="945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00EC1"/>
    <w:multiLevelType w:val="multilevel"/>
    <w:tmpl w:val="845071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1FB4C7F"/>
    <w:multiLevelType w:val="multilevel"/>
    <w:tmpl w:val="CA0E36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35677314"/>
    <w:multiLevelType w:val="multilevel"/>
    <w:tmpl w:val="3C26C9E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3B032C24"/>
    <w:multiLevelType w:val="multilevel"/>
    <w:tmpl w:val="1E86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538D9"/>
    <w:multiLevelType w:val="multilevel"/>
    <w:tmpl w:val="3FC0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51C31"/>
    <w:multiLevelType w:val="multilevel"/>
    <w:tmpl w:val="4F00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8182A"/>
    <w:multiLevelType w:val="multilevel"/>
    <w:tmpl w:val="7C9CD5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6C5C5A8A"/>
    <w:multiLevelType w:val="multilevel"/>
    <w:tmpl w:val="49B6365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6D2210D2"/>
    <w:multiLevelType w:val="multilevel"/>
    <w:tmpl w:val="0688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47567"/>
    <w:multiLevelType w:val="multilevel"/>
    <w:tmpl w:val="9D4E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1A0053"/>
    <w:multiLevelType w:val="multilevel"/>
    <w:tmpl w:val="2D1E1F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7BCD3A24"/>
    <w:multiLevelType w:val="multilevel"/>
    <w:tmpl w:val="7A42BF1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999234001">
    <w:abstractNumId w:val="9"/>
  </w:num>
  <w:num w:numId="2" w16cid:durableId="1866602064">
    <w:abstractNumId w:val="3"/>
  </w:num>
  <w:num w:numId="3" w16cid:durableId="1793860272">
    <w:abstractNumId w:val="2"/>
  </w:num>
  <w:num w:numId="4" w16cid:durableId="837383754">
    <w:abstractNumId w:val="13"/>
  </w:num>
  <w:num w:numId="5" w16cid:durableId="388920273">
    <w:abstractNumId w:val="4"/>
  </w:num>
  <w:num w:numId="6" w16cid:durableId="643243122">
    <w:abstractNumId w:val="8"/>
  </w:num>
  <w:num w:numId="7" w16cid:durableId="806512072">
    <w:abstractNumId w:val="0"/>
  </w:num>
  <w:num w:numId="8" w16cid:durableId="407000639">
    <w:abstractNumId w:val="12"/>
  </w:num>
  <w:num w:numId="9" w16cid:durableId="1640915254">
    <w:abstractNumId w:val="1"/>
  </w:num>
  <w:num w:numId="10" w16cid:durableId="1511488195">
    <w:abstractNumId w:val="5"/>
  </w:num>
  <w:num w:numId="11" w16cid:durableId="596598605">
    <w:abstractNumId w:val="10"/>
  </w:num>
  <w:num w:numId="12" w16cid:durableId="769817543">
    <w:abstractNumId w:val="7"/>
  </w:num>
  <w:num w:numId="13" w16cid:durableId="395670241">
    <w:abstractNumId w:val="6"/>
  </w:num>
  <w:num w:numId="14" w16cid:durableId="797340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35E"/>
    <w:rsid w:val="00156133"/>
    <w:rsid w:val="001B56C4"/>
    <w:rsid w:val="00243EB1"/>
    <w:rsid w:val="0032612F"/>
    <w:rsid w:val="0034579C"/>
    <w:rsid w:val="003B291D"/>
    <w:rsid w:val="004B6501"/>
    <w:rsid w:val="0057735E"/>
    <w:rsid w:val="007B71CD"/>
    <w:rsid w:val="00805692"/>
    <w:rsid w:val="0087220C"/>
    <w:rsid w:val="00A77321"/>
    <w:rsid w:val="00B23004"/>
    <w:rsid w:val="00BC4223"/>
    <w:rsid w:val="00BF1CE8"/>
    <w:rsid w:val="00CD7F2B"/>
    <w:rsid w:val="00DA450A"/>
    <w:rsid w:val="00E156DD"/>
    <w:rsid w:val="00F56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02C6"/>
  <w15:docId w15:val="{93332F29-673B-4CD6-8F2B-700A603A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rmalWeb">
    <w:name w:val="Normal (Web)"/>
    <w:basedOn w:val="Normal"/>
    <w:uiPriority w:val="99"/>
    <w:semiHidden/>
    <w:unhideWhenUsed/>
    <w:rsid w:val="00B23004"/>
    <w:pPr>
      <w:suppressAutoHyphens w:val="0"/>
      <w:autoSpaceDN/>
      <w:spacing w:before="100" w:beforeAutospacing="1" w:after="100" w:afterAutospacing="1" w:line="240" w:lineRule="auto"/>
    </w:pPr>
    <w:rPr>
      <w:rFonts w:ascii="Times New Roman" w:eastAsia="Times New Roman" w:hAnsi="Times New Roman"/>
      <w:kern w:val="0"/>
      <w:lang w:eastAsia="ja-JP"/>
    </w:rPr>
  </w:style>
  <w:style w:type="character" w:styleId="Strong">
    <w:name w:val="Strong"/>
    <w:basedOn w:val="DefaultParagraphFont"/>
    <w:uiPriority w:val="22"/>
    <w:qFormat/>
    <w:rsid w:val="00B23004"/>
    <w:rPr>
      <w:b/>
      <w:bCs/>
    </w:rPr>
  </w:style>
  <w:style w:type="character" w:customStyle="1" w:styleId="button-container">
    <w:name w:val="button-container"/>
    <w:basedOn w:val="DefaultParagraphFont"/>
    <w:rsid w:val="00B2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690058">
      <w:bodyDiv w:val="1"/>
      <w:marLeft w:val="0"/>
      <w:marRight w:val="0"/>
      <w:marTop w:val="0"/>
      <w:marBottom w:val="0"/>
      <w:divBdr>
        <w:top w:val="none" w:sz="0" w:space="0" w:color="auto"/>
        <w:left w:val="none" w:sz="0" w:space="0" w:color="auto"/>
        <w:bottom w:val="none" w:sz="0" w:space="0" w:color="auto"/>
        <w:right w:val="none" w:sz="0" w:space="0" w:color="auto"/>
      </w:divBdr>
    </w:div>
    <w:div w:id="604114069">
      <w:bodyDiv w:val="1"/>
      <w:marLeft w:val="0"/>
      <w:marRight w:val="0"/>
      <w:marTop w:val="0"/>
      <w:marBottom w:val="0"/>
      <w:divBdr>
        <w:top w:val="none" w:sz="0" w:space="0" w:color="auto"/>
        <w:left w:val="none" w:sz="0" w:space="0" w:color="auto"/>
        <w:bottom w:val="none" w:sz="0" w:space="0" w:color="auto"/>
        <w:right w:val="none" w:sz="0" w:space="0" w:color="auto"/>
      </w:divBdr>
    </w:div>
    <w:div w:id="8757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Dodson, Jessika</dc:creator>
  <dc:description/>
  <cp:lastModifiedBy>Eda AYDIN</cp:lastModifiedBy>
  <cp:revision>5</cp:revision>
  <dcterms:created xsi:type="dcterms:W3CDTF">2025-05-14T22:25:00Z</dcterms:created>
  <dcterms:modified xsi:type="dcterms:W3CDTF">2025-05-14T22:27:00Z</dcterms:modified>
</cp:coreProperties>
</file>