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82D4C" w14:textId="77777777" w:rsidR="00522145" w:rsidRDefault="00000000">
      <w:pPr>
        <w:spacing w:before="120" w:after="120"/>
      </w:pPr>
      <w:r>
        <w:rPr>
          <w:noProof/>
        </w:rPr>
        <w:drawing>
          <wp:inline distT="0" distB="0" distL="0" distR="0" wp14:anchorId="344D0B81" wp14:editId="0ABF2038">
            <wp:extent cx="2980429" cy="484319"/>
            <wp:effectExtent l="0" t="0" r="0" b="0"/>
            <wp:docPr id="409591516" name="Drawing 0" descr="8261a39236ce6d4dc8fe7fd0ba061d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8261a39236ce6d4dc8fe7fd0ba061d33.png"/>
                    <pic:cNvPicPr>
                      <a:picLocks noChangeAspect="1"/>
                    </pic:cNvPicPr>
                  </pic:nvPicPr>
                  <pic:blipFill>
                    <a:blip r:embed="rId5"/>
                    <a:stretch>
                      <a:fillRect/>
                    </a:stretch>
                  </pic:blipFill>
                  <pic:spPr>
                    <a:xfrm>
                      <a:off x="0" y="0"/>
                      <a:ext cx="2980429" cy="484319"/>
                    </a:xfrm>
                    <a:prstGeom prst="rect">
                      <a:avLst/>
                    </a:prstGeom>
                  </pic:spPr>
                </pic:pic>
              </a:graphicData>
            </a:graphic>
          </wp:inline>
        </w:drawing>
      </w:r>
    </w:p>
    <w:p w14:paraId="1F7EA10E" w14:textId="09BF58AA" w:rsidR="00522145" w:rsidRDefault="00000000" w:rsidP="000776B4">
      <w:pPr>
        <w:spacing w:before="120" w:after="120" w:line="240" w:lineRule="auto"/>
        <w:jc w:val="center"/>
      </w:pPr>
      <w:r>
        <w:rPr>
          <w:rFonts w:ascii="Roboto Bold" w:eastAsia="Roboto Bold" w:hAnsi="Roboto Bold" w:cs="Roboto Bold"/>
          <w:b/>
          <w:bCs/>
          <w:color w:val="000000"/>
          <w:sz w:val="64"/>
          <w:szCs w:val="64"/>
        </w:rPr>
        <w:br/>
      </w:r>
      <w:r>
        <w:rPr>
          <w:rFonts w:ascii="Roboto Bold" w:eastAsia="Roboto Bold" w:hAnsi="Roboto Bold" w:cs="Roboto Bold"/>
          <w:b/>
          <w:bCs/>
          <w:color w:val="012169"/>
          <w:sz w:val="64"/>
          <w:szCs w:val="64"/>
        </w:rPr>
        <w:t xml:space="preserve">Market Data Analysis Worksheet </w:t>
      </w:r>
      <w:r w:rsidR="000776B4">
        <w:rPr>
          <w:rFonts w:ascii="Roboto Bold" w:eastAsia="Roboto Bold" w:hAnsi="Roboto Bold" w:cs="Roboto Bold"/>
          <w:b/>
          <w:bCs/>
          <w:color w:val="012169"/>
          <w:sz w:val="64"/>
          <w:szCs w:val="64"/>
        </w:rPr>
        <w:br/>
      </w:r>
    </w:p>
    <w:p w14:paraId="57F54930" w14:textId="77777777" w:rsidR="00522145" w:rsidRDefault="00522145">
      <w:pPr>
        <w:pBdr>
          <w:bottom w:val="single" w:sz="12" w:space="0" w:color="DC1431"/>
        </w:pBdr>
        <w:spacing w:before="120" w:after="120" w:line="0" w:lineRule="auto"/>
      </w:pPr>
    </w:p>
    <w:p w14:paraId="78058BA1" w14:textId="0CB92ED4" w:rsidR="00522145" w:rsidRDefault="000776B4">
      <w:pPr>
        <w:spacing w:before="120" w:after="120" w:line="336" w:lineRule="auto"/>
      </w:pPr>
      <w:r>
        <w:rPr>
          <w:rFonts w:ascii="Roboto Bold" w:eastAsia="Roboto Bold" w:hAnsi="Roboto Bold" w:cs="Roboto Bold"/>
          <w:b/>
          <w:bCs/>
          <w:color w:val="012169"/>
        </w:rPr>
        <w:br/>
        <w:t>Introduction</w:t>
      </w:r>
      <w:r>
        <w:rPr>
          <w:rFonts w:ascii="Roboto" w:eastAsia="Roboto" w:hAnsi="Roboto" w:cs="Roboto"/>
          <w:color w:val="012169"/>
        </w:rPr>
        <w:t xml:space="preserve"> </w:t>
      </w:r>
    </w:p>
    <w:p w14:paraId="07CA8D7D" w14:textId="413F9AF8" w:rsidR="00522145" w:rsidRDefault="00000000">
      <w:pPr>
        <w:spacing w:before="120" w:after="120" w:line="336" w:lineRule="auto"/>
      </w:pPr>
      <w:r>
        <w:rPr>
          <w:rFonts w:ascii="Roboto" w:eastAsia="Roboto" w:hAnsi="Roboto" w:cs="Roboto"/>
          <w:color w:val="000000"/>
        </w:rPr>
        <w:t xml:space="preserve">This worksheet is designed to help you organize and analyze live market data. Use it to identify key trends, assess their implications for client portfolios, and structure actionable insights. Follow the guiding questions in each section to align your findings with Horizon Capital’s goals. </w:t>
      </w:r>
      <w:r w:rsidR="000776B4">
        <w:rPr>
          <w:rFonts w:ascii="Roboto" w:eastAsia="Roboto" w:hAnsi="Roboto" w:cs="Roboto"/>
          <w:color w:val="000000"/>
        </w:rPr>
        <w:br/>
      </w:r>
    </w:p>
    <w:p w14:paraId="00A29A67" w14:textId="77777777" w:rsidR="00522145" w:rsidRDefault="00522145">
      <w:pPr>
        <w:pBdr>
          <w:bottom w:val="single" w:sz="6" w:space="0" w:color="DC1431"/>
        </w:pBdr>
        <w:spacing w:before="120" w:after="120" w:line="0" w:lineRule="auto"/>
      </w:pPr>
    </w:p>
    <w:p w14:paraId="790A186A" w14:textId="1AA906FE" w:rsidR="00522145" w:rsidRDefault="000776B4">
      <w:pPr>
        <w:spacing w:before="120" w:after="120" w:line="336" w:lineRule="auto"/>
      </w:pPr>
      <w:r>
        <w:rPr>
          <w:rFonts w:ascii="Roboto Bold" w:eastAsia="Roboto Bold" w:hAnsi="Roboto Bold" w:cs="Roboto Bold"/>
          <w:b/>
          <w:bCs/>
          <w:color w:val="012169"/>
          <w:sz w:val="28"/>
          <w:szCs w:val="28"/>
        </w:rPr>
        <w:br/>
        <w:t>Section 1: Key Market Metrics</w:t>
      </w:r>
      <w:r>
        <w:rPr>
          <w:rFonts w:ascii="Roboto" w:eastAsia="Roboto" w:hAnsi="Roboto" w:cs="Roboto"/>
          <w:color w:val="012169"/>
          <w:sz w:val="28"/>
          <w:szCs w:val="28"/>
        </w:rPr>
        <w:t xml:space="preserve"> </w:t>
      </w:r>
    </w:p>
    <w:p w14:paraId="135780CA" w14:textId="77777777" w:rsidR="00522145" w:rsidRDefault="00000000">
      <w:pPr>
        <w:spacing w:before="120" w:after="120" w:line="336" w:lineRule="auto"/>
      </w:pPr>
      <w:r>
        <w:rPr>
          <w:rFonts w:ascii="Roboto Bold" w:eastAsia="Roboto Bold" w:hAnsi="Roboto Bold" w:cs="Roboto Bold"/>
          <w:b/>
          <w:bCs/>
          <w:color w:val="000000"/>
        </w:rPr>
        <w:t>Instructions:</w:t>
      </w:r>
      <w:r>
        <w:rPr>
          <w:rFonts w:ascii="Roboto" w:eastAsia="Roboto" w:hAnsi="Roboto" w:cs="Roboto"/>
          <w:color w:val="000000"/>
        </w:rPr>
        <w:t xml:space="preserve"> Fill in the table below with the most critical market metrics from the provided dataset. Use this section to identify trends and anomalies. </w:t>
      </w:r>
    </w:p>
    <w:tbl>
      <w:tblPr>
        <w:tblW w:w="9030" w:type="dxa"/>
        <w:tblInd w:w="150" w:type="dxa"/>
        <w:tblBorders>
          <w:top w:val="single" w:sz="12" w:space="0" w:color="CCCCCC"/>
          <w:left w:val="single" w:sz="12" w:space="0" w:color="CCCCCC"/>
          <w:bottom w:val="single" w:sz="12" w:space="0" w:color="CCCCCC"/>
          <w:right w:val="single" w:sz="12" w:space="0" w:color="CCCCCC"/>
          <w:insideH w:val="single" w:sz="12" w:space="0" w:color="CCCCCC"/>
          <w:insideV w:val="single" w:sz="12" w:space="0" w:color="CCCCCC"/>
        </w:tblBorders>
        <w:tblCellMar>
          <w:left w:w="10" w:type="dxa"/>
          <w:right w:w="10" w:type="dxa"/>
        </w:tblCellMar>
        <w:tblLook w:val="04A0" w:firstRow="1" w:lastRow="0" w:firstColumn="1" w:lastColumn="0" w:noHBand="0" w:noVBand="1"/>
      </w:tblPr>
      <w:tblGrid>
        <w:gridCol w:w="2933"/>
        <w:gridCol w:w="965"/>
        <w:gridCol w:w="5132"/>
      </w:tblGrid>
      <w:tr w:rsidR="00522145" w14:paraId="75AA5109" w14:textId="77777777">
        <w:tc>
          <w:tcPr>
            <w:tcW w:w="3010" w:type="dxa"/>
            <w:shd w:val="clear" w:color="auto" w:fill="DC1431"/>
            <w:tcMar>
              <w:top w:w="150" w:type="dxa"/>
              <w:left w:w="150" w:type="dxa"/>
              <w:bottom w:w="150" w:type="dxa"/>
              <w:right w:w="150" w:type="dxa"/>
            </w:tcMar>
          </w:tcPr>
          <w:p w14:paraId="1EF48227" w14:textId="77777777" w:rsidR="00522145" w:rsidRDefault="00000000">
            <w:pPr>
              <w:spacing w:before="120" w:after="120" w:line="336" w:lineRule="auto"/>
            </w:pPr>
            <w:r>
              <w:rPr>
                <w:rFonts w:ascii="Roboto Bold" w:eastAsia="Roboto Bold" w:hAnsi="Roboto Bold" w:cs="Roboto Bold"/>
                <w:b/>
                <w:bCs/>
                <w:color w:val="FFFFFF"/>
                <w:sz w:val="26"/>
                <w:szCs w:val="26"/>
              </w:rPr>
              <w:t>Metric</w:t>
            </w:r>
            <w:r>
              <w:rPr>
                <w:rFonts w:ascii="Cadiz" w:eastAsia="Cadiz" w:hAnsi="Cadiz" w:cs="Cadiz"/>
                <w:color w:val="FFFFFF"/>
                <w:sz w:val="26"/>
                <w:szCs w:val="26"/>
              </w:rPr>
              <w:t xml:space="preserve"> </w:t>
            </w:r>
          </w:p>
        </w:tc>
        <w:tc>
          <w:tcPr>
            <w:tcW w:w="693" w:type="dxa"/>
            <w:shd w:val="clear" w:color="auto" w:fill="DC1431"/>
            <w:tcMar>
              <w:top w:w="150" w:type="dxa"/>
              <w:left w:w="150" w:type="dxa"/>
              <w:bottom w:w="150" w:type="dxa"/>
              <w:right w:w="150" w:type="dxa"/>
            </w:tcMar>
          </w:tcPr>
          <w:p w14:paraId="2531D18F" w14:textId="77777777" w:rsidR="00522145" w:rsidRDefault="00000000">
            <w:pPr>
              <w:spacing w:before="120" w:after="120" w:line="336" w:lineRule="auto"/>
            </w:pPr>
            <w:r>
              <w:rPr>
                <w:rFonts w:ascii="Roboto Bold" w:eastAsia="Roboto Bold" w:hAnsi="Roboto Bold" w:cs="Roboto Bold"/>
                <w:b/>
                <w:bCs/>
                <w:color w:val="FFFFFF"/>
                <w:sz w:val="26"/>
                <w:szCs w:val="26"/>
              </w:rPr>
              <w:t xml:space="preserve">Value </w:t>
            </w:r>
          </w:p>
        </w:tc>
        <w:tc>
          <w:tcPr>
            <w:tcW w:w="5326" w:type="dxa"/>
            <w:shd w:val="clear" w:color="auto" w:fill="DC1431"/>
            <w:tcMar>
              <w:top w:w="150" w:type="dxa"/>
              <w:left w:w="150" w:type="dxa"/>
              <w:bottom w:w="150" w:type="dxa"/>
              <w:right w:w="150" w:type="dxa"/>
            </w:tcMar>
          </w:tcPr>
          <w:p w14:paraId="0341280E" w14:textId="77777777" w:rsidR="00522145" w:rsidRDefault="00000000">
            <w:pPr>
              <w:spacing w:before="120" w:after="120" w:line="336" w:lineRule="auto"/>
            </w:pPr>
            <w:r>
              <w:rPr>
                <w:rFonts w:ascii="Roboto Bold" w:eastAsia="Roboto Bold" w:hAnsi="Roboto Bold" w:cs="Roboto Bold"/>
                <w:b/>
                <w:bCs/>
                <w:color w:val="FFFFFF"/>
                <w:sz w:val="26"/>
                <w:szCs w:val="26"/>
              </w:rPr>
              <w:t xml:space="preserve">Observation </w:t>
            </w:r>
          </w:p>
        </w:tc>
      </w:tr>
      <w:tr w:rsidR="00522145" w14:paraId="1952BA5B" w14:textId="77777777">
        <w:tc>
          <w:tcPr>
            <w:tcW w:w="3010" w:type="dxa"/>
            <w:tcMar>
              <w:top w:w="150" w:type="dxa"/>
              <w:left w:w="150" w:type="dxa"/>
              <w:bottom w:w="150" w:type="dxa"/>
              <w:right w:w="150" w:type="dxa"/>
            </w:tcMar>
          </w:tcPr>
          <w:p w14:paraId="21F3D011" w14:textId="77777777" w:rsidR="00522145" w:rsidRDefault="00000000">
            <w:pPr>
              <w:spacing w:before="120" w:after="120" w:line="336" w:lineRule="auto"/>
            </w:pPr>
            <w:r>
              <w:rPr>
                <w:rFonts w:ascii="Roboto Bold" w:eastAsia="Roboto Bold" w:hAnsi="Roboto Bold" w:cs="Roboto Bold"/>
                <w:b/>
                <w:bCs/>
                <w:color w:val="000000"/>
              </w:rPr>
              <w:t xml:space="preserve">Renewable Energy Growth  </w:t>
            </w:r>
          </w:p>
        </w:tc>
        <w:tc>
          <w:tcPr>
            <w:tcW w:w="693" w:type="dxa"/>
            <w:tcMar>
              <w:top w:w="150" w:type="dxa"/>
              <w:left w:w="150" w:type="dxa"/>
              <w:bottom w:w="150" w:type="dxa"/>
              <w:right w:w="150" w:type="dxa"/>
            </w:tcMar>
          </w:tcPr>
          <w:p w14:paraId="2181E815" w14:textId="77777777" w:rsidR="00522145" w:rsidRDefault="00000000">
            <w:pPr>
              <w:spacing w:before="120" w:after="120" w:line="336" w:lineRule="auto"/>
            </w:pPr>
            <w:r>
              <w:rPr>
                <w:rFonts w:ascii="Roboto Bold" w:eastAsia="Roboto Bold" w:hAnsi="Roboto Bold" w:cs="Roboto Bold"/>
                <w:b/>
                <w:bCs/>
                <w:color w:val="000000"/>
              </w:rPr>
              <w:t xml:space="preserve"> </w:t>
            </w:r>
          </w:p>
        </w:tc>
        <w:tc>
          <w:tcPr>
            <w:tcW w:w="5326" w:type="dxa"/>
            <w:tcMar>
              <w:top w:w="150" w:type="dxa"/>
              <w:left w:w="150" w:type="dxa"/>
              <w:bottom w:w="150" w:type="dxa"/>
              <w:right w:w="150" w:type="dxa"/>
            </w:tcMar>
          </w:tcPr>
          <w:p w14:paraId="0FB1212F" w14:textId="77777777" w:rsidR="00522145" w:rsidRDefault="00000000">
            <w:pPr>
              <w:spacing w:before="120" w:after="120" w:line="336" w:lineRule="auto"/>
            </w:pPr>
            <w:r>
              <w:rPr>
                <w:rFonts w:ascii="Roboto Bold" w:eastAsia="Roboto Bold" w:hAnsi="Roboto Bold" w:cs="Roboto Bold"/>
                <w:b/>
                <w:bCs/>
                <w:color w:val="000000"/>
              </w:rPr>
              <w:t>Example:</w:t>
            </w:r>
            <w:r>
              <w:rPr>
                <w:rFonts w:ascii="Roboto" w:eastAsia="Roboto" w:hAnsi="Roboto" w:cs="Roboto"/>
                <w:color w:val="000000"/>
              </w:rPr>
              <w:t xml:space="preserve"> Consistent growth aligns with client’s long-term growth objectives. </w:t>
            </w:r>
          </w:p>
        </w:tc>
      </w:tr>
      <w:tr w:rsidR="00522145" w14:paraId="1C67B1E9" w14:textId="77777777">
        <w:tc>
          <w:tcPr>
            <w:tcW w:w="3010" w:type="dxa"/>
            <w:tcMar>
              <w:top w:w="150" w:type="dxa"/>
              <w:left w:w="150" w:type="dxa"/>
              <w:bottom w:w="150" w:type="dxa"/>
              <w:right w:w="150" w:type="dxa"/>
            </w:tcMar>
          </w:tcPr>
          <w:p w14:paraId="15C3E3F7" w14:textId="77777777" w:rsidR="00522145" w:rsidRDefault="00000000">
            <w:pPr>
              <w:spacing w:before="120" w:after="120" w:line="336" w:lineRule="auto"/>
            </w:pPr>
            <w:r>
              <w:rPr>
                <w:rFonts w:ascii="Roboto Bold" w:eastAsia="Roboto Bold" w:hAnsi="Roboto Bold" w:cs="Roboto Bold"/>
                <w:b/>
                <w:bCs/>
                <w:color w:val="000000"/>
              </w:rPr>
              <w:t xml:space="preserve">Technology Decline </w:t>
            </w:r>
          </w:p>
        </w:tc>
        <w:tc>
          <w:tcPr>
            <w:tcW w:w="693" w:type="dxa"/>
            <w:tcMar>
              <w:top w:w="150" w:type="dxa"/>
              <w:left w:w="150" w:type="dxa"/>
              <w:bottom w:w="150" w:type="dxa"/>
              <w:right w:w="150" w:type="dxa"/>
            </w:tcMar>
          </w:tcPr>
          <w:p w14:paraId="170D4955" w14:textId="77777777" w:rsidR="00522145" w:rsidRDefault="00000000">
            <w:pPr>
              <w:spacing w:before="120" w:after="120" w:line="336" w:lineRule="auto"/>
            </w:pPr>
            <w:r>
              <w:rPr>
                <w:rFonts w:ascii="Roboto Bold" w:eastAsia="Roboto Bold" w:hAnsi="Roboto Bold" w:cs="Roboto Bold"/>
                <w:b/>
                <w:bCs/>
                <w:color w:val="000000"/>
              </w:rPr>
              <w:t xml:space="preserve"> </w:t>
            </w:r>
          </w:p>
        </w:tc>
        <w:tc>
          <w:tcPr>
            <w:tcW w:w="5326" w:type="dxa"/>
            <w:tcMar>
              <w:top w:w="150" w:type="dxa"/>
              <w:left w:w="150" w:type="dxa"/>
              <w:bottom w:w="150" w:type="dxa"/>
              <w:right w:w="150" w:type="dxa"/>
            </w:tcMar>
          </w:tcPr>
          <w:p w14:paraId="73C30A1B" w14:textId="77777777" w:rsidR="00522145" w:rsidRDefault="00000000">
            <w:pPr>
              <w:spacing w:before="120" w:after="120" w:line="336" w:lineRule="auto"/>
            </w:pPr>
            <w:r>
              <w:rPr>
                <w:rFonts w:ascii="Roboto Bold" w:eastAsia="Roboto Bold" w:hAnsi="Roboto Bold" w:cs="Roboto Bold"/>
                <w:b/>
                <w:bCs/>
                <w:color w:val="000000"/>
              </w:rPr>
              <w:t>Example:</w:t>
            </w:r>
            <w:r>
              <w:rPr>
                <w:rFonts w:ascii="Roboto" w:eastAsia="Roboto" w:hAnsi="Roboto" w:cs="Roboto"/>
                <w:color w:val="000000"/>
              </w:rPr>
              <w:t xml:space="preserve"> Volatility is high; consider reducing short-term exposure.  </w:t>
            </w:r>
          </w:p>
        </w:tc>
      </w:tr>
      <w:tr w:rsidR="00522145" w14:paraId="6DD4A39C" w14:textId="77777777">
        <w:tc>
          <w:tcPr>
            <w:tcW w:w="3010" w:type="dxa"/>
            <w:tcMar>
              <w:top w:w="150" w:type="dxa"/>
              <w:left w:w="150" w:type="dxa"/>
              <w:bottom w:w="150" w:type="dxa"/>
              <w:right w:w="150" w:type="dxa"/>
            </w:tcMar>
          </w:tcPr>
          <w:p w14:paraId="5120F41C" w14:textId="77777777" w:rsidR="00522145" w:rsidRDefault="00000000">
            <w:pPr>
              <w:spacing w:before="120" w:after="120" w:line="336" w:lineRule="auto"/>
            </w:pPr>
            <w:r>
              <w:rPr>
                <w:rFonts w:ascii="Roboto Bold" w:eastAsia="Roboto Bold" w:hAnsi="Roboto Bold" w:cs="Roboto Bold"/>
                <w:b/>
                <w:bCs/>
                <w:color w:val="000000"/>
              </w:rPr>
              <w:t xml:space="preserve">Real Estate Stability  </w:t>
            </w:r>
          </w:p>
        </w:tc>
        <w:tc>
          <w:tcPr>
            <w:tcW w:w="693" w:type="dxa"/>
            <w:tcMar>
              <w:top w:w="150" w:type="dxa"/>
              <w:left w:w="150" w:type="dxa"/>
              <w:bottom w:w="150" w:type="dxa"/>
              <w:right w:w="150" w:type="dxa"/>
            </w:tcMar>
          </w:tcPr>
          <w:p w14:paraId="7841C669" w14:textId="77777777" w:rsidR="00522145" w:rsidRDefault="00000000">
            <w:pPr>
              <w:spacing w:before="120" w:after="120" w:line="336" w:lineRule="auto"/>
            </w:pPr>
            <w:r>
              <w:rPr>
                <w:rFonts w:ascii="Roboto Bold" w:eastAsia="Roboto Bold" w:hAnsi="Roboto Bold" w:cs="Roboto Bold"/>
                <w:b/>
                <w:bCs/>
                <w:color w:val="000000"/>
              </w:rPr>
              <w:t xml:space="preserve"> </w:t>
            </w:r>
          </w:p>
        </w:tc>
        <w:tc>
          <w:tcPr>
            <w:tcW w:w="5326" w:type="dxa"/>
            <w:tcMar>
              <w:top w:w="150" w:type="dxa"/>
              <w:left w:w="150" w:type="dxa"/>
              <w:bottom w:w="150" w:type="dxa"/>
              <w:right w:w="150" w:type="dxa"/>
            </w:tcMar>
          </w:tcPr>
          <w:p w14:paraId="0E65AE19" w14:textId="77777777" w:rsidR="00522145" w:rsidRDefault="00000000">
            <w:pPr>
              <w:spacing w:before="120" w:after="120" w:line="336" w:lineRule="auto"/>
            </w:pPr>
            <w:r>
              <w:rPr>
                <w:rFonts w:ascii="Roboto Bold" w:eastAsia="Roboto Bold" w:hAnsi="Roboto Bold" w:cs="Roboto Bold"/>
                <w:b/>
                <w:bCs/>
                <w:color w:val="000000"/>
              </w:rPr>
              <w:t>Example:</w:t>
            </w:r>
            <w:r>
              <w:rPr>
                <w:rFonts w:ascii="Roboto" w:eastAsia="Roboto" w:hAnsi="Roboto" w:cs="Roboto"/>
                <w:color w:val="000000"/>
              </w:rPr>
              <w:t xml:space="preserve"> Stable performance supports </w:t>
            </w:r>
            <w:r>
              <w:rPr>
                <w:rFonts w:ascii="Roboto" w:eastAsia="Roboto" w:hAnsi="Roboto" w:cs="Roboto"/>
                <w:color w:val="000000"/>
              </w:rPr>
              <w:lastRenderedPageBreak/>
              <w:t xml:space="preserve">portfolio stability.  </w:t>
            </w:r>
          </w:p>
        </w:tc>
      </w:tr>
      <w:tr w:rsidR="00522145" w14:paraId="66ABEE17" w14:textId="77777777">
        <w:tc>
          <w:tcPr>
            <w:tcW w:w="3010" w:type="dxa"/>
            <w:tcMar>
              <w:top w:w="150" w:type="dxa"/>
              <w:left w:w="150" w:type="dxa"/>
              <w:bottom w:w="150" w:type="dxa"/>
              <w:right w:w="150" w:type="dxa"/>
            </w:tcMar>
          </w:tcPr>
          <w:p w14:paraId="11959029" w14:textId="77777777" w:rsidR="00522145" w:rsidRDefault="00000000">
            <w:pPr>
              <w:spacing w:before="120" w:after="120" w:line="336" w:lineRule="auto"/>
            </w:pPr>
            <w:r>
              <w:rPr>
                <w:rFonts w:ascii="Roboto Bold" w:eastAsia="Roboto Bold" w:hAnsi="Roboto Bold" w:cs="Roboto Bold"/>
                <w:b/>
                <w:bCs/>
                <w:color w:val="000000"/>
              </w:rPr>
              <w:lastRenderedPageBreak/>
              <w:t xml:space="preserve">VIX (Volatility Index) </w:t>
            </w:r>
          </w:p>
        </w:tc>
        <w:tc>
          <w:tcPr>
            <w:tcW w:w="693" w:type="dxa"/>
            <w:tcMar>
              <w:top w:w="150" w:type="dxa"/>
              <w:left w:w="150" w:type="dxa"/>
              <w:bottom w:w="150" w:type="dxa"/>
              <w:right w:w="150" w:type="dxa"/>
            </w:tcMar>
          </w:tcPr>
          <w:p w14:paraId="31C82B5E" w14:textId="77777777" w:rsidR="00522145" w:rsidRDefault="00000000">
            <w:pPr>
              <w:spacing w:before="120" w:after="120" w:line="336" w:lineRule="auto"/>
            </w:pPr>
            <w:r>
              <w:rPr>
                <w:rFonts w:ascii="Roboto Bold" w:eastAsia="Roboto Bold" w:hAnsi="Roboto Bold" w:cs="Roboto Bold"/>
                <w:b/>
                <w:bCs/>
                <w:color w:val="000000"/>
              </w:rPr>
              <w:t xml:space="preserve"> </w:t>
            </w:r>
          </w:p>
        </w:tc>
        <w:tc>
          <w:tcPr>
            <w:tcW w:w="5326" w:type="dxa"/>
            <w:tcMar>
              <w:top w:w="150" w:type="dxa"/>
              <w:left w:w="150" w:type="dxa"/>
              <w:bottom w:w="150" w:type="dxa"/>
              <w:right w:w="150" w:type="dxa"/>
            </w:tcMar>
          </w:tcPr>
          <w:p w14:paraId="67349102" w14:textId="77777777" w:rsidR="00522145" w:rsidRDefault="00000000">
            <w:pPr>
              <w:spacing w:before="120" w:after="120" w:line="336" w:lineRule="auto"/>
            </w:pPr>
            <w:r>
              <w:rPr>
                <w:rFonts w:ascii="Roboto Bold" w:eastAsia="Roboto Bold" w:hAnsi="Roboto Bold" w:cs="Roboto Bold"/>
                <w:b/>
                <w:bCs/>
                <w:color w:val="000000"/>
              </w:rPr>
              <w:t>Example:</w:t>
            </w:r>
            <w:r>
              <w:rPr>
                <w:rFonts w:ascii="Roboto" w:eastAsia="Roboto" w:hAnsi="Roboto" w:cs="Roboto"/>
                <w:color w:val="000000"/>
              </w:rPr>
              <w:t xml:space="preserve"> High volatility indicates market uncertainty and potential risks.  </w:t>
            </w:r>
          </w:p>
        </w:tc>
      </w:tr>
      <w:tr w:rsidR="00522145" w14:paraId="11C80FA6" w14:textId="77777777">
        <w:tc>
          <w:tcPr>
            <w:tcW w:w="3010" w:type="dxa"/>
            <w:tcMar>
              <w:top w:w="150" w:type="dxa"/>
              <w:left w:w="150" w:type="dxa"/>
              <w:bottom w:w="150" w:type="dxa"/>
              <w:right w:w="150" w:type="dxa"/>
            </w:tcMar>
          </w:tcPr>
          <w:p w14:paraId="6CD9C590" w14:textId="77777777" w:rsidR="00522145" w:rsidRDefault="00000000">
            <w:pPr>
              <w:spacing w:before="120" w:after="120" w:line="336" w:lineRule="auto"/>
            </w:pPr>
            <w:r>
              <w:rPr>
                <w:rFonts w:ascii="Roboto Bold" w:eastAsia="Roboto Bold" w:hAnsi="Roboto Bold" w:cs="Roboto Bold"/>
                <w:b/>
                <w:bCs/>
                <w:color w:val="000000"/>
              </w:rPr>
              <w:t xml:space="preserve">Interest Rates  </w:t>
            </w:r>
          </w:p>
        </w:tc>
        <w:tc>
          <w:tcPr>
            <w:tcW w:w="693" w:type="dxa"/>
            <w:tcMar>
              <w:top w:w="150" w:type="dxa"/>
              <w:left w:w="150" w:type="dxa"/>
              <w:bottom w:w="150" w:type="dxa"/>
              <w:right w:w="150" w:type="dxa"/>
            </w:tcMar>
          </w:tcPr>
          <w:p w14:paraId="797D2403" w14:textId="77777777" w:rsidR="00522145" w:rsidRDefault="00000000">
            <w:pPr>
              <w:spacing w:before="120" w:after="120" w:line="336" w:lineRule="auto"/>
            </w:pPr>
            <w:r>
              <w:rPr>
                <w:rFonts w:ascii="Roboto Bold" w:eastAsia="Roboto Bold" w:hAnsi="Roboto Bold" w:cs="Roboto Bold"/>
                <w:b/>
                <w:bCs/>
                <w:color w:val="000000"/>
              </w:rPr>
              <w:t xml:space="preserve"> </w:t>
            </w:r>
          </w:p>
        </w:tc>
        <w:tc>
          <w:tcPr>
            <w:tcW w:w="5326" w:type="dxa"/>
            <w:tcMar>
              <w:top w:w="150" w:type="dxa"/>
              <w:left w:w="150" w:type="dxa"/>
              <w:bottom w:w="150" w:type="dxa"/>
              <w:right w:w="150" w:type="dxa"/>
            </w:tcMar>
          </w:tcPr>
          <w:p w14:paraId="50DB8D49" w14:textId="2D178138" w:rsidR="00522145" w:rsidRDefault="00000000">
            <w:pPr>
              <w:spacing w:before="120" w:after="120" w:line="336" w:lineRule="auto"/>
            </w:pPr>
            <w:r>
              <w:rPr>
                <w:rFonts w:ascii="Roboto Bold" w:eastAsia="Roboto Bold" w:hAnsi="Roboto Bold" w:cs="Roboto Bold"/>
                <w:b/>
                <w:bCs/>
                <w:color w:val="000000"/>
              </w:rPr>
              <w:t xml:space="preserve">Example: </w:t>
            </w:r>
            <w:r>
              <w:rPr>
                <w:rFonts w:ascii="Roboto" w:eastAsia="Roboto" w:hAnsi="Roboto" w:cs="Roboto"/>
                <w:color w:val="000000"/>
              </w:rPr>
              <w:t xml:space="preserve">Rising rates could impact growth </w:t>
            </w:r>
            <w:r w:rsidR="000776B4">
              <w:rPr>
                <w:rFonts w:ascii="Roboto" w:eastAsia="Roboto" w:hAnsi="Roboto" w:cs="Roboto"/>
                <w:color w:val="000000"/>
              </w:rPr>
              <w:t xml:space="preserve">in </w:t>
            </w:r>
            <w:r>
              <w:rPr>
                <w:rFonts w:ascii="Roboto" w:eastAsia="Roboto" w:hAnsi="Roboto" w:cs="Roboto"/>
                <w:color w:val="000000"/>
              </w:rPr>
              <w:t xml:space="preserve">sectors like Technology. </w:t>
            </w:r>
          </w:p>
        </w:tc>
      </w:tr>
    </w:tbl>
    <w:p w14:paraId="430D1CE2" w14:textId="77777777" w:rsidR="00522145" w:rsidRDefault="00000000">
      <w:pPr>
        <w:spacing w:before="120" w:after="120" w:line="336" w:lineRule="auto"/>
      </w:pPr>
      <w:r>
        <w:rPr>
          <w:rFonts w:ascii="Roboto Bold" w:eastAsia="Roboto Bold" w:hAnsi="Roboto Bold" w:cs="Roboto Bold"/>
          <w:b/>
          <w:bCs/>
          <w:color w:val="000000"/>
        </w:rPr>
        <w:t xml:space="preserve"> </w:t>
      </w:r>
    </w:p>
    <w:p w14:paraId="6919F22D" w14:textId="77777777" w:rsidR="00522145" w:rsidRDefault="00522145">
      <w:pPr>
        <w:pBdr>
          <w:bottom w:val="single" w:sz="6" w:space="0" w:color="DC1431"/>
        </w:pBdr>
        <w:spacing w:before="120" w:after="120" w:line="0" w:lineRule="auto"/>
      </w:pPr>
    </w:p>
    <w:p w14:paraId="236C8DA7" w14:textId="617DEFB9" w:rsidR="00522145" w:rsidRDefault="000776B4">
      <w:pPr>
        <w:spacing w:before="120" w:after="120" w:line="336" w:lineRule="auto"/>
      </w:pPr>
      <w:r>
        <w:rPr>
          <w:rFonts w:ascii="Roboto Bold" w:eastAsia="Roboto Bold" w:hAnsi="Roboto Bold" w:cs="Roboto Bold"/>
          <w:b/>
          <w:bCs/>
          <w:color w:val="012169"/>
          <w:sz w:val="28"/>
          <w:szCs w:val="28"/>
        </w:rPr>
        <w:br/>
        <w:t>Section 4: Recommendations Summary</w:t>
      </w:r>
      <w:r>
        <w:rPr>
          <w:rFonts w:ascii="Roboto" w:eastAsia="Roboto" w:hAnsi="Roboto" w:cs="Roboto"/>
          <w:color w:val="012169"/>
          <w:sz w:val="28"/>
          <w:szCs w:val="28"/>
        </w:rPr>
        <w:t xml:space="preserve"> </w:t>
      </w:r>
    </w:p>
    <w:p w14:paraId="16830953" w14:textId="77777777" w:rsidR="00522145" w:rsidRDefault="00000000">
      <w:pPr>
        <w:spacing w:before="120" w:after="120" w:line="336" w:lineRule="auto"/>
      </w:pPr>
      <w:r>
        <w:rPr>
          <w:rFonts w:ascii="Roboto Bold" w:eastAsia="Roboto Bold" w:hAnsi="Roboto Bold" w:cs="Roboto Bold"/>
          <w:b/>
          <w:bCs/>
          <w:color w:val="000000"/>
        </w:rPr>
        <w:t>Guiding Questions:</w:t>
      </w:r>
      <w:r>
        <w:rPr>
          <w:rFonts w:ascii="Roboto" w:eastAsia="Roboto" w:hAnsi="Roboto" w:cs="Roboto"/>
          <w:color w:val="000000"/>
        </w:rPr>
        <w:t xml:space="preserve"> </w:t>
      </w:r>
    </w:p>
    <w:p w14:paraId="3C097DD5" w14:textId="77777777" w:rsidR="00522145" w:rsidRDefault="00000000">
      <w:pPr>
        <w:numPr>
          <w:ilvl w:val="0"/>
          <w:numId w:val="1"/>
        </w:numPr>
        <w:spacing w:after="0" w:line="336" w:lineRule="auto"/>
      </w:pPr>
      <w:r>
        <w:rPr>
          <w:rFonts w:ascii="Roboto" w:eastAsia="Roboto" w:hAnsi="Roboto" w:cs="Roboto"/>
          <w:color w:val="000000"/>
        </w:rPr>
        <w:t xml:space="preserve">What are the top three actions Horizon Capital should take? </w:t>
      </w:r>
    </w:p>
    <w:p w14:paraId="532D358F" w14:textId="77777777" w:rsidR="00522145" w:rsidRDefault="00000000">
      <w:pPr>
        <w:numPr>
          <w:ilvl w:val="0"/>
          <w:numId w:val="1"/>
        </w:numPr>
        <w:spacing w:after="0" w:line="336" w:lineRule="auto"/>
      </w:pPr>
      <w:r>
        <w:rPr>
          <w:rFonts w:ascii="Roboto" w:eastAsia="Roboto" w:hAnsi="Roboto" w:cs="Roboto"/>
          <w:color w:val="000000"/>
        </w:rPr>
        <w:t xml:space="preserve">How do these actions align with their goals of agility and long-term growth? </w:t>
      </w:r>
    </w:p>
    <w:p w14:paraId="086C9F58" w14:textId="77777777" w:rsidR="00522145" w:rsidRDefault="00000000">
      <w:pPr>
        <w:spacing w:before="120" w:after="120" w:line="336" w:lineRule="auto"/>
      </w:pPr>
      <w:r>
        <w:rPr>
          <w:rFonts w:ascii="Roboto Bold" w:eastAsia="Roboto Bold" w:hAnsi="Roboto Bold" w:cs="Roboto Bold"/>
          <w:b/>
          <w:bCs/>
          <w:color w:val="000000"/>
        </w:rPr>
        <w:t>Actionable Recommendations:</w:t>
      </w:r>
      <w:r>
        <w:rPr>
          <w:rFonts w:ascii="Roboto" w:eastAsia="Roboto" w:hAnsi="Roboto" w:cs="Roboto"/>
          <w:color w:val="000000"/>
        </w:rPr>
        <w:t xml:space="preserve"> </w:t>
      </w:r>
    </w:p>
    <w:p w14:paraId="4A29B821" w14:textId="77777777" w:rsidR="00522145" w:rsidRDefault="00000000">
      <w:pPr>
        <w:spacing w:before="120" w:after="120" w:line="336" w:lineRule="auto"/>
      </w:pPr>
      <w:r>
        <w:rPr>
          <w:rFonts w:ascii="Roboto" w:eastAsia="Roboto" w:hAnsi="Roboto" w:cs="Roboto"/>
          <w:color w:val="000000"/>
        </w:rPr>
        <w:t xml:space="preserve">1. </w:t>
      </w:r>
    </w:p>
    <w:p w14:paraId="3D899691" w14:textId="77777777" w:rsidR="00522145" w:rsidRDefault="00000000">
      <w:pPr>
        <w:spacing w:before="120" w:after="120" w:line="336" w:lineRule="auto"/>
      </w:pPr>
      <w:r>
        <w:rPr>
          <w:rFonts w:ascii="Roboto" w:eastAsia="Roboto" w:hAnsi="Roboto" w:cs="Roboto"/>
          <w:color w:val="000000"/>
        </w:rPr>
        <w:t xml:space="preserve">2. </w:t>
      </w:r>
    </w:p>
    <w:p w14:paraId="62620494" w14:textId="5A2B7C5D" w:rsidR="00522145" w:rsidRDefault="00000000">
      <w:pPr>
        <w:spacing w:before="120" w:after="120" w:line="336" w:lineRule="auto"/>
      </w:pPr>
      <w:r>
        <w:rPr>
          <w:rFonts w:ascii="Roboto" w:eastAsia="Roboto" w:hAnsi="Roboto" w:cs="Roboto"/>
          <w:color w:val="000000"/>
        </w:rPr>
        <w:t>3.</w:t>
      </w:r>
      <w:r>
        <w:rPr>
          <w:rFonts w:ascii="Roboto" w:eastAsia="Roboto" w:hAnsi="Roboto" w:cs="Roboto"/>
          <w:color w:val="000000"/>
        </w:rPr>
        <w:br/>
        <w:t xml:space="preserve"> </w:t>
      </w:r>
    </w:p>
    <w:p w14:paraId="65567BAD" w14:textId="77777777" w:rsidR="00522145" w:rsidRDefault="00522145">
      <w:pPr>
        <w:pBdr>
          <w:bottom w:val="single" w:sz="6" w:space="0" w:color="DC1431"/>
        </w:pBdr>
        <w:spacing w:before="120" w:after="120" w:line="0" w:lineRule="auto"/>
      </w:pPr>
    </w:p>
    <w:p w14:paraId="41D39ADA" w14:textId="376287EA" w:rsidR="00522145" w:rsidRDefault="000776B4">
      <w:pPr>
        <w:spacing w:before="120" w:after="120" w:line="336" w:lineRule="auto"/>
      </w:pPr>
      <w:r>
        <w:rPr>
          <w:rFonts w:ascii="Roboto Bold" w:eastAsia="Roboto Bold" w:hAnsi="Roboto Bold" w:cs="Roboto Bold"/>
          <w:b/>
          <w:bCs/>
          <w:color w:val="012169"/>
          <w:sz w:val="28"/>
          <w:szCs w:val="28"/>
        </w:rPr>
        <w:br/>
        <w:t>Section 5: Supporting Data</w:t>
      </w:r>
      <w:r>
        <w:rPr>
          <w:rFonts w:ascii="Roboto" w:eastAsia="Roboto" w:hAnsi="Roboto" w:cs="Roboto"/>
          <w:color w:val="012169"/>
          <w:sz w:val="28"/>
          <w:szCs w:val="28"/>
        </w:rPr>
        <w:t xml:space="preserve"> </w:t>
      </w:r>
    </w:p>
    <w:p w14:paraId="6DE87276" w14:textId="77777777" w:rsidR="00522145" w:rsidRDefault="00000000">
      <w:pPr>
        <w:spacing w:before="120" w:after="120" w:line="336" w:lineRule="auto"/>
      </w:pPr>
      <w:r>
        <w:rPr>
          <w:rFonts w:ascii="Roboto Bold" w:eastAsia="Roboto Bold" w:hAnsi="Roboto Bold" w:cs="Roboto Bold"/>
          <w:b/>
          <w:bCs/>
          <w:color w:val="000000"/>
        </w:rPr>
        <w:t>Instructions:</w:t>
      </w:r>
      <w:r>
        <w:rPr>
          <w:rFonts w:ascii="Roboto" w:eastAsia="Roboto" w:hAnsi="Roboto" w:cs="Roboto"/>
          <w:color w:val="000000"/>
        </w:rPr>
        <w:t xml:space="preserve"> Use this space to list key data points or trends that support your recommendations. Ensure your analysis is data-driven and aligns with Horizon Capital’s risk tolerance and objectives. </w:t>
      </w:r>
    </w:p>
    <w:p w14:paraId="097C0DD5" w14:textId="77777777" w:rsidR="00522145" w:rsidRDefault="00000000">
      <w:pPr>
        <w:spacing w:before="120" w:after="120" w:line="336" w:lineRule="auto"/>
      </w:pPr>
      <w:r>
        <w:rPr>
          <w:rFonts w:ascii="Roboto" w:eastAsia="Roboto" w:hAnsi="Roboto" w:cs="Roboto"/>
          <w:color w:val="000000"/>
        </w:rPr>
        <w:t xml:space="preserve">1. </w:t>
      </w:r>
    </w:p>
    <w:p w14:paraId="772B6CAF" w14:textId="77777777" w:rsidR="00522145" w:rsidRDefault="00000000">
      <w:pPr>
        <w:spacing w:before="120" w:after="120" w:line="336" w:lineRule="auto"/>
      </w:pPr>
      <w:r>
        <w:rPr>
          <w:rFonts w:ascii="Roboto" w:eastAsia="Roboto" w:hAnsi="Roboto" w:cs="Roboto"/>
          <w:color w:val="000000"/>
        </w:rPr>
        <w:t xml:space="preserve">2. </w:t>
      </w:r>
    </w:p>
    <w:p w14:paraId="57F55A47" w14:textId="77777777" w:rsidR="00522145" w:rsidRDefault="00000000">
      <w:pPr>
        <w:spacing w:before="120" w:after="120" w:line="336" w:lineRule="auto"/>
      </w:pPr>
      <w:r>
        <w:rPr>
          <w:rFonts w:ascii="Roboto" w:eastAsia="Roboto" w:hAnsi="Roboto" w:cs="Roboto"/>
          <w:color w:val="000000"/>
        </w:rPr>
        <w:t xml:space="preserve">3. </w:t>
      </w:r>
    </w:p>
    <w:p w14:paraId="7A95346D" w14:textId="77777777" w:rsidR="00522145" w:rsidRDefault="00000000">
      <w:pPr>
        <w:spacing w:before="120" w:after="120" w:line="336" w:lineRule="auto"/>
      </w:pPr>
      <w:r>
        <w:rPr>
          <w:rFonts w:ascii="Roboto" w:eastAsia="Roboto" w:hAnsi="Roboto" w:cs="Roboto"/>
          <w:color w:val="000000"/>
        </w:rPr>
        <w:t xml:space="preserve"> </w:t>
      </w:r>
    </w:p>
    <w:p w14:paraId="4909233F" w14:textId="77777777" w:rsidR="00522145" w:rsidRDefault="00522145">
      <w:pPr>
        <w:pBdr>
          <w:bottom w:val="single" w:sz="6" w:space="0" w:color="DC1431"/>
        </w:pBdr>
        <w:spacing w:before="120" w:after="120" w:line="0" w:lineRule="auto"/>
      </w:pPr>
    </w:p>
    <w:p w14:paraId="75ED867B" w14:textId="18ADF763" w:rsidR="00522145" w:rsidRDefault="00000000">
      <w:pPr>
        <w:spacing w:before="120" w:after="120" w:line="336" w:lineRule="auto"/>
      </w:pPr>
      <w:r>
        <w:rPr>
          <w:rFonts w:ascii="Roboto Bold" w:eastAsia="Roboto Bold" w:hAnsi="Roboto Bold" w:cs="Roboto Bold"/>
          <w:b/>
          <w:bCs/>
          <w:color w:val="000000"/>
        </w:rPr>
        <w:t xml:space="preserve">This worksheet is your tool for breaking down complex market data into actionable insights. Use it to ensure your analysis is thorough, structured, and aligned with client objectives. </w:t>
      </w:r>
    </w:p>
    <w:sectPr w:rsidR="00522145">
      <w:pgSz w:w="11910" w:h="16845"/>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F6449A04-EA2C-4F45-A35F-B294B58CAFA6}"/>
  </w:font>
  <w:font w:name="Times New Roman">
    <w:panose1 w:val="02020603050405020304"/>
    <w:charset w:val="00"/>
    <w:family w:val="roman"/>
    <w:pitch w:val="variable"/>
    <w:sig w:usb0="E0002EFF" w:usb1="C000785B" w:usb2="00000009" w:usb3="00000000" w:csb0="000001FF" w:csb1="00000000"/>
  </w:font>
  <w:font w:name="Roboto Bold">
    <w:charset w:val="00"/>
    <w:family w:val="auto"/>
    <w:pitch w:val="default"/>
    <w:embedBold r:id="rId2" w:fontKey="{77127F3F-9FF3-4B20-8788-60958B953D62}"/>
  </w:font>
  <w:font w:name="Roboto">
    <w:charset w:val="00"/>
    <w:family w:val="auto"/>
    <w:pitch w:val="variable"/>
    <w:sig w:usb0="E0000AFF" w:usb1="5000217F" w:usb2="00000021" w:usb3="00000000" w:csb0="0000019F" w:csb1="00000000"/>
    <w:embedRegular r:id="rId3" w:fontKey="{8528CE2F-3564-4B27-87F8-7FB03B5F4787}"/>
  </w:font>
  <w:font w:name="Cadiz">
    <w:altName w:val="Calibri"/>
    <w:charset w:val="00"/>
    <w:family w:val="auto"/>
    <w:pitch w:val="default"/>
  </w:font>
  <w:font w:name="Aptos Display">
    <w:charset w:val="00"/>
    <w:family w:val="swiss"/>
    <w:pitch w:val="variable"/>
    <w:sig w:usb0="20000287" w:usb1="00000003" w:usb2="00000000" w:usb3="00000000" w:csb0="0000019F" w:csb1="00000000"/>
    <w:embedRegular r:id="rId4" w:fontKey="{B4859447-39B4-4B3E-BB09-7F660A788056}"/>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E56B77"/>
    <w:multiLevelType w:val="hybridMultilevel"/>
    <w:tmpl w:val="1E68FF18"/>
    <w:lvl w:ilvl="0" w:tplc="CD04BF6E">
      <w:start w:val="1"/>
      <w:numFmt w:val="decimal"/>
      <w:lvlText w:val="%1."/>
      <w:lvlJc w:val="left"/>
      <w:pPr>
        <w:ind w:left="400" w:hanging="360"/>
      </w:pPr>
    </w:lvl>
    <w:lvl w:ilvl="1" w:tplc="63620B36">
      <w:start w:val="1"/>
      <w:numFmt w:val="lowerLetter"/>
      <w:lvlText w:val="%2."/>
      <w:lvlJc w:val="left"/>
      <w:pPr>
        <w:ind w:left="800" w:hanging="360"/>
      </w:pPr>
    </w:lvl>
    <w:lvl w:ilvl="2" w:tplc="79DEBC3C">
      <w:start w:val="1"/>
      <w:numFmt w:val="lowerRoman"/>
      <w:lvlText w:val="%3."/>
      <w:lvlJc w:val="right"/>
      <w:pPr>
        <w:ind w:left="1200" w:hanging="180"/>
      </w:pPr>
    </w:lvl>
    <w:lvl w:ilvl="3" w:tplc="DF0C5082">
      <w:start w:val="1"/>
      <w:numFmt w:val="decimal"/>
      <w:lvlText w:val="%4."/>
      <w:lvlJc w:val="left"/>
      <w:pPr>
        <w:ind w:left="1600" w:hanging="360"/>
      </w:pPr>
    </w:lvl>
    <w:lvl w:ilvl="4" w:tplc="F364DF24">
      <w:start w:val="1"/>
      <w:numFmt w:val="lowerLetter"/>
      <w:lvlText w:val="%5."/>
      <w:lvlJc w:val="left"/>
      <w:pPr>
        <w:ind w:left="2000" w:hanging="360"/>
      </w:pPr>
    </w:lvl>
    <w:lvl w:ilvl="5" w:tplc="095678C0">
      <w:start w:val="1"/>
      <w:numFmt w:val="lowerRoman"/>
      <w:lvlText w:val="%6."/>
      <w:lvlJc w:val="right"/>
      <w:pPr>
        <w:ind w:left="2400" w:hanging="180"/>
      </w:pPr>
    </w:lvl>
    <w:lvl w:ilvl="6" w:tplc="F5123B16">
      <w:start w:val="1"/>
      <w:numFmt w:val="decimal"/>
      <w:lvlText w:val="%7."/>
      <w:lvlJc w:val="left"/>
      <w:pPr>
        <w:ind w:left="2800" w:hanging="360"/>
      </w:pPr>
    </w:lvl>
    <w:lvl w:ilvl="7" w:tplc="20A81988">
      <w:start w:val="1"/>
      <w:numFmt w:val="lowerLetter"/>
      <w:lvlText w:val="%8."/>
      <w:lvlJc w:val="left"/>
      <w:pPr>
        <w:ind w:left="3200" w:hanging="360"/>
      </w:pPr>
    </w:lvl>
    <w:lvl w:ilvl="8" w:tplc="F92CCFD2">
      <w:numFmt w:val="decimal"/>
      <w:lvlText w:val=""/>
      <w:lvlJc w:val="left"/>
    </w:lvl>
  </w:abstractNum>
  <w:num w:numId="1" w16cid:durableId="133741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doNotShadeFormData/>
  <w:characterSpacingControl w:val="doNotCompress"/>
  <w:compat>
    <w:useFELayout/>
    <w:compatSetting w:name="compatibilityMode" w:uri="http://schemas.microsoft.com/office/word" w:val="12"/>
    <w:compatSetting w:name="useWord2013TrackBottomHyphenation" w:uri="http://schemas.microsoft.com/office/word" w:val="1"/>
  </w:compat>
  <w:rsids>
    <w:rsidRoot w:val="00522145"/>
    <w:rsid w:val="000776B4"/>
    <w:rsid w:val="004A2901"/>
    <w:rsid w:val="00522145"/>
    <w:rsid w:val="00D4011D"/>
    <w:rsid w:val="00DC5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5B9E"/>
  <w15:docId w15:val="{6DB23E76-6CB8-405B-89ED-1B511956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Tessa Lopes</cp:lastModifiedBy>
  <cp:revision>3</cp:revision>
  <dcterms:created xsi:type="dcterms:W3CDTF">2025-01-10T18:52:00Z</dcterms:created>
  <dcterms:modified xsi:type="dcterms:W3CDTF">2025-01-15T19:31:00Z</dcterms:modified>
</cp:coreProperties>
</file>