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6D8A" w14:textId="487FE1BA"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Assignment 6: Synthesis</w:t>
      </w:r>
      <w:r w:rsidRPr="00A5230C">
        <w:rPr>
          <w:rFonts w:ascii="Times New Roman" w:eastAsia="Times New Roman" w:hAnsi="Times New Roman" w:cs="Times New Roman"/>
          <w:color w:val="000000"/>
          <w:kern w:val="0"/>
          <w:sz w:val="22"/>
          <w:szCs w:val="22"/>
          <w14:ligatures w14:val="none"/>
        </w:rPr>
        <w:br/>
      </w:r>
      <w:r w:rsidRPr="00A5230C">
        <w:rPr>
          <w:rFonts w:ascii="Times New Roman" w:eastAsia="Times New Roman" w:hAnsi="Times New Roman" w:cs="Times New Roman"/>
          <w:b/>
          <w:bCs/>
          <w:color w:val="000000"/>
          <w:kern w:val="0"/>
          <w:sz w:val="22"/>
          <w:szCs w:val="22"/>
          <w14:ligatures w14:val="none"/>
        </w:rPr>
        <w:t>Thesis:</w:t>
      </w:r>
      <w:r w:rsidRPr="00A5230C">
        <w:rPr>
          <w:rFonts w:ascii="Times New Roman" w:eastAsia="Times New Roman" w:hAnsi="Times New Roman" w:cs="Times New Roman"/>
          <w:color w:val="000000"/>
          <w:kern w:val="0"/>
          <w:sz w:val="22"/>
          <w:szCs w:val="22"/>
          <w14:ligatures w14:val="none"/>
        </w:rPr>
        <w:t> </w:t>
      </w:r>
      <w:r w:rsidRPr="00A5230C">
        <w:rPr>
          <w:rFonts w:ascii="Times New Roman" w:eastAsia="Times New Roman" w:hAnsi="Times New Roman" w:cs="Times New Roman"/>
          <w:i/>
          <w:iCs/>
          <w:color w:val="000000"/>
          <w:kern w:val="0"/>
          <w:sz w:val="22"/>
          <w:szCs w:val="22"/>
          <w14:ligatures w14:val="none"/>
        </w:rPr>
        <w:t>Typographic Archives of Latino Life: New Media Alphabets in Southwestern Ontario</w:t>
      </w:r>
    </w:p>
    <w:p w14:paraId="4AE01595"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Topic and Justifications</w:t>
      </w:r>
    </w:p>
    <w:p w14:paraId="11A8D5CA"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This thesis examines how co-designed alphabets developed with Latino residents along the London-Sarnia corridor can document everyday life, question dominant typographic norms, test multilingual readability, and support ethical forms of representation.</w:t>
      </w:r>
    </w:p>
    <w:p w14:paraId="151E6600" w14:textId="661E4FE8" w:rsidR="00A5230C" w:rsidRPr="00A5230C" w:rsidRDefault="00987849"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The project</w:t>
      </w:r>
      <w:r w:rsidR="00A5230C" w:rsidRPr="00A5230C">
        <w:rPr>
          <w:rFonts w:ascii="Times New Roman" w:eastAsia="Times New Roman" w:hAnsi="Times New Roman" w:cs="Times New Roman"/>
          <w:color w:val="000000"/>
          <w:kern w:val="0"/>
          <w:sz w:val="22"/>
          <w:szCs w:val="22"/>
          <w14:ligatures w14:val="none"/>
        </w:rPr>
        <w:t xml:space="preserve"> project developed from a broad interest in typography and representation into a more focused research-creation framework with clearer methodological and ethical grounding.</w:t>
      </w:r>
    </w:p>
    <w:p w14:paraId="4A3BC9A5"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The work is organized through five interconnected inquiries:</w:t>
      </w:r>
    </w:p>
    <w:p w14:paraId="72B388E5"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Typography as archive</w:t>
      </w:r>
      <w:r w:rsidRPr="00A5230C">
        <w:rPr>
          <w:rFonts w:ascii="Times New Roman" w:eastAsia="Times New Roman" w:hAnsi="Times New Roman" w:cs="Times New Roman"/>
          <w:color w:val="000000"/>
          <w:kern w:val="0"/>
          <w:sz w:val="22"/>
          <w:szCs w:val="22"/>
          <w14:ligatures w14:val="none"/>
        </w:rPr>
        <w:br/>
        <w:t>This inquiry asks how typography can function not only as communication, but also as archive, evidence, testimony, and cultural record.</w:t>
      </w:r>
    </w:p>
    <w:p w14:paraId="6C979DBE"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Who defines good typography</w:t>
      </w:r>
      <w:r w:rsidRPr="00A5230C">
        <w:rPr>
          <w:rFonts w:ascii="Times New Roman" w:eastAsia="Times New Roman" w:hAnsi="Times New Roman" w:cs="Times New Roman"/>
          <w:color w:val="000000"/>
          <w:kern w:val="0"/>
          <w:sz w:val="22"/>
          <w:szCs w:val="22"/>
          <w14:ligatures w14:val="none"/>
        </w:rPr>
        <w:br/>
        <w:t>This inquiry examines how typographic quality, readability, correctness, and professionalism are shaped by institutions, dominant languages, and inherited design traditions rather than existing as universal standards.</w:t>
      </w:r>
    </w:p>
    <w:p w14:paraId="0F8B7916"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Typographic mechanics and multilingual reading</w:t>
      </w:r>
      <w:r w:rsidRPr="00A5230C">
        <w:rPr>
          <w:rFonts w:ascii="Times New Roman" w:eastAsia="Times New Roman" w:hAnsi="Times New Roman" w:cs="Times New Roman"/>
          <w:color w:val="000000"/>
          <w:kern w:val="0"/>
          <w:sz w:val="22"/>
          <w:szCs w:val="22"/>
          <w14:ligatures w14:val="none"/>
        </w:rPr>
        <w:br/>
        <w:t>This inquiry studies spacing, hierarchy, contrast, rhythm, paragraph structure, and other typographic mechanics as both technical and political decisions, since they reveal whose reading habits and language norms are being prioritized.</w:t>
      </w:r>
    </w:p>
    <w:p w14:paraId="74B10C98"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Ethical visibility</w:t>
      </w:r>
      <w:r w:rsidRPr="00A5230C">
        <w:rPr>
          <w:rFonts w:ascii="Times New Roman" w:eastAsia="Times New Roman" w:hAnsi="Times New Roman" w:cs="Times New Roman"/>
          <w:color w:val="000000"/>
          <w:kern w:val="0"/>
          <w:sz w:val="22"/>
          <w:szCs w:val="22"/>
          <w14:ligatures w14:val="none"/>
        </w:rPr>
        <w:br/>
        <w:t>This inquiry considers how representation can support visibility without becoming extractive, reductive, or detached from participants’ agency.</w:t>
      </w:r>
    </w:p>
    <w:p w14:paraId="473D079F"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Corridor life as visual ecology</w:t>
      </w:r>
      <w:r w:rsidRPr="00A5230C">
        <w:rPr>
          <w:rFonts w:ascii="Times New Roman" w:eastAsia="Times New Roman" w:hAnsi="Times New Roman" w:cs="Times New Roman"/>
          <w:color w:val="000000"/>
          <w:kern w:val="0"/>
          <w:sz w:val="22"/>
          <w:szCs w:val="22"/>
          <w14:ligatures w14:val="none"/>
        </w:rPr>
        <w:br/>
        <w:t>This inquiry understands the London-Sarnia corridor not simply as a backdrop, but as a lived environment shaped by commuting, labour, storefronts, churches, homes, and roadside signage that actively informs the project’s visual references and letterforms.</w:t>
      </w:r>
    </w:p>
    <w:p w14:paraId="68AD75FD" w14:textId="747B6F3F"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Each of these inquiries expands the project by identifying a hypothesis, a claim, and an explanation of why the question matters.</w:t>
      </w:r>
    </w:p>
    <w:p w14:paraId="7FF003F7"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Ways of Making and Methods</w:t>
      </w:r>
    </w:p>
    <w:p w14:paraId="35D5085A"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During the semester, I explored two main ways of making alongside related methodologies: </w:t>
      </w:r>
      <w:r w:rsidRPr="00A5230C">
        <w:rPr>
          <w:rFonts w:ascii="Times New Roman" w:eastAsia="Times New Roman" w:hAnsi="Times New Roman" w:cs="Times New Roman"/>
          <w:b/>
          <w:bCs/>
          <w:color w:val="000000"/>
          <w:kern w:val="0"/>
          <w:sz w:val="22"/>
          <w:szCs w:val="22"/>
          <w14:ligatures w14:val="none"/>
        </w:rPr>
        <w:t>printmaking</w:t>
      </w:r>
      <w:r w:rsidRPr="00A5230C">
        <w:rPr>
          <w:rFonts w:ascii="Times New Roman" w:eastAsia="Times New Roman" w:hAnsi="Times New Roman" w:cs="Times New Roman"/>
          <w:color w:val="000000"/>
          <w:kern w:val="0"/>
          <w:sz w:val="22"/>
          <w:szCs w:val="22"/>
          <w14:ligatures w14:val="none"/>
        </w:rPr>
        <w:t> and </w:t>
      </w:r>
      <w:r w:rsidRPr="00A5230C">
        <w:rPr>
          <w:rFonts w:ascii="Times New Roman" w:eastAsia="Times New Roman" w:hAnsi="Times New Roman" w:cs="Times New Roman"/>
          <w:b/>
          <w:bCs/>
          <w:color w:val="000000"/>
          <w:kern w:val="0"/>
          <w:sz w:val="22"/>
          <w:szCs w:val="22"/>
          <w14:ligatures w14:val="none"/>
        </w:rPr>
        <w:t>type design with typographic mechanics and variable font testing</w:t>
      </w:r>
      <w:r w:rsidRPr="00A5230C">
        <w:rPr>
          <w:rFonts w:ascii="Times New Roman" w:eastAsia="Times New Roman" w:hAnsi="Times New Roman" w:cs="Times New Roman"/>
          <w:color w:val="000000"/>
          <w:kern w:val="0"/>
          <w:sz w:val="22"/>
          <w:szCs w:val="22"/>
          <w14:ligatures w14:val="none"/>
        </w:rPr>
        <w:t>.</w:t>
      </w:r>
    </w:p>
    <w:p w14:paraId="48AE34A5" w14:textId="77777777" w:rsidR="00A5230C" w:rsidRPr="00A5230C" w:rsidRDefault="00A5230C" w:rsidP="00A5230C">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1. Printmaking</w:t>
      </w:r>
    </w:p>
    <w:p w14:paraId="5E267083"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Printmaking allowed me to explore </w:t>
      </w:r>
      <w:r w:rsidRPr="00A5230C">
        <w:rPr>
          <w:rFonts w:ascii="Times New Roman" w:eastAsia="Times New Roman" w:hAnsi="Times New Roman" w:cs="Times New Roman"/>
          <w:i/>
          <w:iCs/>
          <w:color w:val="000000"/>
          <w:kern w:val="0"/>
          <w:sz w:val="22"/>
          <w:szCs w:val="22"/>
          <w14:ligatures w14:val="none"/>
        </w:rPr>
        <w:t>Otavalo</w:t>
      </w:r>
      <w:r w:rsidRPr="00A5230C">
        <w:rPr>
          <w:rFonts w:ascii="Times New Roman" w:eastAsia="Times New Roman" w:hAnsi="Times New Roman" w:cs="Times New Roman"/>
          <w:color w:val="000000"/>
          <w:kern w:val="0"/>
          <w:sz w:val="22"/>
          <w:szCs w:val="22"/>
          <w14:ligatures w14:val="none"/>
        </w:rPr>
        <w:t> as a material and embodied typeface. Through this process, the typeface revealed texture, repetition, rhythm, and physical presence in ways that go beyond the screen. This became especially visible through the exhibition </w:t>
      </w:r>
      <w:r w:rsidRPr="00A5230C">
        <w:rPr>
          <w:rFonts w:ascii="Times New Roman" w:eastAsia="Times New Roman" w:hAnsi="Times New Roman" w:cs="Times New Roman"/>
          <w:i/>
          <w:iCs/>
          <w:color w:val="000000"/>
          <w:kern w:val="0"/>
          <w:sz w:val="22"/>
          <w:szCs w:val="22"/>
          <w14:ligatures w14:val="none"/>
        </w:rPr>
        <w:t>[LAB]YRINTH</w:t>
      </w:r>
      <w:r w:rsidRPr="00A5230C">
        <w:rPr>
          <w:rFonts w:ascii="Times New Roman" w:eastAsia="Times New Roman" w:hAnsi="Times New Roman" w:cs="Times New Roman"/>
          <w:color w:val="000000"/>
          <w:kern w:val="0"/>
          <w:sz w:val="22"/>
          <w:szCs w:val="22"/>
          <w14:ligatures w14:val="none"/>
        </w:rPr>
        <w:t>, where the work moved into installation, proofing, and public display.</w:t>
      </w:r>
    </w:p>
    <w:p w14:paraId="03B731E0" w14:textId="77777777" w:rsidR="00A5230C" w:rsidRPr="00A5230C" w:rsidRDefault="00A5230C" w:rsidP="00A5230C">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2. Type Design, Typographic Mechanics, and Variable Font Testing</w:t>
      </w:r>
    </w:p>
    <w:p w14:paraId="26012183"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lastRenderedPageBreak/>
        <w:t>Type design, typographic mechanics testing, and variable font development supported the growth of </w:t>
      </w:r>
      <w:r w:rsidRPr="00A5230C">
        <w:rPr>
          <w:rFonts w:ascii="Times New Roman" w:eastAsia="Times New Roman" w:hAnsi="Times New Roman" w:cs="Times New Roman"/>
          <w:i/>
          <w:iCs/>
          <w:color w:val="000000"/>
          <w:kern w:val="0"/>
          <w:sz w:val="22"/>
          <w:szCs w:val="22"/>
          <w14:ligatures w14:val="none"/>
        </w:rPr>
        <w:t>Otavalo</w:t>
      </w:r>
      <w:r w:rsidRPr="00A5230C">
        <w:rPr>
          <w:rFonts w:ascii="Times New Roman" w:eastAsia="Times New Roman" w:hAnsi="Times New Roman" w:cs="Times New Roman"/>
          <w:color w:val="000000"/>
          <w:kern w:val="0"/>
          <w:sz w:val="22"/>
          <w:szCs w:val="22"/>
          <w14:ligatures w14:val="none"/>
        </w:rPr>
        <w:t xml:space="preserve"> as both a conceptual and functional typeface. This process focused on spacing, hierarchy, legibility, multilingual character support, proofs, and specimens, while also using variable font workflows to test how the typeface behaves across different formal conditions. Working with Glyphs, </w:t>
      </w:r>
      <w:proofErr w:type="spellStart"/>
      <w:r w:rsidRPr="00A5230C">
        <w:rPr>
          <w:rFonts w:ascii="Times New Roman" w:eastAsia="Times New Roman" w:hAnsi="Times New Roman" w:cs="Times New Roman"/>
          <w:color w:val="000000"/>
          <w:kern w:val="0"/>
          <w:sz w:val="22"/>
          <w:szCs w:val="22"/>
          <w14:ligatures w14:val="none"/>
        </w:rPr>
        <w:t>RoboFont</w:t>
      </w:r>
      <w:proofErr w:type="spellEnd"/>
      <w:r w:rsidRPr="00A5230C">
        <w:rPr>
          <w:rFonts w:ascii="Times New Roman" w:eastAsia="Times New Roman" w:hAnsi="Times New Roman" w:cs="Times New Roman"/>
          <w:color w:val="000000"/>
          <w:kern w:val="0"/>
          <w:sz w:val="22"/>
          <w:szCs w:val="22"/>
          <w14:ligatures w14:val="none"/>
        </w:rPr>
        <w:t xml:space="preserve">, </w:t>
      </w:r>
      <w:proofErr w:type="spellStart"/>
      <w:r w:rsidRPr="00A5230C">
        <w:rPr>
          <w:rFonts w:ascii="Times New Roman" w:eastAsia="Times New Roman" w:hAnsi="Times New Roman" w:cs="Times New Roman"/>
          <w:color w:val="000000"/>
          <w:kern w:val="0"/>
          <w:sz w:val="22"/>
          <w:szCs w:val="22"/>
          <w14:ligatures w14:val="none"/>
        </w:rPr>
        <w:t>Fontra</w:t>
      </w:r>
      <w:proofErr w:type="spellEnd"/>
      <w:r w:rsidRPr="00A5230C">
        <w:rPr>
          <w:rFonts w:ascii="Times New Roman" w:eastAsia="Times New Roman" w:hAnsi="Times New Roman" w:cs="Times New Roman"/>
          <w:color w:val="000000"/>
          <w:kern w:val="0"/>
          <w:sz w:val="22"/>
          <w:szCs w:val="22"/>
          <w14:ligatures w14:val="none"/>
        </w:rPr>
        <w:t xml:space="preserve">, UFOs, and </w:t>
      </w:r>
      <w:proofErr w:type="spellStart"/>
      <w:r w:rsidRPr="00A5230C">
        <w:rPr>
          <w:rFonts w:ascii="Times New Roman" w:eastAsia="Times New Roman" w:hAnsi="Times New Roman" w:cs="Times New Roman"/>
          <w:color w:val="000000"/>
          <w:kern w:val="0"/>
          <w:sz w:val="22"/>
          <w:szCs w:val="22"/>
          <w14:ligatures w14:val="none"/>
        </w:rPr>
        <w:t>designspace</w:t>
      </w:r>
      <w:proofErr w:type="spellEnd"/>
      <w:r w:rsidRPr="00A5230C">
        <w:rPr>
          <w:rFonts w:ascii="Times New Roman" w:eastAsia="Times New Roman" w:hAnsi="Times New Roman" w:cs="Times New Roman"/>
          <w:color w:val="000000"/>
          <w:kern w:val="0"/>
          <w:sz w:val="22"/>
          <w:szCs w:val="22"/>
          <w14:ligatures w14:val="none"/>
        </w:rPr>
        <w:t xml:space="preserve"> logic allowed me to connect drawing, interpolation, testing, and export as part of one continuous process. Bringing variable font testing into this method helped me understand the typeface not only as a fixed form, but as a flexible system that can be adjusted, refined, and evaluated across multiple settings. This method connected the conceptual aims of the thesis with the formal and technical decisions involved in building a typeface.</w:t>
      </w:r>
    </w:p>
    <w:p w14:paraId="169BDD4C"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Bibliography and What It Supports</w:t>
      </w:r>
    </w:p>
    <w:p w14:paraId="74857463"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Typography as archive and discourse</w:t>
      </w:r>
      <w:r w:rsidRPr="00A5230C">
        <w:rPr>
          <w:rFonts w:ascii="Times New Roman" w:eastAsia="Times New Roman" w:hAnsi="Times New Roman" w:cs="Times New Roman"/>
          <w:color w:val="000000"/>
          <w:kern w:val="0"/>
          <w:sz w:val="22"/>
          <w:szCs w:val="22"/>
          <w14:ligatures w14:val="none"/>
        </w:rPr>
        <w:br/>
        <w:t>Waller, Beier, Spencer, Merleau-Ponty, and Nat Pyper support the idea of typography as evidence, memory, and co-created record.</w:t>
      </w:r>
    </w:p>
    <w:p w14:paraId="3ECEFA9E"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Typographic quality and mechanics</w:t>
      </w:r>
      <w:r w:rsidRPr="00A5230C">
        <w:rPr>
          <w:rFonts w:ascii="Times New Roman" w:eastAsia="Times New Roman" w:hAnsi="Times New Roman" w:cs="Times New Roman"/>
          <w:color w:val="000000"/>
          <w:kern w:val="0"/>
          <w:sz w:val="22"/>
          <w:szCs w:val="22"/>
          <w14:ligatures w14:val="none"/>
        </w:rPr>
        <w:br/>
        <w:t>Lund, Macdonald-Ross and Waller, Beier, Hochuli, and Ambrose, Harris, and Theodosiou support discussions of legibility, detail, hierarchy, spacing, and the critique of typographic norms.</w:t>
      </w:r>
    </w:p>
    <w:p w14:paraId="25715498"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Ethics and decoloniality</w:t>
      </w:r>
      <w:r w:rsidRPr="00A5230C">
        <w:rPr>
          <w:rFonts w:ascii="Times New Roman" w:eastAsia="Times New Roman" w:hAnsi="Times New Roman" w:cs="Times New Roman"/>
          <w:color w:val="000000"/>
          <w:kern w:val="0"/>
          <w:sz w:val="22"/>
          <w:szCs w:val="22"/>
          <w14:ligatures w14:val="none"/>
        </w:rPr>
        <w:br/>
        <w:t xml:space="preserve">Escobar, Schultz et al., </w:t>
      </w:r>
      <w:proofErr w:type="spellStart"/>
      <w:r w:rsidRPr="00A5230C">
        <w:rPr>
          <w:rFonts w:ascii="Times New Roman" w:eastAsia="Times New Roman" w:hAnsi="Times New Roman" w:cs="Times New Roman"/>
          <w:color w:val="000000"/>
          <w:kern w:val="0"/>
          <w:sz w:val="22"/>
          <w:szCs w:val="22"/>
          <w14:ligatures w14:val="none"/>
        </w:rPr>
        <w:t>Tashakkori</w:t>
      </w:r>
      <w:proofErr w:type="spellEnd"/>
      <w:r w:rsidRPr="00A5230C">
        <w:rPr>
          <w:rFonts w:ascii="Times New Roman" w:eastAsia="Times New Roman" w:hAnsi="Times New Roman" w:cs="Times New Roman"/>
          <w:color w:val="000000"/>
          <w:kern w:val="0"/>
          <w:sz w:val="22"/>
          <w:szCs w:val="22"/>
          <w14:ligatures w14:val="none"/>
        </w:rPr>
        <w:t xml:space="preserve"> and Teddlie, Tierney and Clemens, and Walford support the project’s thinking around visibility, consent, representation, and non-extractive participation.</w:t>
      </w:r>
    </w:p>
    <w:p w14:paraId="07C712DB"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Methods and making</w:t>
      </w:r>
      <w:r w:rsidRPr="00A5230C">
        <w:rPr>
          <w:rFonts w:ascii="Times New Roman" w:eastAsia="Times New Roman" w:hAnsi="Times New Roman" w:cs="Times New Roman"/>
          <w:color w:val="000000"/>
          <w:kern w:val="0"/>
          <w:sz w:val="22"/>
          <w:szCs w:val="22"/>
          <w14:ligatures w14:val="none"/>
        </w:rPr>
        <w:br/>
        <w:t xml:space="preserve">Print Club London, Kvale, Wheeldon and Ahlberg, Collins and Collins, Drucker, Griffin, Microsoft, Google Fonts, Glyphs, </w:t>
      </w:r>
      <w:proofErr w:type="spellStart"/>
      <w:r w:rsidRPr="00A5230C">
        <w:rPr>
          <w:rFonts w:ascii="Times New Roman" w:eastAsia="Times New Roman" w:hAnsi="Times New Roman" w:cs="Times New Roman"/>
          <w:color w:val="000000"/>
          <w:kern w:val="0"/>
          <w:sz w:val="22"/>
          <w:szCs w:val="22"/>
          <w14:ligatures w14:val="none"/>
        </w:rPr>
        <w:t>Fontra</w:t>
      </w:r>
      <w:proofErr w:type="spellEnd"/>
      <w:r w:rsidRPr="00A5230C">
        <w:rPr>
          <w:rFonts w:ascii="Times New Roman" w:eastAsia="Times New Roman" w:hAnsi="Times New Roman" w:cs="Times New Roman"/>
          <w:color w:val="000000"/>
          <w:kern w:val="0"/>
          <w:sz w:val="22"/>
          <w:szCs w:val="22"/>
          <w14:ligatures w14:val="none"/>
        </w:rPr>
        <w:t xml:space="preserve">, </w:t>
      </w:r>
      <w:proofErr w:type="spellStart"/>
      <w:r w:rsidRPr="00A5230C">
        <w:rPr>
          <w:rFonts w:ascii="Times New Roman" w:eastAsia="Times New Roman" w:hAnsi="Times New Roman" w:cs="Times New Roman"/>
          <w:color w:val="000000"/>
          <w:kern w:val="0"/>
          <w:sz w:val="22"/>
          <w:szCs w:val="22"/>
          <w14:ligatures w14:val="none"/>
        </w:rPr>
        <w:t>TypeCooker</w:t>
      </w:r>
      <w:proofErr w:type="spellEnd"/>
      <w:r w:rsidRPr="00A5230C">
        <w:rPr>
          <w:rFonts w:ascii="Times New Roman" w:eastAsia="Times New Roman" w:hAnsi="Times New Roman" w:cs="Times New Roman"/>
          <w:color w:val="000000"/>
          <w:kern w:val="0"/>
          <w:sz w:val="22"/>
          <w:szCs w:val="22"/>
          <w14:ligatures w14:val="none"/>
        </w:rPr>
        <w:t>, Brownie, and Wang support the project’s methods in printmaking, interviews, mapping, type specimens, variable fonts, and motion.</w:t>
      </w:r>
    </w:p>
    <w:p w14:paraId="0793BD66"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
    <w:p w14:paraId="156B0E62"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
    <w:p w14:paraId="2EDBCCA4" w14:textId="2559C965" w:rsidR="00476EFD" w:rsidRPr="00A5230C" w:rsidRDefault="00476EFD" w:rsidP="00A5230C">
      <w:pPr>
        <w:rPr>
          <w:rFonts w:ascii="Times New Roman" w:hAnsi="Times New Roman" w:cs="Times New Roman"/>
          <w:sz w:val="22"/>
          <w:szCs w:val="22"/>
        </w:rPr>
      </w:pPr>
    </w:p>
    <w:sectPr w:rsidR="00476EFD" w:rsidRPr="00A523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2BE5"/>
    <w:multiLevelType w:val="hybridMultilevel"/>
    <w:tmpl w:val="6A0CECA8"/>
    <w:lvl w:ilvl="0" w:tplc="5330EF1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A84ECE"/>
    <w:multiLevelType w:val="multilevel"/>
    <w:tmpl w:val="0FE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A4FBB"/>
    <w:multiLevelType w:val="multilevel"/>
    <w:tmpl w:val="D8B8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42842"/>
    <w:multiLevelType w:val="hybridMultilevel"/>
    <w:tmpl w:val="6FC8AAFA"/>
    <w:lvl w:ilvl="0" w:tplc="5330EF1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070651">
    <w:abstractNumId w:val="3"/>
  </w:num>
  <w:num w:numId="2" w16cid:durableId="296448765">
    <w:abstractNumId w:val="0"/>
  </w:num>
  <w:num w:numId="3" w16cid:durableId="1440639123">
    <w:abstractNumId w:val="2"/>
  </w:num>
  <w:num w:numId="4" w16cid:durableId="1954745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0C"/>
    <w:rsid w:val="000B3C4A"/>
    <w:rsid w:val="003B63B1"/>
    <w:rsid w:val="00476EFD"/>
    <w:rsid w:val="00501E14"/>
    <w:rsid w:val="00616ACB"/>
    <w:rsid w:val="00733216"/>
    <w:rsid w:val="008B5C83"/>
    <w:rsid w:val="00987849"/>
    <w:rsid w:val="00A5230C"/>
    <w:rsid w:val="00E96C08"/>
    <w:rsid w:val="00FA21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5838F9"/>
  <w15:chartTrackingRefBased/>
  <w15:docId w15:val="{0A09A14A-D07F-E046-AE62-CEF1D227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0C"/>
    <w:rPr>
      <w:rFonts w:eastAsiaTheme="majorEastAsia" w:cstheme="majorBidi"/>
      <w:color w:val="272727" w:themeColor="text1" w:themeTint="D8"/>
    </w:rPr>
  </w:style>
  <w:style w:type="paragraph" w:styleId="Title">
    <w:name w:val="Title"/>
    <w:basedOn w:val="Normal"/>
    <w:next w:val="Normal"/>
    <w:link w:val="TitleChar"/>
    <w:uiPriority w:val="10"/>
    <w:qFormat/>
    <w:rsid w:val="00A5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0C"/>
    <w:pPr>
      <w:spacing w:before="160"/>
      <w:jc w:val="center"/>
    </w:pPr>
    <w:rPr>
      <w:i/>
      <w:iCs/>
      <w:color w:val="404040" w:themeColor="text1" w:themeTint="BF"/>
    </w:rPr>
  </w:style>
  <w:style w:type="character" w:customStyle="1" w:styleId="QuoteChar">
    <w:name w:val="Quote Char"/>
    <w:basedOn w:val="DefaultParagraphFont"/>
    <w:link w:val="Quote"/>
    <w:uiPriority w:val="29"/>
    <w:rsid w:val="00A5230C"/>
    <w:rPr>
      <w:i/>
      <w:iCs/>
      <w:color w:val="404040" w:themeColor="text1" w:themeTint="BF"/>
    </w:rPr>
  </w:style>
  <w:style w:type="paragraph" w:styleId="ListParagraph">
    <w:name w:val="List Paragraph"/>
    <w:basedOn w:val="Normal"/>
    <w:uiPriority w:val="34"/>
    <w:qFormat/>
    <w:rsid w:val="00A5230C"/>
    <w:pPr>
      <w:ind w:left="720"/>
      <w:contextualSpacing/>
    </w:pPr>
  </w:style>
  <w:style w:type="character" w:styleId="IntenseEmphasis">
    <w:name w:val="Intense Emphasis"/>
    <w:basedOn w:val="DefaultParagraphFont"/>
    <w:uiPriority w:val="21"/>
    <w:qFormat/>
    <w:rsid w:val="00A5230C"/>
    <w:rPr>
      <w:i/>
      <w:iCs/>
      <w:color w:val="0F4761" w:themeColor="accent1" w:themeShade="BF"/>
    </w:rPr>
  </w:style>
  <w:style w:type="paragraph" w:styleId="IntenseQuote">
    <w:name w:val="Intense Quote"/>
    <w:basedOn w:val="Normal"/>
    <w:next w:val="Normal"/>
    <w:link w:val="IntenseQuoteChar"/>
    <w:uiPriority w:val="30"/>
    <w:qFormat/>
    <w:rsid w:val="00A52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30C"/>
    <w:rPr>
      <w:i/>
      <w:iCs/>
      <w:color w:val="0F4761" w:themeColor="accent1" w:themeShade="BF"/>
    </w:rPr>
  </w:style>
  <w:style w:type="character" w:styleId="IntenseReference">
    <w:name w:val="Intense Reference"/>
    <w:basedOn w:val="DefaultParagraphFont"/>
    <w:uiPriority w:val="32"/>
    <w:qFormat/>
    <w:rsid w:val="00A5230C"/>
    <w:rPr>
      <w:b/>
      <w:bCs/>
      <w:smallCaps/>
      <w:color w:val="0F4761" w:themeColor="accent1" w:themeShade="BF"/>
      <w:spacing w:val="5"/>
    </w:rPr>
  </w:style>
  <w:style w:type="paragraph" w:styleId="NormalWeb">
    <w:name w:val="Normal (Web)"/>
    <w:basedOn w:val="Normal"/>
    <w:uiPriority w:val="99"/>
    <w:semiHidden/>
    <w:unhideWhenUsed/>
    <w:rsid w:val="00A523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230C"/>
    <w:rPr>
      <w:b/>
      <w:bCs/>
    </w:rPr>
  </w:style>
  <w:style w:type="character" w:customStyle="1" w:styleId="apple-converted-space">
    <w:name w:val="apple-converted-space"/>
    <w:basedOn w:val="DefaultParagraphFont"/>
    <w:rsid w:val="00A5230C"/>
  </w:style>
  <w:style w:type="character" w:styleId="Emphasis">
    <w:name w:val="Emphasis"/>
    <w:basedOn w:val="DefaultParagraphFont"/>
    <w:uiPriority w:val="20"/>
    <w:qFormat/>
    <w:rsid w:val="00A523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Achig (LCL-C)</dc:creator>
  <cp:keywords/>
  <dc:description/>
  <cp:lastModifiedBy>Daniel Achig (LCL-C)</cp:lastModifiedBy>
  <cp:revision>2</cp:revision>
  <dcterms:created xsi:type="dcterms:W3CDTF">2026-04-09T14:12:00Z</dcterms:created>
  <dcterms:modified xsi:type="dcterms:W3CDTF">2026-04-28T20:54:00Z</dcterms:modified>
</cp:coreProperties>
</file>