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1CFE" w14:textId="128F59F3" w:rsidR="00B8123F" w:rsidRPr="000D48CA" w:rsidRDefault="00000000">
      <w:pPr>
        <w:pStyle w:val="Title"/>
        <w:spacing w:after="120" w:line="247" w:lineRule="auto"/>
        <w:rPr>
          <w:color w:val="000000" w:themeColor="text1"/>
          <w:lang w:val="es-ES"/>
        </w:rPr>
      </w:pPr>
      <w:r w:rsidRPr="000D48CA">
        <w:rPr>
          <w:color w:val="000000" w:themeColor="text1"/>
          <w:lang w:val="es-ES"/>
        </w:rPr>
        <w:t>Síntesis</w:t>
      </w:r>
    </w:p>
    <w:p w14:paraId="404129BE" w14:textId="77777777" w:rsidR="00B8123F" w:rsidRPr="000D48CA" w:rsidRDefault="00000000">
      <w:pPr>
        <w:spacing w:after="160" w:line="247" w:lineRule="auto"/>
        <w:rPr>
          <w:color w:val="000000" w:themeColor="text1"/>
          <w:lang w:val="es-ES"/>
        </w:rPr>
      </w:pPr>
      <w:r w:rsidRPr="000D48CA">
        <w:rPr>
          <w:b/>
          <w:color w:val="000000" w:themeColor="text1"/>
          <w:lang w:val="es-ES"/>
        </w:rPr>
        <w:t xml:space="preserve">Tesis: </w:t>
      </w:r>
      <w:r w:rsidRPr="000D48CA">
        <w:rPr>
          <w:color w:val="000000" w:themeColor="text1"/>
          <w:lang w:val="es-ES"/>
        </w:rPr>
        <w:t>Archivos tipográficos de la vida latina: alfabetos de nuevos medios en el suroeste de Ontario</w:t>
      </w:r>
    </w:p>
    <w:p w14:paraId="1EEB4653" w14:textId="77777777" w:rsidR="00B8123F" w:rsidRPr="000D48CA" w:rsidRDefault="00000000">
      <w:pPr>
        <w:pStyle w:val="Heading1"/>
        <w:spacing w:before="0" w:after="80" w:line="247" w:lineRule="auto"/>
        <w:rPr>
          <w:color w:val="000000" w:themeColor="text1"/>
          <w:lang w:val="es-ES"/>
        </w:rPr>
      </w:pPr>
      <w:r w:rsidRPr="000D48CA">
        <w:rPr>
          <w:color w:val="000000" w:themeColor="text1"/>
          <w:lang w:val="es-ES"/>
        </w:rPr>
        <w:t>Tema y justificaciones</w:t>
      </w:r>
    </w:p>
    <w:p w14:paraId="42F5B1FF" w14:textId="77777777" w:rsidR="00B8123F" w:rsidRPr="000D48CA" w:rsidRDefault="00000000">
      <w:pPr>
        <w:spacing w:after="70" w:line="247" w:lineRule="auto"/>
        <w:rPr>
          <w:color w:val="000000" w:themeColor="text1"/>
          <w:lang w:val="es-ES"/>
        </w:rPr>
      </w:pPr>
      <w:r w:rsidRPr="000D48CA">
        <w:rPr>
          <w:color w:val="000000" w:themeColor="text1"/>
          <w:lang w:val="es-ES"/>
        </w:rPr>
        <w:t xml:space="preserve">Esta tesis examina cómo los alfabetos </w:t>
      </w:r>
      <w:proofErr w:type="spellStart"/>
      <w:r w:rsidRPr="000D48CA">
        <w:rPr>
          <w:color w:val="000000" w:themeColor="text1"/>
          <w:lang w:val="es-ES"/>
        </w:rPr>
        <w:t>co</w:t>
      </w:r>
      <w:proofErr w:type="spellEnd"/>
      <w:r w:rsidRPr="000D48CA">
        <w:rPr>
          <w:color w:val="000000" w:themeColor="text1"/>
          <w:lang w:val="es-ES"/>
        </w:rPr>
        <w:t>-diseñados con residentes latinos a lo largo del corredor London-Sarnia pueden documentar la vida cotidiana, cuestionar las normas tipográficas dominantes, poner a prueba la legibilidad multilingüe y apoyar formas éticas de representación.</w:t>
      </w:r>
    </w:p>
    <w:p w14:paraId="66BA674A" w14:textId="28E45BCF" w:rsidR="00B8123F" w:rsidRPr="000D48CA" w:rsidRDefault="00483C04">
      <w:pPr>
        <w:spacing w:after="70" w:line="247" w:lineRule="auto"/>
        <w:rPr>
          <w:color w:val="000000" w:themeColor="text1"/>
          <w:lang w:val="es-ES"/>
        </w:rPr>
      </w:pPr>
      <w:r w:rsidRPr="000D48CA">
        <w:rPr>
          <w:color w:val="000000" w:themeColor="text1"/>
          <w:lang w:val="es-ES"/>
        </w:rPr>
        <w:t>E; proyecto se desarrolla desde un interés amplio por la tipografía y la representación hacia un marco de investigación-creación más enfocado, con una base metodológica y ética más clara.</w:t>
      </w:r>
    </w:p>
    <w:p w14:paraId="1819720E" w14:textId="77777777" w:rsidR="00B8123F" w:rsidRPr="000D48CA" w:rsidRDefault="00000000">
      <w:pPr>
        <w:spacing w:after="70" w:line="247" w:lineRule="auto"/>
        <w:rPr>
          <w:color w:val="000000" w:themeColor="text1"/>
          <w:lang w:val="es-ES"/>
        </w:rPr>
      </w:pPr>
      <w:r w:rsidRPr="000D48CA">
        <w:rPr>
          <w:color w:val="000000" w:themeColor="text1"/>
          <w:lang w:val="es-ES"/>
        </w:rPr>
        <w:t>El trabajo se organiza a partir de cinco indagaciones interconectadas:</w:t>
      </w:r>
    </w:p>
    <w:p w14:paraId="23393358" w14:textId="6D542721" w:rsidR="00B8123F" w:rsidRPr="000D48CA" w:rsidRDefault="00000000" w:rsidP="00483C04">
      <w:pPr>
        <w:pStyle w:val="Heading2"/>
        <w:numPr>
          <w:ilvl w:val="0"/>
          <w:numId w:val="11"/>
        </w:numPr>
        <w:spacing w:before="0" w:after="70" w:line="247" w:lineRule="auto"/>
        <w:rPr>
          <w:color w:val="000000" w:themeColor="text1"/>
          <w:lang w:val="es-ES"/>
        </w:rPr>
      </w:pPr>
      <w:r w:rsidRPr="000D48CA">
        <w:rPr>
          <w:color w:val="000000" w:themeColor="text1"/>
          <w:lang w:val="es-ES"/>
        </w:rPr>
        <w:t>La tipografía como archivo</w:t>
      </w:r>
    </w:p>
    <w:p w14:paraId="6473698B" w14:textId="77777777" w:rsidR="00B8123F" w:rsidRPr="000D48CA" w:rsidRDefault="00000000">
      <w:pPr>
        <w:spacing w:after="70" w:line="247" w:lineRule="auto"/>
        <w:rPr>
          <w:color w:val="000000" w:themeColor="text1"/>
          <w:lang w:val="es-ES"/>
        </w:rPr>
      </w:pPr>
      <w:r w:rsidRPr="000D48CA">
        <w:rPr>
          <w:color w:val="000000" w:themeColor="text1"/>
          <w:lang w:val="es-ES"/>
        </w:rPr>
        <w:t>Esta indagación pregunta cómo la tipografía puede funcionar no solo como comunicación, sino también como archivo, evidencia, testimonio y registro cultural.</w:t>
      </w:r>
    </w:p>
    <w:p w14:paraId="3AA4EAA3" w14:textId="0886B80C" w:rsidR="00B8123F" w:rsidRPr="000D48CA" w:rsidRDefault="00000000" w:rsidP="00483C04">
      <w:pPr>
        <w:pStyle w:val="Heading2"/>
        <w:numPr>
          <w:ilvl w:val="0"/>
          <w:numId w:val="11"/>
        </w:numPr>
        <w:spacing w:before="0" w:after="70" w:line="247" w:lineRule="auto"/>
        <w:rPr>
          <w:color w:val="000000" w:themeColor="text1"/>
          <w:lang w:val="es-ES"/>
        </w:rPr>
      </w:pPr>
      <w:r w:rsidRPr="000D48CA">
        <w:rPr>
          <w:color w:val="000000" w:themeColor="text1"/>
          <w:lang w:val="es-ES"/>
        </w:rPr>
        <w:t>Quién define la buena tipografía</w:t>
      </w:r>
    </w:p>
    <w:p w14:paraId="63CA53B1" w14:textId="77777777" w:rsidR="00B8123F" w:rsidRPr="000D48CA" w:rsidRDefault="00000000">
      <w:pPr>
        <w:spacing w:after="70" w:line="247" w:lineRule="auto"/>
        <w:rPr>
          <w:color w:val="000000" w:themeColor="text1"/>
          <w:lang w:val="es-ES"/>
        </w:rPr>
      </w:pPr>
      <w:r w:rsidRPr="000D48CA">
        <w:rPr>
          <w:color w:val="000000" w:themeColor="text1"/>
          <w:lang w:val="es-ES"/>
        </w:rPr>
        <w:t>Esta indagación examina cómo la calidad tipográfica, la legibilidad, la corrección y el profesionalismo son configurados por instituciones, lenguas dominantes y tradiciones de diseño heredadas, en lugar de existir como estándares universales.</w:t>
      </w:r>
    </w:p>
    <w:p w14:paraId="63F99D64" w14:textId="10ABEA63" w:rsidR="00B8123F" w:rsidRPr="000D48CA" w:rsidRDefault="00000000" w:rsidP="00483C04">
      <w:pPr>
        <w:pStyle w:val="Heading2"/>
        <w:numPr>
          <w:ilvl w:val="0"/>
          <w:numId w:val="11"/>
        </w:numPr>
        <w:spacing w:before="0" w:after="70" w:line="247" w:lineRule="auto"/>
        <w:rPr>
          <w:color w:val="000000" w:themeColor="text1"/>
          <w:lang w:val="es-ES"/>
        </w:rPr>
      </w:pPr>
      <w:r w:rsidRPr="000D48CA">
        <w:rPr>
          <w:color w:val="000000" w:themeColor="text1"/>
          <w:lang w:val="es-ES"/>
        </w:rPr>
        <w:t>Mecánicas tipográficas y lectura multilingüe</w:t>
      </w:r>
    </w:p>
    <w:p w14:paraId="7A17FB56" w14:textId="77777777" w:rsidR="00B8123F" w:rsidRPr="000D48CA" w:rsidRDefault="00000000">
      <w:pPr>
        <w:spacing w:after="70" w:line="247" w:lineRule="auto"/>
        <w:rPr>
          <w:color w:val="000000" w:themeColor="text1"/>
          <w:lang w:val="es-ES"/>
        </w:rPr>
      </w:pPr>
      <w:r w:rsidRPr="000D48CA">
        <w:rPr>
          <w:color w:val="000000" w:themeColor="text1"/>
          <w:lang w:val="es-ES"/>
        </w:rPr>
        <w:t>Esta indagación estudia el espaciado, la jerarquía, el contraste, el ritmo, la estructura del párrafo y otras mecánicas tipográficas como decisiones tanto técnicas como políticas, ya que revelan qué hábitos de lectura y qué normas lingüísticas se están priorizando.</w:t>
      </w:r>
    </w:p>
    <w:p w14:paraId="051215AC" w14:textId="0388B606" w:rsidR="00B8123F" w:rsidRPr="000D48CA" w:rsidRDefault="00000000" w:rsidP="00483C04">
      <w:pPr>
        <w:pStyle w:val="Heading2"/>
        <w:numPr>
          <w:ilvl w:val="0"/>
          <w:numId w:val="11"/>
        </w:numPr>
        <w:spacing w:before="0" w:after="70" w:line="247" w:lineRule="auto"/>
        <w:rPr>
          <w:color w:val="000000" w:themeColor="text1"/>
          <w:lang w:val="es-ES"/>
        </w:rPr>
      </w:pPr>
      <w:r w:rsidRPr="000D48CA">
        <w:rPr>
          <w:color w:val="000000" w:themeColor="text1"/>
          <w:lang w:val="es-ES"/>
        </w:rPr>
        <w:t>Visibilidad ética</w:t>
      </w:r>
    </w:p>
    <w:p w14:paraId="21D60B87" w14:textId="77777777" w:rsidR="00B8123F" w:rsidRPr="000D48CA" w:rsidRDefault="00000000">
      <w:pPr>
        <w:spacing w:after="70" w:line="247" w:lineRule="auto"/>
        <w:rPr>
          <w:color w:val="000000" w:themeColor="text1"/>
          <w:lang w:val="es-ES"/>
        </w:rPr>
      </w:pPr>
      <w:r w:rsidRPr="000D48CA">
        <w:rPr>
          <w:color w:val="000000" w:themeColor="text1"/>
          <w:lang w:val="es-ES"/>
        </w:rPr>
        <w:t>Esta indagación considera cómo la representación puede apoyar la visibilidad sin volverse extractiva, reductiva o desconectada de la agencia de los participantes.</w:t>
      </w:r>
    </w:p>
    <w:p w14:paraId="2B84FBAF" w14:textId="25563E00" w:rsidR="00B8123F" w:rsidRPr="000D48CA" w:rsidRDefault="00000000" w:rsidP="00483C04">
      <w:pPr>
        <w:pStyle w:val="Heading2"/>
        <w:numPr>
          <w:ilvl w:val="0"/>
          <w:numId w:val="11"/>
        </w:numPr>
        <w:spacing w:before="0" w:after="70" w:line="247" w:lineRule="auto"/>
        <w:rPr>
          <w:color w:val="000000" w:themeColor="text1"/>
          <w:lang w:val="es-ES"/>
        </w:rPr>
      </w:pPr>
      <w:r w:rsidRPr="000D48CA">
        <w:rPr>
          <w:color w:val="000000" w:themeColor="text1"/>
          <w:lang w:val="es-ES"/>
        </w:rPr>
        <w:t>La vida del corredor como ecología visual</w:t>
      </w:r>
    </w:p>
    <w:p w14:paraId="27B8208C" w14:textId="77777777" w:rsidR="00B8123F" w:rsidRPr="000D48CA" w:rsidRDefault="00000000">
      <w:pPr>
        <w:spacing w:after="70" w:line="247" w:lineRule="auto"/>
        <w:rPr>
          <w:color w:val="000000" w:themeColor="text1"/>
          <w:lang w:val="es-ES"/>
        </w:rPr>
      </w:pPr>
      <w:r w:rsidRPr="000D48CA">
        <w:rPr>
          <w:color w:val="000000" w:themeColor="text1"/>
          <w:lang w:val="es-ES"/>
        </w:rPr>
        <w:t>Esta indagación entiende el corredor London-Sarnia no simplemente como un fondo o contexto, sino como un entorno vivido, formado por desplazamientos diarios, trabajo, vitrinas comerciales, iglesias, hogares y señalización de carretera que informan activamente las referencias visuales y las formas de las letras del proyecto.</w:t>
      </w:r>
    </w:p>
    <w:p w14:paraId="5DC568A2" w14:textId="77777777" w:rsidR="00B8123F" w:rsidRPr="000D48CA" w:rsidRDefault="00000000">
      <w:pPr>
        <w:spacing w:after="70" w:line="247" w:lineRule="auto"/>
        <w:rPr>
          <w:color w:val="000000" w:themeColor="text1"/>
          <w:lang w:val="es-ES"/>
        </w:rPr>
      </w:pPr>
      <w:r w:rsidRPr="000D48CA">
        <w:rPr>
          <w:color w:val="000000" w:themeColor="text1"/>
          <w:lang w:val="es-ES"/>
        </w:rPr>
        <w:t>Cada una de estas indagaciones amplía el proyecto al identificar una hipótesis, una afirmación y una explicación de por qué la pregunta importa.</w:t>
      </w:r>
    </w:p>
    <w:p w14:paraId="794BFD84" w14:textId="41FA031F" w:rsidR="00B8123F" w:rsidRPr="000D48CA" w:rsidRDefault="00483C04">
      <w:pPr>
        <w:pStyle w:val="Heading1"/>
        <w:spacing w:before="0" w:after="80" w:line="247" w:lineRule="auto"/>
        <w:rPr>
          <w:color w:val="000000" w:themeColor="text1"/>
          <w:lang w:val="es-ES"/>
        </w:rPr>
      </w:pPr>
      <w:r w:rsidRPr="000D48CA">
        <w:rPr>
          <w:color w:val="000000" w:themeColor="text1"/>
          <w:lang w:val="es-ES"/>
        </w:rPr>
        <w:t>Arte y métodos</w:t>
      </w:r>
    </w:p>
    <w:p w14:paraId="7349BC04" w14:textId="4D51A035" w:rsidR="00B8123F" w:rsidRPr="000D48CA" w:rsidRDefault="00483C04">
      <w:pPr>
        <w:spacing w:after="70" w:line="247" w:lineRule="auto"/>
        <w:rPr>
          <w:color w:val="000000" w:themeColor="text1"/>
          <w:lang w:val="es-ES"/>
        </w:rPr>
      </w:pPr>
      <w:r w:rsidRPr="000D48CA">
        <w:rPr>
          <w:color w:val="000000" w:themeColor="text1"/>
          <w:lang w:val="es-ES"/>
        </w:rPr>
        <w:t xml:space="preserve">Hasta </w:t>
      </w:r>
      <w:proofErr w:type="spellStart"/>
      <w:r w:rsidRPr="000D48CA">
        <w:rPr>
          <w:color w:val="000000" w:themeColor="text1"/>
          <w:lang w:val="es-ES"/>
        </w:rPr>
        <w:t>le</w:t>
      </w:r>
      <w:proofErr w:type="spellEnd"/>
      <w:r w:rsidRPr="000D48CA">
        <w:rPr>
          <w:color w:val="000000" w:themeColor="text1"/>
          <w:lang w:val="es-ES"/>
        </w:rPr>
        <w:t xml:space="preserve"> momento, explore dos formas principales de arte, junto con metodologías relacionadas: la </w:t>
      </w:r>
      <w:r w:rsidRPr="000D48CA">
        <w:rPr>
          <w:color w:val="000000" w:themeColor="text1"/>
          <w:lang w:val="es-ES"/>
        </w:rPr>
        <w:pgNum/>
      </w:r>
      <w:proofErr w:type="spellStart"/>
      <w:r w:rsidRPr="000D48CA">
        <w:rPr>
          <w:color w:val="000000" w:themeColor="text1"/>
          <w:lang w:val="es-ES"/>
        </w:rPr>
        <w:t>xplorer</w:t>
      </w:r>
      <w:proofErr w:type="spellEnd"/>
      <w:r w:rsidRPr="000D48CA">
        <w:rPr>
          <w:color w:val="000000" w:themeColor="text1"/>
          <w:lang w:val="es-ES"/>
        </w:rPr>
        <w:pgNum/>
      </w:r>
      <w:r w:rsidRPr="000D48CA">
        <w:rPr>
          <w:color w:val="000000" w:themeColor="text1"/>
          <w:lang w:val="es-ES"/>
        </w:rPr>
        <w:t>n gráfica y el diseño de tipos con pruebas de mecánicas tipográficas y fuentes variables.</w:t>
      </w:r>
    </w:p>
    <w:p w14:paraId="6EBEEA73" w14:textId="567DFF58" w:rsidR="00B8123F" w:rsidRPr="000D48CA" w:rsidRDefault="00000000" w:rsidP="00483C04">
      <w:pPr>
        <w:pStyle w:val="Heading2"/>
        <w:numPr>
          <w:ilvl w:val="0"/>
          <w:numId w:val="12"/>
        </w:numPr>
        <w:spacing w:before="0" w:after="70" w:line="247" w:lineRule="auto"/>
        <w:rPr>
          <w:color w:val="000000" w:themeColor="text1"/>
          <w:lang w:val="es-ES"/>
        </w:rPr>
      </w:pPr>
      <w:r w:rsidRPr="000D48CA">
        <w:rPr>
          <w:color w:val="000000" w:themeColor="text1"/>
          <w:lang w:val="es-ES"/>
        </w:rPr>
        <w:t>Impresión gráfica</w:t>
      </w:r>
    </w:p>
    <w:p w14:paraId="2D352781" w14:textId="0843C91A" w:rsidR="00B8123F" w:rsidRPr="000D48CA" w:rsidRDefault="00000000">
      <w:pPr>
        <w:spacing w:after="70" w:line="247" w:lineRule="auto"/>
        <w:rPr>
          <w:color w:val="000000" w:themeColor="text1"/>
          <w:lang w:val="es-ES"/>
        </w:rPr>
      </w:pPr>
      <w:r w:rsidRPr="000D48CA">
        <w:rPr>
          <w:color w:val="000000" w:themeColor="text1"/>
          <w:lang w:val="es-ES"/>
        </w:rPr>
        <w:t xml:space="preserve">La </w:t>
      </w:r>
      <w:r w:rsidR="00483C04" w:rsidRPr="000D48CA">
        <w:rPr>
          <w:color w:val="000000" w:themeColor="text1"/>
          <w:lang w:val="es-ES"/>
        </w:rPr>
        <w:t xml:space="preserve">exploración </w:t>
      </w:r>
      <w:r w:rsidRPr="000D48CA">
        <w:rPr>
          <w:color w:val="000000" w:themeColor="text1"/>
          <w:lang w:val="es-ES"/>
        </w:rPr>
        <w:t xml:space="preserve">gráfica me permitió </w:t>
      </w:r>
      <w:r w:rsidR="00483C04" w:rsidRPr="000D48CA">
        <w:rPr>
          <w:color w:val="000000" w:themeColor="text1"/>
          <w:lang w:val="es-ES"/>
        </w:rPr>
        <w:t>explorar</w:t>
      </w:r>
      <w:r w:rsidRPr="000D48CA">
        <w:rPr>
          <w:color w:val="000000" w:themeColor="text1"/>
          <w:lang w:val="es-ES"/>
        </w:rPr>
        <w:t xml:space="preserve"> Otavalo</w:t>
      </w:r>
      <w:r w:rsidR="00483C04" w:rsidRPr="000D48CA">
        <w:rPr>
          <w:color w:val="000000" w:themeColor="text1"/>
          <w:lang w:val="es-ES"/>
        </w:rPr>
        <w:t xml:space="preserve">, “una tipografía de mi autoría” </w:t>
      </w:r>
      <w:r w:rsidRPr="000D48CA">
        <w:rPr>
          <w:color w:val="000000" w:themeColor="text1"/>
          <w:lang w:val="es-ES"/>
        </w:rPr>
        <w:t xml:space="preserve">como una tipografía material. A través de este proceso, la </w:t>
      </w:r>
      <w:r w:rsidR="00483C04" w:rsidRPr="000D48CA">
        <w:rPr>
          <w:color w:val="000000" w:themeColor="text1"/>
          <w:lang w:val="es-ES"/>
        </w:rPr>
        <w:t>impresión de serigrafia</w:t>
      </w:r>
      <w:r w:rsidRPr="000D48CA">
        <w:rPr>
          <w:color w:val="000000" w:themeColor="text1"/>
          <w:lang w:val="es-ES"/>
        </w:rPr>
        <w:t xml:space="preserve"> </w:t>
      </w:r>
      <w:r w:rsidR="00483C04" w:rsidRPr="000D48CA">
        <w:rPr>
          <w:color w:val="000000" w:themeColor="text1"/>
          <w:lang w:val="es-ES"/>
        </w:rPr>
        <w:t>se r</w:t>
      </w:r>
      <w:r w:rsidRPr="000D48CA">
        <w:rPr>
          <w:color w:val="000000" w:themeColor="text1"/>
          <w:lang w:val="es-ES"/>
        </w:rPr>
        <w:t>eveló textura, repetición, ritmo y presencia física de maneras que van más allá de la pantalla. Esto se hizo especialmente visible en la exposición [LAB]YRINTH, donde el trabajo pasó a la instalación, las pruebas de impresión y la exhibición pública.</w:t>
      </w:r>
    </w:p>
    <w:p w14:paraId="6B393EBA" w14:textId="77777777" w:rsidR="00B8123F" w:rsidRPr="000D48CA" w:rsidRDefault="00000000">
      <w:pPr>
        <w:pStyle w:val="Heading2"/>
        <w:spacing w:before="0" w:after="70" w:line="247" w:lineRule="auto"/>
        <w:rPr>
          <w:color w:val="000000" w:themeColor="text1"/>
          <w:lang w:val="es-ES"/>
        </w:rPr>
      </w:pPr>
      <w:r w:rsidRPr="000D48CA">
        <w:rPr>
          <w:color w:val="000000" w:themeColor="text1"/>
          <w:lang w:val="es-ES"/>
        </w:rPr>
        <w:t>2. Diseño de tipos, mecánicas tipográficas y pruebas de fuentes variables</w:t>
      </w:r>
    </w:p>
    <w:p w14:paraId="0E284EA0" w14:textId="77777777" w:rsidR="00B8123F" w:rsidRPr="000D48CA" w:rsidRDefault="00000000">
      <w:pPr>
        <w:spacing w:after="70" w:line="247" w:lineRule="auto"/>
        <w:rPr>
          <w:color w:val="000000" w:themeColor="text1"/>
          <w:lang w:val="es-ES"/>
        </w:rPr>
      </w:pPr>
      <w:r w:rsidRPr="000D48CA">
        <w:rPr>
          <w:color w:val="000000" w:themeColor="text1"/>
          <w:lang w:val="es-ES"/>
        </w:rPr>
        <w:t>El diseño de tipos, las pruebas de mecánicas tipográficas y el desarrollo de fuentes variables apoyaron el crecimiento de Otavalo como una tipografía tanto conceptual como funcional. Este proceso se centró en el espaciado, la jerarquía, la legibilidad, el soporte de caracteres multilingües, las pruebas y los especímenes, al mismo tiempo que utilizó flujos de trabajo de fuentes variables para comprobar cómo se comporta la tipografía bajo distintas condiciones formales.</w:t>
      </w:r>
    </w:p>
    <w:p w14:paraId="3B5CF690" w14:textId="77777777" w:rsidR="00B8123F" w:rsidRPr="000D48CA" w:rsidRDefault="00000000">
      <w:pPr>
        <w:spacing w:after="70" w:line="247" w:lineRule="auto"/>
        <w:rPr>
          <w:color w:val="000000" w:themeColor="text1"/>
          <w:lang w:val="es-ES"/>
        </w:rPr>
      </w:pPr>
      <w:r w:rsidRPr="000D48CA">
        <w:rPr>
          <w:color w:val="000000" w:themeColor="text1"/>
          <w:lang w:val="es-ES"/>
        </w:rPr>
        <w:lastRenderedPageBreak/>
        <w:t xml:space="preserve">Trabajar con </w:t>
      </w:r>
      <w:proofErr w:type="spellStart"/>
      <w:r w:rsidRPr="000D48CA">
        <w:rPr>
          <w:color w:val="000000" w:themeColor="text1"/>
          <w:lang w:val="es-ES"/>
        </w:rPr>
        <w:t>Glyphs</w:t>
      </w:r>
      <w:proofErr w:type="spellEnd"/>
      <w:r w:rsidRPr="000D48CA">
        <w:rPr>
          <w:color w:val="000000" w:themeColor="text1"/>
          <w:lang w:val="es-ES"/>
        </w:rPr>
        <w:t xml:space="preserve">, </w:t>
      </w:r>
      <w:proofErr w:type="spellStart"/>
      <w:r w:rsidRPr="000D48CA">
        <w:rPr>
          <w:color w:val="000000" w:themeColor="text1"/>
          <w:lang w:val="es-ES"/>
        </w:rPr>
        <w:t>RoboFont</w:t>
      </w:r>
      <w:proofErr w:type="spellEnd"/>
      <w:r w:rsidRPr="000D48CA">
        <w:rPr>
          <w:color w:val="000000" w:themeColor="text1"/>
          <w:lang w:val="es-ES"/>
        </w:rPr>
        <w:t xml:space="preserve">, </w:t>
      </w:r>
      <w:proofErr w:type="spellStart"/>
      <w:r w:rsidRPr="000D48CA">
        <w:rPr>
          <w:color w:val="000000" w:themeColor="text1"/>
          <w:lang w:val="es-ES"/>
        </w:rPr>
        <w:t>Fontra</w:t>
      </w:r>
      <w:proofErr w:type="spellEnd"/>
      <w:r w:rsidRPr="000D48CA">
        <w:rPr>
          <w:color w:val="000000" w:themeColor="text1"/>
          <w:lang w:val="es-ES"/>
        </w:rPr>
        <w:t xml:space="preserve">, </w:t>
      </w:r>
      <w:proofErr w:type="spellStart"/>
      <w:r w:rsidRPr="000D48CA">
        <w:rPr>
          <w:color w:val="000000" w:themeColor="text1"/>
          <w:lang w:val="es-ES"/>
        </w:rPr>
        <w:t>UFOs</w:t>
      </w:r>
      <w:proofErr w:type="spellEnd"/>
      <w:r w:rsidRPr="000D48CA">
        <w:rPr>
          <w:color w:val="000000" w:themeColor="text1"/>
          <w:lang w:val="es-ES"/>
        </w:rPr>
        <w:t xml:space="preserve"> y la lógica de </w:t>
      </w:r>
      <w:proofErr w:type="spellStart"/>
      <w:r w:rsidRPr="000D48CA">
        <w:rPr>
          <w:color w:val="000000" w:themeColor="text1"/>
          <w:lang w:val="es-ES"/>
        </w:rPr>
        <w:t>designspace</w:t>
      </w:r>
      <w:proofErr w:type="spellEnd"/>
      <w:r w:rsidRPr="000D48CA">
        <w:rPr>
          <w:color w:val="000000" w:themeColor="text1"/>
          <w:lang w:val="es-ES"/>
        </w:rPr>
        <w:t xml:space="preserve"> me permitió conectar el dibujo, la interpolación, las pruebas y la exportación como parte de un proceso continuo. Incorporar las pruebas de fuentes variables a este método me ayudó a entender la tipografía no solo como una forma fija, sino como un sistema flexible que puede ajustarse, refinarse y evaluarse en múltiples contextos. Este método conectó los objetivos conceptuales de la tesis con las decisiones formales y técnicas involucradas en la construcción de una tipografía.</w:t>
      </w:r>
    </w:p>
    <w:p w14:paraId="786BD31E" w14:textId="77777777" w:rsidR="00B8123F" w:rsidRPr="000D48CA" w:rsidRDefault="00000000">
      <w:pPr>
        <w:pStyle w:val="Heading1"/>
        <w:spacing w:before="0" w:after="80" w:line="247" w:lineRule="auto"/>
        <w:rPr>
          <w:color w:val="000000" w:themeColor="text1"/>
          <w:lang w:val="es-ES"/>
        </w:rPr>
      </w:pPr>
      <w:r w:rsidRPr="000D48CA">
        <w:rPr>
          <w:color w:val="000000" w:themeColor="text1"/>
          <w:lang w:val="es-ES"/>
        </w:rPr>
        <w:t>Bibliografía y lo que apoya</w:t>
      </w:r>
    </w:p>
    <w:p w14:paraId="5B8F19D0" w14:textId="77777777" w:rsidR="00B8123F" w:rsidRPr="000D48CA" w:rsidRDefault="00000000">
      <w:pPr>
        <w:pStyle w:val="Heading2"/>
        <w:spacing w:before="0" w:after="70" w:line="247" w:lineRule="auto"/>
        <w:rPr>
          <w:color w:val="000000" w:themeColor="text1"/>
          <w:lang w:val="es-ES"/>
        </w:rPr>
      </w:pPr>
      <w:r w:rsidRPr="000D48CA">
        <w:rPr>
          <w:color w:val="000000" w:themeColor="text1"/>
          <w:lang w:val="es-ES"/>
        </w:rPr>
        <w:t>Tipografía como archivo y discurso</w:t>
      </w:r>
    </w:p>
    <w:p w14:paraId="1BDE1A67" w14:textId="77777777" w:rsidR="00B8123F" w:rsidRPr="000D48CA" w:rsidRDefault="00000000">
      <w:pPr>
        <w:spacing w:after="70" w:line="247" w:lineRule="auto"/>
        <w:rPr>
          <w:color w:val="000000" w:themeColor="text1"/>
          <w:lang w:val="es-ES"/>
        </w:rPr>
      </w:pPr>
      <w:r w:rsidRPr="000D48CA">
        <w:rPr>
          <w:color w:val="000000" w:themeColor="text1"/>
          <w:lang w:val="es-ES"/>
        </w:rPr>
        <w:t xml:space="preserve">Waller, Beier, Spencer, Merleau-Ponty y Nat Pyper apoyan la idea de la tipografía como evidencia, memoria y registro </w:t>
      </w:r>
      <w:proofErr w:type="spellStart"/>
      <w:r w:rsidRPr="000D48CA">
        <w:rPr>
          <w:color w:val="000000" w:themeColor="text1"/>
          <w:lang w:val="es-ES"/>
        </w:rPr>
        <w:t>co</w:t>
      </w:r>
      <w:proofErr w:type="spellEnd"/>
      <w:r w:rsidRPr="000D48CA">
        <w:rPr>
          <w:color w:val="000000" w:themeColor="text1"/>
          <w:lang w:val="es-ES"/>
        </w:rPr>
        <w:t>-creado.</w:t>
      </w:r>
    </w:p>
    <w:p w14:paraId="32A7B317" w14:textId="77777777" w:rsidR="00B8123F" w:rsidRPr="000D48CA" w:rsidRDefault="00000000">
      <w:pPr>
        <w:pStyle w:val="Heading2"/>
        <w:spacing w:before="0" w:after="70" w:line="247" w:lineRule="auto"/>
        <w:rPr>
          <w:color w:val="000000" w:themeColor="text1"/>
          <w:lang w:val="es-ES"/>
        </w:rPr>
      </w:pPr>
      <w:r w:rsidRPr="000D48CA">
        <w:rPr>
          <w:color w:val="000000" w:themeColor="text1"/>
          <w:lang w:val="es-ES"/>
        </w:rPr>
        <w:t>Calidad y mecánicas tipográficas</w:t>
      </w:r>
    </w:p>
    <w:p w14:paraId="668E52BE" w14:textId="77777777" w:rsidR="00B8123F" w:rsidRPr="000D48CA" w:rsidRDefault="00000000">
      <w:pPr>
        <w:spacing w:after="70" w:line="247" w:lineRule="auto"/>
        <w:rPr>
          <w:color w:val="000000" w:themeColor="text1"/>
          <w:lang w:val="es-ES"/>
        </w:rPr>
      </w:pPr>
      <w:r w:rsidRPr="000D48CA">
        <w:rPr>
          <w:color w:val="000000" w:themeColor="text1"/>
          <w:lang w:val="es-ES"/>
        </w:rPr>
        <w:t>Lund, Macdonald-Ross y Waller, Beier, Hochuli, y Ambrose, Harris y Theodosiou apoyan las discusiones sobre legibilidad, detalle, jerarquía, espaciado y la crítica de las normas tipográficas.</w:t>
      </w:r>
    </w:p>
    <w:p w14:paraId="7D09379C" w14:textId="77777777" w:rsidR="00B8123F" w:rsidRPr="000D48CA" w:rsidRDefault="00000000">
      <w:pPr>
        <w:pStyle w:val="Heading2"/>
        <w:spacing w:before="0" w:after="70" w:line="247" w:lineRule="auto"/>
        <w:rPr>
          <w:color w:val="000000" w:themeColor="text1"/>
          <w:lang w:val="es-ES"/>
        </w:rPr>
      </w:pPr>
      <w:r w:rsidRPr="000D48CA">
        <w:rPr>
          <w:color w:val="000000" w:themeColor="text1"/>
          <w:lang w:val="es-ES"/>
        </w:rPr>
        <w:t>Ética y decolonialidad</w:t>
      </w:r>
    </w:p>
    <w:p w14:paraId="65A74DC9" w14:textId="77777777" w:rsidR="00B8123F" w:rsidRPr="000D48CA" w:rsidRDefault="00000000">
      <w:pPr>
        <w:spacing w:after="70" w:line="247" w:lineRule="auto"/>
        <w:rPr>
          <w:color w:val="000000" w:themeColor="text1"/>
          <w:lang w:val="es-ES"/>
        </w:rPr>
      </w:pPr>
      <w:r w:rsidRPr="000D48CA">
        <w:rPr>
          <w:color w:val="000000" w:themeColor="text1"/>
          <w:lang w:val="es-ES"/>
        </w:rPr>
        <w:t xml:space="preserve">Escobar, Schultz et al., </w:t>
      </w:r>
      <w:proofErr w:type="spellStart"/>
      <w:r w:rsidRPr="000D48CA">
        <w:rPr>
          <w:color w:val="000000" w:themeColor="text1"/>
          <w:lang w:val="es-ES"/>
        </w:rPr>
        <w:t>Tashakkori</w:t>
      </w:r>
      <w:proofErr w:type="spellEnd"/>
      <w:r w:rsidRPr="000D48CA">
        <w:rPr>
          <w:color w:val="000000" w:themeColor="text1"/>
          <w:lang w:val="es-ES"/>
        </w:rPr>
        <w:t xml:space="preserve"> y Teddlie, Tierney y Clemens, y Walford apoyan el pensamiento del proyecto en torno a la visibilidad, el consentimiento, la representación y la participación no extractiva.</w:t>
      </w:r>
    </w:p>
    <w:p w14:paraId="5E600A6F" w14:textId="7FD7A95D" w:rsidR="00B8123F" w:rsidRPr="000D48CA" w:rsidRDefault="00483C04">
      <w:pPr>
        <w:pStyle w:val="Heading2"/>
        <w:spacing w:before="0" w:after="70" w:line="247" w:lineRule="auto"/>
        <w:rPr>
          <w:color w:val="000000" w:themeColor="text1"/>
          <w:lang w:val="es-ES"/>
        </w:rPr>
      </w:pPr>
      <w:r w:rsidRPr="000D48CA">
        <w:rPr>
          <w:color w:val="000000" w:themeColor="text1"/>
          <w:lang w:val="es-ES"/>
        </w:rPr>
        <w:t xml:space="preserve">Arte y métodos </w:t>
      </w:r>
    </w:p>
    <w:p w14:paraId="257D2C2D" w14:textId="77777777" w:rsidR="00B8123F" w:rsidRPr="000D48CA" w:rsidRDefault="00000000">
      <w:pPr>
        <w:spacing w:after="70" w:line="247" w:lineRule="auto"/>
        <w:rPr>
          <w:color w:val="000000" w:themeColor="text1"/>
          <w:lang w:val="es-ES"/>
        </w:rPr>
      </w:pPr>
      <w:proofErr w:type="spellStart"/>
      <w:r w:rsidRPr="000D48CA">
        <w:rPr>
          <w:color w:val="000000" w:themeColor="text1"/>
          <w:lang w:val="es-ES"/>
        </w:rPr>
        <w:t>Print</w:t>
      </w:r>
      <w:proofErr w:type="spellEnd"/>
      <w:r w:rsidRPr="000D48CA">
        <w:rPr>
          <w:color w:val="000000" w:themeColor="text1"/>
          <w:lang w:val="es-ES"/>
        </w:rPr>
        <w:t xml:space="preserve"> Club London, Kvale, Wheeldon y Ahlberg, Collins y Collins, Drucker, Griffin, Microsoft, Google Fonts, </w:t>
      </w:r>
      <w:proofErr w:type="spellStart"/>
      <w:r w:rsidRPr="000D48CA">
        <w:rPr>
          <w:color w:val="000000" w:themeColor="text1"/>
          <w:lang w:val="es-ES"/>
        </w:rPr>
        <w:t>Glyphs</w:t>
      </w:r>
      <w:proofErr w:type="spellEnd"/>
      <w:r w:rsidRPr="000D48CA">
        <w:rPr>
          <w:color w:val="000000" w:themeColor="text1"/>
          <w:lang w:val="es-ES"/>
        </w:rPr>
        <w:t xml:space="preserve">, </w:t>
      </w:r>
      <w:proofErr w:type="spellStart"/>
      <w:r w:rsidRPr="000D48CA">
        <w:rPr>
          <w:color w:val="000000" w:themeColor="text1"/>
          <w:lang w:val="es-ES"/>
        </w:rPr>
        <w:t>Fontra</w:t>
      </w:r>
      <w:proofErr w:type="spellEnd"/>
      <w:r w:rsidRPr="000D48CA">
        <w:rPr>
          <w:color w:val="000000" w:themeColor="text1"/>
          <w:lang w:val="es-ES"/>
        </w:rPr>
        <w:t xml:space="preserve">, </w:t>
      </w:r>
      <w:proofErr w:type="spellStart"/>
      <w:r w:rsidRPr="000D48CA">
        <w:rPr>
          <w:color w:val="000000" w:themeColor="text1"/>
          <w:lang w:val="es-ES"/>
        </w:rPr>
        <w:t>TypeCooker</w:t>
      </w:r>
      <w:proofErr w:type="spellEnd"/>
      <w:r w:rsidRPr="000D48CA">
        <w:rPr>
          <w:color w:val="000000" w:themeColor="text1"/>
          <w:lang w:val="es-ES"/>
        </w:rPr>
        <w:t>, Brownie y Wang apoyan los métodos del proyecto en impresión gráfica, entrevistas, mapeo, especímenes tipográficos, fuentes variables y movimiento.</w:t>
      </w:r>
    </w:p>
    <w:sectPr w:rsidR="00B8123F" w:rsidRPr="000D48CA" w:rsidSect="00034616">
      <w:footerReference w:type="default" r:id="rId8"/>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DC26D" w14:textId="77777777" w:rsidR="001D58F1" w:rsidRDefault="001D58F1">
      <w:pPr>
        <w:spacing w:after="0" w:line="240" w:lineRule="auto"/>
      </w:pPr>
      <w:r>
        <w:separator/>
      </w:r>
    </w:p>
  </w:endnote>
  <w:endnote w:type="continuationSeparator" w:id="0">
    <w:p w14:paraId="3F817DDD" w14:textId="77777777" w:rsidR="001D58F1" w:rsidRDefault="001D5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0A64" w14:textId="5E3ED60F" w:rsidR="00B8123F" w:rsidRPr="00483C04" w:rsidRDefault="00B8123F">
    <w:pPr>
      <w:pStyle w:val="Footer"/>
      <w:jc w:val="cen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F013" w14:textId="77777777" w:rsidR="001D58F1" w:rsidRDefault="001D58F1">
      <w:pPr>
        <w:spacing w:after="0" w:line="240" w:lineRule="auto"/>
      </w:pPr>
      <w:r>
        <w:separator/>
      </w:r>
    </w:p>
  </w:footnote>
  <w:footnote w:type="continuationSeparator" w:id="0">
    <w:p w14:paraId="6A9910DA" w14:textId="77777777" w:rsidR="001D58F1" w:rsidRDefault="001D5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63789"/>
    <w:multiLevelType w:val="hybridMultilevel"/>
    <w:tmpl w:val="D9729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27646"/>
    <w:multiLevelType w:val="hybridMultilevel"/>
    <w:tmpl w:val="5FA47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2C7708"/>
    <w:multiLevelType w:val="hybridMultilevel"/>
    <w:tmpl w:val="C5606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594865">
    <w:abstractNumId w:val="8"/>
  </w:num>
  <w:num w:numId="2" w16cid:durableId="1941444580">
    <w:abstractNumId w:val="6"/>
  </w:num>
  <w:num w:numId="3" w16cid:durableId="314845602">
    <w:abstractNumId w:val="5"/>
  </w:num>
  <w:num w:numId="4" w16cid:durableId="963272365">
    <w:abstractNumId w:val="4"/>
  </w:num>
  <w:num w:numId="5" w16cid:durableId="1729843707">
    <w:abstractNumId w:val="7"/>
  </w:num>
  <w:num w:numId="6" w16cid:durableId="187648712">
    <w:abstractNumId w:val="3"/>
  </w:num>
  <w:num w:numId="7" w16cid:durableId="1780180200">
    <w:abstractNumId w:val="2"/>
  </w:num>
  <w:num w:numId="8" w16cid:durableId="932784214">
    <w:abstractNumId w:val="1"/>
  </w:num>
  <w:num w:numId="9" w16cid:durableId="710812085">
    <w:abstractNumId w:val="0"/>
  </w:num>
  <w:num w:numId="10" w16cid:durableId="965741933">
    <w:abstractNumId w:val="10"/>
  </w:num>
  <w:num w:numId="11" w16cid:durableId="1860004789">
    <w:abstractNumId w:val="11"/>
  </w:num>
  <w:num w:numId="12" w16cid:durableId="860977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8CA"/>
    <w:rsid w:val="0015074B"/>
    <w:rsid w:val="001D58F1"/>
    <w:rsid w:val="0029639D"/>
    <w:rsid w:val="00326F90"/>
    <w:rsid w:val="00483C04"/>
    <w:rsid w:val="00AA1D8D"/>
    <w:rsid w:val="00B47730"/>
    <w:rsid w:val="00B8123F"/>
    <w:rsid w:val="00CB0664"/>
    <w:rsid w:val="00E81AEE"/>
    <w:rsid w:val="00E96C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1C3F1"/>
  <w14:defaultImageDpi w14:val="300"/>
  <w15:docId w15:val="{7DDC42DF-569B-174F-835F-4672FC4E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Achig (LCL-C)</cp:lastModifiedBy>
  <cp:revision>3</cp:revision>
  <dcterms:created xsi:type="dcterms:W3CDTF">2013-12-23T23:15:00Z</dcterms:created>
  <dcterms:modified xsi:type="dcterms:W3CDTF">2026-04-30T20:01:00Z</dcterms:modified>
  <cp:category/>
</cp:coreProperties>
</file>