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Typographic Archives of Latino Life: New Media Alphabets in Southwestern Ontario</w:t>
      </w:r>
    </w:p>
    <w:p>
      <w:pPr>
        <w:jc w:val="center"/>
      </w:pPr>
      <w:r>
        <w:rPr>
          <w:i/>
          <w:sz w:val="28"/>
        </w:rPr>
        <w:t>Expanded Thesis Proposal with Heidelberg Windmill Poster Process</w:t>
      </w:r>
    </w:p>
    <w:p>
      <w:pPr>
        <w:jc w:val="center"/>
      </w:pPr>
      <w:r>
        <w:rPr>
          <w:sz w:val="22"/>
        </w:rPr>
        <w:t>Daniel Achig-Aranha</w:t>
      </w:r>
    </w:p>
    <w:p>
      <w:pPr>
        <w:jc w:val="center"/>
      </w:pPr>
      <w:r>
        <w:rPr>
          <w:sz w:val="22"/>
        </w:rPr>
        <w:t>OCAD University</w:t>
      </w:r>
    </w:p>
    <w:p>
      <w:pPr>
        <w:jc w:val="center"/>
      </w:pPr>
      <w:r>
        <w:rPr>
          <w:sz w:val="22"/>
        </w:rPr>
        <w:t>Interdisciplinary Master’s in Art, Media and Design</w:t>
      </w:r>
    </w:p>
    <w:p>
      <w:pPr>
        <w:jc w:val="center"/>
      </w:pPr>
      <w:r>
        <w:rPr>
          <w:sz w:val="22"/>
        </w:rPr>
        <w:t>May 2026</w:t>
      </w:r>
    </w:p>
    <w:p/>
    <w:p/>
    <w:p/>
    <w:p/>
    <w:p/>
    <w:p>
      <w:pPr>
        <w:jc w:val="center"/>
      </w:pPr>
      <w:r>
        <w:rPr>
          <w:i/>
          <w:sz w:val="18"/>
        </w:rPr>
        <w:t>Note: This expanded draft uses the non-pending materials from the supplied markdowns and Assignment 6 documents. It adds the Heidelberg Windmill Platen Press poster process as a supervised printmaking research method.</w:t>
      </w:r>
    </w:p>
    <w:p>
      <w:r>
        <w:br w:type="page"/>
      </w:r>
    </w:p>
    <w:p>
      <w:pPr>
        <w:pStyle w:val="Heading2"/>
      </w:pPr>
      <w:r>
        <w:t>Working title</w:t>
      </w:r>
    </w:p>
    <w:p>
      <w:r>
        <w:rPr>
          <w:b/>
        </w:rPr>
        <w:t>Typographic Archives of Latino Life: New Media Alphabets in Southwestern Ontario</w:t>
      </w:r>
    </w:p>
    <w:p>
      <w:pPr>
        <w:pStyle w:val="Heading2"/>
      </w:pPr>
      <w:r>
        <w:t>Working central question</w:t>
      </w:r>
    </w:p>
    <w:p>
      <w:r>
        <w:t>How can co-designed alphabets developed with Latino residents along the London-Sarnia corridor document everyday life, challenge dominant assumptions about typographic quality and multilingual readability, and support ethical forms of visibility and representation?</w:t>
      </w:r>
    </w:p>
    <w:p>
      <w:pPr>
        <w:pStyle w:val="Heading2"/>
      </w:pPr>
      <w:r>
        <w:t>Project summary</w:t>
      </w:r>
    </w:p>
    <w:p>
      <w:r>
        <w:t>This thesis is a research-creation project about typography, Latino life, memory, place, and ethical representation in Southwestern Ontario. It proposes the design of co-created alphabets with Latino participants who live, work, commute, study, worship, shop, organize, and build community along the London-Sarnia corridor. The project treats typography not only as a formal design output, but also as a method of listening, collecting, translating, testing, and making visible situated forms of experience.</w:t>
      </w:r>
    </w:p>
    <w:p>
      <w:r>
        <w:t>The project has developed through five interconnected inquiries: typography as archive; who defines good typography; typographic mechanics and multilingual reading; ethical visibility; and corridor life as visual ecology. Together, these inquiries allow the thesis to move between theory, form, method, material process, and lived geography. The alphabet becomes a site where stories, vernacular signs, multilingual habits, migration memories, labour routes, storefront graphics, domestic objects, handwritten marks, devotional images, transit rhythms, and digital communication can be studied through design.</w:t>
      </w:r>
    </w:p>
    <w:p>
      <w:r>
        <w:t>A major development in this expanded proposal is the inclusion of a Heidelberg Windmill Platen Press poster process. In addition to digital type design, variable font testing, type specimens, and motion experiments, the thesis will produce a series of letterpress posters using the co-designed alphabet. These posters will be produced through a supervised printmaking process on an Original Heidelberg Tiegel or Windmill Platen Press, using relief printing methods, ink, paper, pressure, registration, editioning, and material documentation as part of the research. This process is important because it transforms the alphabet from a digital font into a physical, pressure-based, reproducible artifact. The printed posters will not simply display the alphabet. They will test how typographic form changes when it is translated through plate, ink, paper, impression, texture, misregistration, repetition, and public exhibition.</w:t>
      </w:r>
    </w:p>
    <w:p>
      <w:r>
        <w:t>This thesis therefore understands typography as a knowledge-making practice. It asks how type can act as archive, testimony, public voice, cultural memory, and technical system at the same time. It also asks how design can be accountable to the people and places that shape it.</w:t>
      </w:r>
    </w:p>
    <w:p/>
    <w:p>
      <w:pPr>
        <w:pStyle w:val="Heading1"/>
      </w:pPr>
      <w:r>
        <w:t>Section 01: Abstract. Description of the project</w:t>
      </w:r>
    </w:p>
    <w:p>
      <w:r>
        <w:rPr>
          <w:b/>
        </w:rPr>
        <w:t>Typographic Archives of Latino Life: New Media Alphabets in Southwestern Ontario</w:t>
      </w:r>
      <w:r>
        <w:t xml:space="preserve"> is a research-creation thesis that explores how typography can document everyday Latino life through co-designed alphabets, material experimentation, and ethical forms of representation. The project focuses on Latino residents along the London-Sarnia corridor in Southwestern Ontario, a region shaped by movement, work, migration, commuting, storefronts, domestic life, service spaces, churches, schools, roads, and informal visual cultures. Rather than treating the corridor as a neutral location, the thesis understands it as a visual ecology: a lived environment where letterforms, signs, names, objects, routes, languages, and memories interact.</w:t>
      </w:r>
    </w:p>
    <w:p>
      <w:r>
        <w:t>The project begins from the idea that typography can do more than communicate text. It can carry memory, evidence, testimony, belonging, and cultural negotiation. In this thesis, letters are not only formal shapes. They are traces of lived experience, multilingual speech, migration, labour, care, and visual memory. The project asks how an alphabet can be built from the everyday environments of participants, and how that alphabet can remain accountable to the stories and places that shaped it.</w:t>
      </w:r>
    </w:p>
    <w:p>
      <w:r>
        <w:t>The practical outcome will be a body of typographic work that may include a co-designed alphabet or type family, printed alphabet posters, type specimens, multilingual reading tests, process documentation, digital specimens, motion studies, and an exhibition installation. The exhibition will present typography not as a single finished font, but as a research process involving interviews, visual mapping, sketches, proofs, printing plates, screen or letterpress experiments, variable font tests, and reflective writing. The thesis paper will accompany the exhibition by explaining the theoretical, methodological, ethical, and material decisions behind the work.</w:t>
      </w:r>
    </w:p>
    <w:p>
      <w:r>
        <w:t>A central component of the project will be the production of letterpress posters on a Heidelberg Windmill Platen Press. These posters will use the alphabet as both image and text. They may include full alphabet sheets, selected glyphs, participant-informed words or phrases, bilingual or multilingual fragments, and visual references from the corridor. The poster series will test how the alphabet behaves when translated from digital outlines into relief printing. The pressure of the press, the absorbency of paper, the density of ink, the slight variations of registration, and the tactile impression of the printed surface will become part of the research. This process will allow the project to ask what happens when a new media alphabet enters an older print technology associated with reproduction, craft, labour, industry, and public circulation.</w:t>
      </w:r>
    </w:p>
    <w:p>
      <w:r>
        <w:t>The project is interdisciplinary because it sits between type design, printmaking, visual culture, oral history, Latin American diasporic studies, decolonial design, archival thinking, and new media. It is not only about producing beautiful letterforms. It is about asking who gets represented through typography, who defines readability and quality, how multilingual readers experience text, and how design can make communities visible without reducing them to aesthetic material.</w:t>
      </w:r>
    </w:p>
    <w:p>
      <w:r>
        <w:t>At the level of tone and method, the project will use reflective and reflexive writing. Reflective writing will help describe what happens in the process: what I observe, make, test, and learn. Reflexive writing will go further by asking how my own position shapes the research: what I choose to see, what I translate into typography, what I might miss, and how power operates through the act of making. This is important because the project does not treat the designer as neutral. The designer is part of the research situation.</w:t>
      </w:r>
    </w:p>
    <w:p>
      <w:r>
        <w:t>The thesis argues that a co-designed alphabet can function as a form of archive, but only if the process remains ethical, participatory, and materially accountable. The alphabet should not extract identity from participants or flatten Latino life into a decorative style. Instead, it should open a space for shared authorship, careful listening, and public presentation that respects complexity, consent, and refusal.</w:t>
      </w:r>
    </w:p>
    <w:p/>
    <w:p>
      <w:pPr>
        <w:pStyle w:val="Heading1"/>
      </w:pPr>
      <w:r>
        <w:t>Section 02: Contents of the thesis</w:t>
      </w:r>
    </w:p>
    <w:p>
      <w:r>
        <w:t>The thesis will have two major components: a research-creation exhibition and a written thesis paper. These two parts will support each other. The exhibition will make the research visible through typography, print, process, and installation. The paper will explain the conceptual, theoretical, methodological, and ethical framework of the work.</w:t>
      </w:r>
    </w:p>
    <w:p>
      <w:pPr>
        <w:pStyle w:val="Heading2"/>
      </w:pPr>
      <w:r>
        <w:t>2.1 Exhibition component</w:t>
      </w:r>
    </w:p>
    <w:p>
      <w:r>
        <w:t>The exhibition will present the project as an evolving typographic archive. It may include the following components:</w:t>
      </w:r>
    </w:p>
    <w:p>
      <w:pPr>
        <w:pStyle w:val="Heading3"/>
      </w:pPr>
      <w:r>
        <w:t>A. Co-designed alphabet or type family</w:t>
      </w:r>
    </w:p>
    <w:p>
      <w:r>
        <w:t>The central artifact will be an alphabet or type family developed through participant-informed research. The alphabet will not be treated as a neutral set of letters. It will be understood as a visual system built through conversations, observations, maps, objects, memories, signs, and design decisions. It may include uppercase, lowercase, numerals, punctuation, diacritics, accented characters, and selected extended Latin glyphs relevant to Spanish, English, Portuguese, and hybrid language practices that appear in the research.</w:t>
      </w:r>
    </w:p>
    <w:p>
      <w:r>
        <w:t>The alphabet may grow from earlier typeface explorations such as Otavalo, especially where Andean textile references, monolinear construction, rhythm, and modular thinking have already opened a way to connect cultural memory with typographic form. However, the thesis alphabet must be developed with attention to the London-Sarnia corridor and to the specific participants involved. The goal is not to apply a single Latin American style, but to develop a situated typographic language through research.</w:t>
      </w:r>
    </w:p>
    <w:p>
      <w:pPr>
        <w:pStyle w:val="Heading3"/>
      </w:pPr>
      <w:r>
        <w:t>B. Heidelberg Windmill Platen Press poster series</w:t>
      </w:r>
    </w:p>
    <w:p>
      <w:r>
        <w:t>The poster series will be a key material outcome. The posters will translate the alphabet into letterpress printed artifacts using a Heidelberg Windmill Platen Press. The series may include:</w:t>
      </w:r>
    </w:p>
    <w:p>
      <w:pPr>
        <w:pStyle w:val="ListBullet"/>
      </w:pPr>
      <w:r>
        <w:t>A full alphabet poster showing the glyph set.</w:t>
      </w:r>
    </w:p>
    <w:p>
      <w:pPr>
        <w:pStyle w:val="ListBullet"/>
      </w:pPr>
      <w:r>
        <w:t>A specimen poster showing weights, spacing, accents, numerals, punctuation, and test words.</w:t>
      </w:r>
    </w:p>
    <w:p>
      <w:pPr>
        <w:pStyle w:val="ListBullet"/>
      </w:pPr>
      <w:r>
        <w:t>A corridor poster using place names, road references, routes, storefront fragments, or participant-informed words.</w:t>
      </w:r>
    </w:p>
    <w:p>
      <w:pPr>
        <w:pStyle w:val="ListBullet"/>
      </w:pPr>
      <w:r>
        <w:t>A multilingual poster testing English, Spanish, Spanglish, and accented characters.</w:t>
      </w:r>
    </w:p>
    <w:p>
      <w:pPr>
        <w:pStyle w:val="ListBullet"/>
      </w:pPr>
      <w:r>
        <w:t>A process poster documenting plate, paper, proof, impression, and registration.</w:t>
      </w:r>
    </w:p>
    <w:p>
      <w:pPr>
        <w:pStyle w:val="ListBullet"/>
      </w:pPr>
      <w:r>
        <w:t>A limited edition poster set, numbered and documented as part of the archive.</w:t>
      </w:r>
    </w:p>
    <w:p>
      <w:r>
        <w:t>The posters will be produced under technician or expert printer supervision. The process will be treated as a research method, not simply as production. Each stage will generate evidence: digital files, plate proofs, make-ready notes, proof sheets, rejected prints, registration tests, ink tests, paper tests, and final editions.</w:t>
      </w:r>
    </w:p>
    <w:p>
      <w:pPr>
        <w:pStyle w:val="Heading3"/>
      </w:pPr>
      <w:r>
        <w:t>C. Type specimens and reading tests</w:t>
      </w:r>
    </w:p>
    <w:p>
      <w:r>
        <w:t>The exhibition may include type specimens that test the alphabet across multiple conditions:</w:t>
      </w:r>
    </w:p>
    <w:p>
      <w:pPr>
        <w:pStyle w:val="ListBullet"/>
      </w:pPr>
      <w:r>
        <w:t>Alphabet display sheets.</w:t>
      </w:r>
    </w:p>
    <w:p>
      <w:pPr>
        <w:pStyle w:val="ListBullet"/>
      </w:pPr>
      <w:r>
        <w:t>Paragraph settings.</w:t>
      </w:r>
    </w:p>
    <w:p>
      <w:pPr>
        <w:pStyle w:val="ListBullet"/>
      </w:pPr>
      <w:r>
        <w:t>Bilingual and multilingual text samples.</w:t>
      </w:r>
    </w:p>
    <w:p>
      <w:pPr>
        <w:pStyle w:val="ListBullet"/>
      </w:pPr>
      <w:r>
        <w:t>Accented character tests.</w:t>
      </w:r>
    </w:p>
    <w:p>
      <w:pPr>
        <w:pStyle w:val="ListBullet"/>
      </w:pPr>
      <w:r>
        <w:t>Spacing and rhythm studies.</w:t>
      </w:r>
    </w:p>
    <w:p>
      <w:pPr>
        <w:pStyle w:val="ListBullet"/>
      </w:pPr>
      <w:r>
        <w:t>Large scale poster settings.</w:t>
      </w:r>
    </w:p>
    <w:p>
      <w:pPr>
        <w:pStyle w:val="ListBullet"/>
      </w:pPr>
      <w:r>
        <w:t>Small scale body text tests.</w:t>
      </w:r>
    </w:p>
    <w:p>
      <w:pPr>
        <w:pStyle w:val="ListBullet"/>
      </w:pPr>
      <w:r>
        <w:t>Variable weight or style tests.</w:t>
      </w:r>
    </w:p>
    <w:p>
      <w:pPr>
        <w:pStyle w:val="ListBullet"/>
      </w:pPr>
      <w:r>
        <w:t>Readability comparisons.</w:t>
      </w:r>
    </w:p>
    <w:p>
      <w:r>
        <w:t>These specimens will help connect the formal craft of typography to the research questions about quality, readability, language, and access.</w:t>
      </w:r>
    </w:p>
    <w:p>
      <w:pPr>
        <w:pStyle w:val="Heading3"/>
      </w:pPr>
      <w:r>
        <w:t>D. Visual ecology wall or map</w:t>
      </w:r>
    </w:p>
    <w:p>
      <w:r>
        <w:t>A visual ecology section may document the London-Sarnia corridor as a source of typographic material. This could include photographs, maps, sketches, notes, selected signs, storefront details, route diagrams, object studies, and participant-generated visual references. The purpose is to show how letterforms emerge from place rather than from abstract style alone.</w:t>
      </w:r>
    </w:p>
    <w:p>
      <w:r>
        <w:t>Possible materials include:</w:t>
      </w:r>
    </w:p>
    <w:p>
      <w:pPr>
        <w:pStyle w:val="ListBullet"/>
      </w:pPr>
      <w:r>
        <w:t>Photographs of signage, stores, streets, churches, service spaces, restaurants, homes, community spaces, and vehicles.</w:t>
      </w:r>
    </w:p>
    <w:p>
      <w:pPr>
        <w:pStyle w:val="ListBullet"/>
      </w:pPr>
      <w:r>
        <w:t>Participant route maps.</w:t>
      </w:r>
    </w:p>
    <w:p>
      <w:pPr>
        <w:pStyle w:val="ListBullet"/>
      </w:pPr>
      <w:r>
        <w:t>Handwritten notes or redrawn fragments, only with consent.</w:t>
      </w:r>
    </w:p>
    <w:p>
      <w:pPr>
        <w:pStyle w:val="ListBullet"/>
      </w:pPr>
      <w:r>
        <w:t>Colour studies from the corridor.</w:t>
      </w:r>
    </w:p>
    <w:p>
      <w:pPr>
        <w:pStyle w:val="ListBullet"/>
      </w:pPr>
      <w:r>
        <w:t>Texture studies from paper, fabric, walls, packaging, textiles, and printed ephemera.</w:t>
      </w:r>
    </w:p>
    <w:p>
      <w:pPr>
        <w:pStyle w:val="ListBullet"/>
      </w:pPr>
      <w:r>
        <w:t>Diagrams connecting locations to typographic decisions.</w:t>
      </w:r>
    </w:p>
    <w:p>
      <w:pPr>
        <w:pStyle w:val="Heading3"/>
      </w:pPr>
      <w:r>
        <w:t>E. Process archive</w:t>
      </w:r>
    </w:p>
    <w:p>
      <w:r>
        <w:t>The process archive will show the making of the work. It may include:</w:t>
      </w:r>
    </w:p>
    <w:p>
      <w:pPr>
        <w:pStyle w:val="ListBullet"/>
      </w:pPr>
      <w:r>
        <w:t>Interview prompts and anonymized summaries.</w:t>
      </w:r>
    </w:p>
    <w:p>
      <w:pPr>
        <w:pStyle w:val="ListBullet"/>
      </w:pPr>
      <w:r>
        <w:t>Visual mapping exercises.</w:t>
      </w:r>
    </w:p>
    <w:p>
      <w:pPr>
        <w:pStyle w:val="ListBullet"/>
      </w:pPr>
      <w:r>
        <w:t>Sketches and letterform development.</w:t>
      </w:r>
    </w:p>
    <w:p>
      <w:pPr>
        <w:pStyle w:val="ListBullet"/>
      </w:pPr>
      <w:r>
        <w:t>Glyph proofs.</w:t>
      </w:r>
    </w:p>
    <w:p>
      <w:pPr>
        <w:pStyle w:val="ListBullet"/>
      </w:pPr>
      <w:r>
        <w:t>Spacing sheets.</w:t>
      </w:r>
    </w:p>
    <w:p>
      <w:pPr>
        <w:pStyle w:val="ListBullet"/>
      </w:pPr>
      <w:r>
        <w:t>Variable font axis tests.</w:t>
      </w:r>
    </w:p>
    <w:p>
      <w:pPr>
        <w:pStyle w:val="ListBullet"/>
      </w:pPr>
      <w:r>
        <w:t>UFO or designspace diagrams.</w:t>
      </w:r>
    </w:p>
    <w:p>
      <w:pPr>
        <w:pStyle w:val="ListBullet"/>
      </w:pPr>
      <w:r>
        <w:t>Plate proofs and print tests.</w:t>
      </w:r>
    </w:p>
    <w:p>
      <w:pPr>
        <w:pStyle w:val="ListBullet"/>
      </w:pPr>
      <w:r>
        <w:t>Screenprint or letterpress process documentation.</w:t>
      </w:r>
    </w:p>
    <w:p>
      <w:pPr>
        <w:pStyle w:val="ListBullet"/>
      </w:pPr>
      <w:r>
        <w:t>Reflection notes.</w:t>
      </w:r>
    </w:p>
    <w:p>
      <w:pPr>
        <w:pStyle w:val="ListBullet"/>
      </w:pPr>
      <w:r>
        <w:t>Consent and circulation decisions, shown in a careful and non-private way.</w:t>
      </w:r>
    </w:p>
    <w:p>
      <w:r>
        <w:t>This section will communicate that the thesis is not only the final alphabet. It is also the process of making, testing, revising, and negotiating representation.</w:t>
      </w:r>
    </w:p>
    <w:p>
      <w:pPr>
        <w:pStyle w:val="Heading3"/>
      </w:pPr>
      <w:r>
        <w:t>F. Motion or digital specimen</w:t>
      </w:r>
    </w:p>
    <w:p>
      <w:r>
        <w:t>A digital component may show the alphabet in motion or variable states. This could include a screen-based specimen, a short kinetic typography sequence, a variable font slider, or an animation responding to rhythm, voice, sound, or route movement. This connects the project to new media alphabets and shows how the same type system can exist across print, screen, motion, and archive.</w:t>
      </w:r>
    </w:p>
    <w:p>
      <w:pPr>
        <w:pStyle w:val="Heading2"/>
      </w:pPr>
      <w:r>
        <w:t>2.2 Written thesis paper</w:t>
      </w:r>
    </w:p>
    <w:p>
      <w:r>
        <w:t>The written paper will likely include the following chapters or sections:</w:t>
      </w:r>
    </w:p>
    <w:p>
      <w:r>
        <w:t>1. Introduction: project context, research question, personal position, scope, and significance.</w:t>
      </w:r>
    </w:p>
    <w:p>
      <w:r>
        <w:t>2. Typography as archive: type as testimony, evidence, memory, and cultural record.</w:t>
      </w:r>
    </w:p>
    <w:p>
      <w:r>
        <w:t>3. Who defines good typography: typographic standards, power, legibility, professionalism, and decolonial critique.</w:t>
      </w:r>
    </w:p>
    <w:p>
      <w:r>
        <w:t>4. Typographic mechanics and multilingual reading: spacing, hierarchy, paragraph structure, accents, extended Latin characters, and readability testing.</w:t>
      </w:r>
    </w:p>
    <w:p>
      <w:r>
        <w:t>5. Ethical visibility: consent, co-authorship, circulation, representation, anonymity, refusal, and non-extractive design.</w:t>
      </w:r>
    </w:p>
    <w:p>
      <w:r>
        <w:t>6. Corridor life as visual ecology: London-Sarnia as lived geography, movement, labour, storefronts, domestic life, and visual memory.</w:t>
      </w:r>
    </w:p>
    <w:p>
      <w:r>
        <w:t>7. Methodology: research-creation, interviews, visual mapping, participatory workshops, type design, printmaking, and reflexive writing.</w:t>
      </w:r>
    </w:p>
    <w:p>
      <w:r>
        <w:t>8. Making process: alphabet development, variable font testing, specimen design, Heidelberg Windmill poster production, documentation, and exhibition design.</w:t>
      </w:r>
    </w:p>
    <w:p>
      <w:r>
        <w:t>9. Analysis and reflection: what the making reveals about typography, place, language, ethics, and materiality.</w:t>
      </w:r>
    </w:p>
    <w:p>
      <w:r>
        <w:t>10. Conclusion: contribution to design research, typography, Latino representation, and research-creation.</w:t>
      </w:r>
    </w:p>
    <w:p>
      <w:pPr>
        <w:pStyle w:val="Heading2"/>
      </w:pPr>
      <w:r>
        <w:t>2.3 Relationship between exhibition and paper</w:t>
      </w:r>
    </w:p>
    <w:p>
      <w:r>
        <w:t>The exhibition and paper should not repeat the same information in different formats. Instead, they should do different kinds of work.</w:t>
      </w:r>
    </w:p>
    <w:p>
      <w:r>
        <w:t>The exhibition should allow viewers to encounter the alphabet materially and visually. It should show the scale, texture, rhythm, colour, pressure, and spatial presence of the work. It should let viewers see the process of translation from everyday reference to letterform, from letterform to font, from font to poster, and from poster to archive.</w:t>
      </w:r>
    </w:p>
    <w:p>
      <w:r>
        <w:t>The paper should make the argument explicit. It should explain why typography can be understood as archive, how typographic standards are shaped by power, why multilingual readability matters, how ethics enters the process, and how corridor life informs the visual system. The paper should also reflect on what the making process taught me, especially where the process complicated my original assumptions.</w:t>
      </w:r>
    </w:p>
    <w:p/>
    <w:p>
      <w:pPr>
        <w:pStyle w:val="Heading1"/>
      </w:pPr>
      <w:r>
        <w:t>Section 03: Research Questions. What are you exploring?</w:t>
      </w:r>
    </w:p>
    <w:p>
      <w:pPr>
        <w:pStyle w:val="Heading2"/>
      </w:pPr>
      <w:r>
        <w:t>3.1 Main research question</w:t>
      </w:r>
    </w:p>
    <w:p>
      <w:r>
        <w:t>How can co-designed alphabets developed with Latino residents along the London-Sarnia corridor document everyday life, challenge dominant assumptions about typographic quality and multilingual readability, and support ethical forms of visibility and representation?</w:t>
      </w:r>
    </w:p>
    <w:p>
      <w:pPr>
        <w:pStyle w:val="Heading2"/>
      </w:pPr>
      <w:r>
        <w:t>3.2 Supporting research questions</w:t>
      </w:r>
    </w:p>
    <w:p>
      <w:pPr>
        <w:pStyle w:val="Heading3"/>
      </w:pPr>
      <w:r>
        <w:t>RQ1. Typography as archive</w:t>
      </w:r>
    </w:p>
    <w:p>
      <w:r>
        <w:t>How can typography function as archive, evidence, testimony, and cultural record rather than only as aesthetic communication?</w:t>
      </w:r>
    </w:p>
    <w:p>
      <w:r>
        <w:t>This question asks whether an alphabet can hold more than visual style. In this thesis, the alphabet becomes a way to register everyday experience: migration stories, family memories, labour routes, visual habits, handwritten marks, storefront signs, religious spaces, digital messages, and objects of home. The goal is not to make a documentary in the traditional sense, but to ask how letterforms can document lived conditions through design.</w:t>
      </w:r>
    </w:p>
    <w:p>
      <w:r>
        <w:t>This question also asks what counts as an archive. Official archives often privilege institutions, written documents, photographs, and state records. Latino everyday life in Southwestern Ontario may not always be preserved in those official spaces. Typography can help create another kind of archive, one built from lived visual culture, shared decisions, and material traces. Posters, specimens, proofs, maps, interviews, and process notes can all become part of this archive.</w:t>
      </w:r>
    </w:p>
    <w:p>
      <w:r>
        <w:rPr>
          <w:b/>
        </w:rPr>
        <w:t>Working hypothesis:</w:t>
      </w:r>
      <w:r>
        <w:t xml:space="preserve"> Co-designed alphabets built from participants’ everyday visual environments can function as documentary evidence by recording social, cultural, and spatial experiences often excluded from official archives.</w:t>
      </w:r>
    </w:p>
    <w:p>
      <w:r>
        <w:rPr>
          <w:b/>
        </w:rPr>
        <w:t>Working claim:</w:t>
      </w:r>
      <w:r>
        <w:t xml:space="preserve"> Typography can operate as testimony and archive, not only as formal communication.</w:t>
      </w:r>
    </w:p>
    <w:p>
      <w:pPr>
        <w:pStyle w:val="Heading3"/>
      </w:pPr>
      <w:r>
        <w:t>RQ2. Who defines good typography?</w:t>
      </w:r>
    </w:p>
    <w:p>
      <w:r>
        <w:t>Who has the authority to define what counts as clear, correct, readable, professional, or good typography?</w:t>
      </w:r>
    </w:p>
    <w:p>
      <w:r>
        <w:t>This question challenges the idea that typographic quality is universal. In professional design education, good typography is often associated with balance, clarity, hierarchy, legibility, consistency, and restraint. These values are important, but they are not neutral. They come from histories of publishing, institutions, printing traditions, European modernism, design schools, commercial standards, and dominant language systems.</w:t>
      </w:r>
    </w:p>
    <w:p>
      <w:r>
        <w:t>For a multilingual Latino community, good typography may also mean recognition, accent support, cultural familiarity, warmth, improvisation, memory, sound, colour, and emotional resonance. A letterform that appears too informal in one design tradition may feel familiar or meaningful in another context. A sign that appears imperfect may still carry strong community value. This does not mean that craft or legibility should be abandoned. It means that the criteria for judging typography should be examined, expanded, and tested.</w:t>
      </w:r>
    </w:p>
    <w:p>
      <w:r>
        <w:rPr>
          <w:b/>
        </w:rPr>
        <w:t>Working hypothesis:</w:t>
      </w:r>
      <w:r>
        <w:t xml:space="preserve"> Participatory typographic workshops will show that typographic quality is culturally situated, and that participants may value recognition, belonging, linguistic fit, and affective connection alongside professional standards.</w:t>
      </w:r>
    </w:p>
    <w:p>
      <w:r>
        <w:rPr>
          <w:b/>
        </w:rPr>
        <w:t>Working claim:</w:t>
      </w:r>
      <w:r>
        <w:t xml:space="preserve"> What counts as good typography is shaped by cultural norms, institutional histories, dominant languages, and relations of power.</w:t>
      </w:r>
    </w:p>
    <w:p>
      <w:pPr>
        <w:pStyle w:val="Heading3"/>
      </w:pPr>
      <w:r>
        <w:t>RQ3. Typographic mechanics and multilingual reading</w:t>
      </w:r>
    </w:p>
    <w:p>
      <w:r>
        <w:t>How do spacing, hierarchy, contrast, paragraph structure, rhythm, scale, accents, and extended Latin characters shape multilingual reading?</w:t>
      </w:r>
    </w:p>
    <w:p>
      <w:r>
        <w:t>This question grounds the project in typographic craft. It asks how the alphabet actually performs when it becomes words, lines, paragraphs, signs, posters, and digital specimens. It is not enough for the alphabet to look conceptually strong. It must be tested in real reading conditions.</w:t>
      </w:r>
    </w:p>
    <w:p>
      <w:r>
        <w:t>Multilingual typography creates specific challenges. Spanish and English have different word lengths, punctuation patterns, accents, rhythms, and visual textures. Accented characters must not feel like additions or afterthoughts. Spacing must work with diacritics. Hierarchy must support bilingual reading. Paragraph settings must be tested across languages. A poster that works in English may not work the same way in Spanish or mixed-language text.</w:t>
      </w:r>
    </w:p>
    <w:p>
      <w:r>
        <w:rPr>
          <w:b/>
        </w:rPr>
        <w:t>Working hypothesis:</w:t>
      </w:r>
      <w:r>
        <w:t xml:space="preserve"> Systematic testing of multilingual text through typographic variation will demonstrate that readability is context-dependent and that conventional typographic settings often privilege dominant language norms.</w:t>
      </w:r>
    </w:p>
    <w:p>
      <w:r>
        <w:rPr>
          <w:b/>
        </w:rPr>
        <w:t>Working claim:</w:t>
      </w:r>
      <w:r>
        <w:t xml:space="preserve"> Microtypographic decisions are not only technical adjustments. They are cultural choices that reveal assumptions about who the normal reader is.</w:t>
      </w:r>
    </w:p>
    <w:p>
      <w:pPr>
        <w:pStyle w:val="Heading3"/>
      </w:pPr>
      <w:r>
        <w:t>RQ4. Ethical visibility</w:t>
      </w:r>
    </w:p>
    <w:p>
      <w:r>
        <w:t>How can the project support visibility without becoming extractive, reductive, or disconnected from participant agency?</w:t>
      </w:r>
    </w:p>
    <w:p>
      <w:r>
        <w:t>Visibility is not automatically ethical. Making a community more visible can support recognition, but it can also expose participants to misrepresentation, simplification, surveillance, or cultural branding. This is especially important when personal stories, language, migration histories, and cultural references are translated into public design artifacts.</w:t>
      </w:r>
    </w:p>
    <w:p>
      <w:r>
        <w:t>This question asks how consent, anonymity, authorship, review, circulation, and refusal will be handled. Participants should not be treated as sources of visual material to be mined. They should have meaningful control over what is collected, what is interpreted, what becomes public, and how their contributions are named or protected. The project must ask who benefits from the work and how the final alphabet avoids turning lived experience into decorative style.</w:t>
      </w:r>
    </w:p>
    <w:p>
      <w:r>
        <w:rPr>
          <w:b/>
        </w:rPr>
        <w:t>Working hypothesis:</w:t>
      </w:r>
      <w:r>
        <w:t xml:space="preserve"> When participants retain control over selection, naming, interpretation, and circulation, typographic representation can support visibility in ways that are more ethical, collaborative, and resistant to extraction.</w:t>
      </w:r>
    </w:p>
    <w:p>
      <w:r>
        <w:rPr>
          <w:b/>
        </w:rPr>
        <w:t>Working claim:</w:t>
      </w:r>
      <w:r>
        <w:t xml:space="preserve"> Ethical representation requires attention to power, consent, framing, circulation, and public consequence.</w:t>
      </w:r>
    </w:p>
    <w:p>
      <w:pPr>
        <w:pStyle w:val="Heading3"/>
      </w:pPr>
      <w:r>
        <w:t>RQ5. Corridor life as visual ecology</w:t>
      </w:r>
    </w:p>
    <w:p>
      <w:r>
        <w:t>How does the London-Sarnia corridor shape the visual references, stories, and letterforms of the project?</w:t>
      </w:r>
    </w:p>
    <w:p>
      <w:r>
        <w:t>This question grounds the thesis in place. The corridor is not only a background. It is a lived environment made of routes, infrastructures, industries, fields, stores, kitchens, community spaces, churches, sidewalks, highways, bus rides, workplaces, and digital networks. These environments shape what participants see, remember, trust, avoid, and carry with them.</w:t>
      </w:r>
    </w:p>
    <w:p>
      <w:r>
        <w:t>A visual ecology approach means studying how signs, surfaces, materials, movements, and bodies interact. It also means recognizing that Latino life in Southwestern Ontario is not located in a single neighbourhood or one symbolic place. It may be dispersed across commutes, work shifts, family networks, community events, restaurants, student life, religious spaces, and online communication.</w:t>
      </w:r>
    </w:p>
    <w:p>
      <w:r>
        <w:rPr>
          <w:b/>
        </w:rPr>
        <w:t>Working hypothesis:</w:t>
      </w:r>
      <w:r>
        <w:t xml:space="preserve"> The visual environments of the London-Sarnia corridor will reveal recurring typographic patterns connected to labour, transit, commerce, domestic life, and community identity, and those patterns will shape the alphabet.</w:t>
      </w:r>
    </w:p>
    <w:p>
      <w:r>
        <w:rPr>
          <w:b/>
        </w:rPr>
        <w:t>Working claim:</w:t>
      </w:r>
      <w:r>
        <w:t xml:space="preserve"> Typography is shaped by place. It emerges not only from formal design history, but also from the everyday environments through which people move, work, and build meaning.</w:t>
      </w:r>
    </w:p>
    <w:p>
      <w:pPr>
        <w:pStyle w:val="Heading2"/>
      </w:pPr>
      <w:r>
        <w:t>3.3 Research question diagram</w:t>
      </w:r>
    </w:p>
    <w:p>
      <w:pPr/>
      <w:r>
        <w:rPr>
          <w:rFonts w:ascii="Courier New" w:hAnsi="Courier New"/>
          <w:sz w:val="16"/>
        </w:rPr>
        <w:t>MAIN QUESTION</w:t>
        <w:br/>
      </w:r>
      <w:r>
        <w:rPr>
          <w:rFonts w:ascii="Courier New" w:hAnsi="Courier New"/>
          <w:sz w:val="16"/>
        </w:rPr>
        <w:t>How can co-designed alphabets document Latino life, challenge typographic norms,</w:t>
        <w:br/>
      </w:r>
      <w:r>
        <w:rPr>
          <w:rFonts w:ascii="Courier New" w:hAnsi="Courier New"/>
          <w:sz w:val="16"/>
        </w:rPr>
        <w:t>and support ethical visibility in Southwestern Ontario?</w:t>
        <w:br/>
      </w:r>
      <w:r>
        <w:rPr>
          <w:rFonts w:ascii="Courier New" w:hAnsi="Courier New"/>
          <w:sz w:val="16"/>
        </w:rPr>
        <w:br/>
      </w:r>
      <w:r>
        <w:rPr>
          <w:rFonts w:ascii="Courier New" w:hAnsi="Courier New"/>
          <w:sz w:val="16"/>
        </w:rPr>
        <w:t xml:space="preserve">        |                     |                      |                       |                     |</w:t>
        <w:br/>
      </w:r>
      <w:r>
        <w:rPr>
          <w:rFonts w:ascii="Courier New" w:hAnsi="Courier New"/>
          <w:sz w:val="16"/>
        </w:rPr>
        <w:t xml:space="preserve">        v                     v                      v                       v                     v</w:t>
        <w:br/>
      </w:r>
      <w:r>
        <w:rPr>
          <w:rFonts w:ascii="Courier New" w:hAnsi="Courier New"/>
          <w:sz w:val="16"/>
        </w:rPr>
        <w:t xml:space="preserve"> Typography as        Who defines good       Typographic mechanics       Ethical visibility       Corridor life as</w:t>
        <w:br/>
      </w:r>
      <w:r>
        <w:rPr>
          <w:rFonts w:ascii="Courier New" w:hAnsi="Courier New"/>
          <w:sz w:val="16"/>
        </w:rPr>
        <w:t xml:space="preserve"> archive              typography?            and multilingual reading     and representation       visual ecology</w:t>
        <w:br/>
      </w:r>
      <w:r>
        <w:rPr>
          <w:rFonts w:ascii="Courier New" w:hAnsi="Courier New"/>
          <w:sz w:val="16"/>
        </w:rPr>
        <w:br/>
      </w:r>
      <w:r>
        <w:rPr>
          <w:rFonts w:ascii="Courier New" w:hAnsi="Courier New"/>
          <w:sz w:val="16"/>
        </w:rPr>
        <w:t xml:space="preserve">        |                     |                      |                       |                     |</w:t>
        <w:br/>
      </w:r>
      <w:r>
        <w:rPr>
          <w:rFonts w:ascii="Courier New" w:hAnsi="Courier New"/>
          <w:sz w:val="16"/>
        </w:rPr>
        <w:t xml:space="preserve">        v                     v                      v                       v                     v</w:t>
        <w:br/>
      </w:r>
      <w:r>
        <w:rPr>
          <w:rFonts w:ascii="Courier New" w:hAnsi="Courier New"/>
          <w:sz w:val="16"/>
        </w:rPr>
        <w:t xml:space="preserve"> Memory, testimony    Power, standards,       Spacing, rhythm,             Consent, agency,         Routes, labour,</w:t>
        <w:br/>
      </w:r>
      <w:r>
        <w:rPr>
          <w:rFonts w:ascii="Courier New" w:hAnsi="Courier New"/>
          <w:sz w:val="16"/>
        </w:rPr>
        <w:t xml:space="preserve"> evidence, record     professionalism         accents, hierarchy          refusal, circulation     signs, home, movement</w:t>
        <w:br/>
      </w:r>
      <w:r>
        <w:rPr>
          <w:rFonts w:ascii="Courier New" w:hAnsi="Courier New"/>
          <w:sz w:val="16"/>
        </w:rPr>
        <w:br/>
      </w:r>
      <w:r>
        <w:rPr>
          <w:rFonts w:ascii="Courier New" w:hAnsi="Courier New"/>
          <w:sz w:val="16"/>
        </w:rPr>
        <w:t xml:space="preserve">        \______________________________  CO-DESIGNED ALPHABET  ______________________________/</w:t>
        <w:br/>
      </w:r>
      <w:r>
        <w:rPr>
          <w:rFonts w:ascii="Courier New" w:hAnsi="Courier New"/>
          <w:sz w:val="16"/>
        </w:rPr>
        <w:t xml:space="preserve">                                          |</w:t>
        <w:br/>
      </w:r>
      <w:r>
        <w:rPr>
          <w:rFonts w:ascii="Courier New" w:hAnsi="Courier New"/>
          <w:sz w:val="16"/>
        </w:rPr>
        <w:t xml:space="preserve">                                          v</w:t>
        <w:br/>
      </w:r>
      <w:r>
        <w:rPr>
          <w:rFonts w:ascii="Courier New" w:hAnsi="Courier New"/>
          <w:sz w:val="16"/>
        </w:rPr>
        <w:t xml:space="preserve">                               PRINT, SCREEN, MOTION, EXHIBITION,</w:t>
        <w:br/>
      </w:r>
      <w:r>
        <w:rPr>
          <w:rFonts w:ascii="Courier New" w:hAnsi="Courier New"/>
          <w:sz w:val="16"/>
        </w:rPr>
        <w:t xml:space="preserve">                               THESIS PAPER, PROCESS ARCHIVE</w:t>
        <w:br/>
      </w:r>
    </w:p>
    <w:p/>
    <w:p>
      <w:pPr>
        <w:pStyle w:val="Heading1"/>
      </w:pPr>
      <w:r>
        <w:t>Section 04: Project objectives</w:t>
      </w:r>
    </w:p>
    <w:p>
      <w:pPr>
        <w:pStyle w:val="Heading2"/>
      </w:pPr>
      <w:r>
        <w:t>4.1 Objective 1: Develop a co-designed alphabet as research-creation</w:t>
      </w:r>
    </w:p>
    <w:p>
      <w:r>
        <w:t>The first objective is to develop an alphabet or type family through a research-creation process involving Latino participants along the London-Sarnia corridor. The alphabet should emerge from a combination of interviews, visual mapping, observation, typographic analysis, sketching, digital drawing, and iterative testing. It should not simply illustrate Latino identity. It should be built from specific references, conversations, sites, and decisions.</w:t>
      </w:r>
    </w:p>
    <w:p>
      <w:r>
        <w:t>This objective connects to interdisciplinary practice because the alphabet will be both a design object and a research method. It will require type design, qualitative research, visual culture analysis, participatory practice, and reflective writing. The final alphabet will be judged not only by its formal quality, but also by how responsibly it carries the process that shaped it.</w:t>
      </w:r>
    </w:p>
    <w:p>
      <w:pPr>
        <w:pStyle w:val="Heading2"/>
      </w:pPr>
      <w:r>
        <w:t>4.2 Objective 2: Examine who defines typographic quality</w:t>
      </w:r>
    </w:p>
    <w:p>
      <w:r>
        <w:t>The second objective is to question the authority of inherited typographic standards. The project will examine how ideas such as legibility, readability, professionalism, neutrality, consistency, and correctness are produced. It will ask how those standards relate to institutions, language dominance, design education, publishing conventions, and Euro-American typographic histories.</w:t>
      </w:r>
    </w:p>
    <w:p>
      <w:r>
        <w:t>This objective does not reject craft. Instead, it asks how craft can be made more accountable. The alphabet will still need careful spacing, rhythm, hierarchy, and glyph construction. However, the project will also ask whether participants recognize themselves in the form, whether accented characters are respected, whether bilingual reading feels natural, and whether the visual system can carry emotional and cultural meaning.</w:t>
      </w:r>
    </w:p>
    <w:p>
      <w:pPr>
        <w:pStyle w:val="Heading2"/>
      </w:pPr>
      <w:r>
        <w:t>4.3 Objective 3: Test typographic mechanics in multilingual conditions</w:t>
      </w:r>
    </w:p>
    <w:p>
      <w:r>
        <w:t>The third objective is to test the alphabet across multilingual reading conditions. This includes letter spacing, word spacing, line spacing, line length, paragraph structure, contrast, hierarchy, scale, weight, accents, punctuation, numerals, and bilingual layout. The project should produce proofs that show how the alphabet works in English, Spanish, mixed-language text, and possibly other extended Latin contexts depending on the participant group.</w:t>
      </w:r>
    </w:p>
    <w:p>
      <w:r>
        <w:t>This objective connects directly to new technologies and digital workflows. Tools such as Glyphs, RoboFont, Fontra Pak, UFO files, designspace files, variable font exports, and proofing scripts will allow the alphabet to be tested as a system rather than as a fixed set of drawings. Variable font logic may help test weight, width, contrast, or other axes if relevant to the final design.</w:t>
      </w:r>
    </w:p>
    <w:p>
      <w:pPr>
        <w:pStyle w:val="Heading2"/>
      </w:pPr>
      <w:r>
        <w:t>4.4 Objective 4: Use Heidelberg Windmill poster printing as material research</w:t>
      </w:r>
    </w:p>
    <w:p>
      <w:r>
        <w:t>The fourth objective is to produce a poster series using a Heidelberg Windmill Platen Press. This is not only a production method. It is a way to study how the alphabet changes when it is translated into relief printing.</w:t>
      </w:r>
    </w:p>
    <w:p>
      <w:r>
        <w:t>The poster process will examine:</w:t>
      </w:r>
    </w:p>
    <w:p>
      <w:pPr>
        <w:pStyle w:val="ListBullet"/>
      </w:pPr>
      <w:r>
        <w:t>How digital outlines become physical printing surfaces.</w:t>
      </w:r>
    </w:p>
    <w:p>
      <w:pPr>
        <w:pStyle w:val="ListBullet"/>
      </w:pPr>
      <w:r>
        <w:t>How relief printing changes edge quality, texture, pressure, and contrast.</w:t>
      </w:r>
    </w:p>
    <w:p>
      <w:pPr>
        <w:pStyle w:val="ListBullet"/>
      </w:pPr>
      <w:r>
        <w:t>How paper choice affects ink absorption, impression, and readability.</w:t>
      </w:r>
    </w:p>
    <w:p>
      <w:pPr>
        <w:pStyle w:val="ListBullet"/>
      </w:pPr>
      <w:r>
        <w:t>How registration and editioning produce variation inside repetition.</w:t>
      </w:r>
    </w:p>
    <w:p>
      <w:pPr>
        <w:pStyle w:val="ListBullet"/>
      </w:pPr>
      <w:r>
        <w:t>How the alphabet performs at poster scale.</w:t>
      </w:r>
    </w:p>
    <w:p>
      <w:pPr>
        <w:pStyle w:val="ListBullet"/>
      </w:pPr>
      <w:r>
        <w:t>How the printed artifact changes the viewer’s relation to the alphabet.</w:t>
      </w:r>
    </w:p>
    <w:p>
      <w:pPr>
        <w:pStyle w:val="ListBullet"/>
      </w:pPr>
      <w:r>
        <w:t>How older print technology can dialogue with new media typography.</w:t>
      </w:r>
    </w:p>
    <w:p>
      <w:r>
        <w:t>This objective is important because the thesis title includes new media alphabets, but the project should not treat new media as only screen-based. New media can also be understood as the movement of an alphabet across formats: digital font, printed poster, type specimen, motion sequence, exhibition surface, and archive. The Heidelberg process allows the project to place a contemporary co-designed alphabet inside a historical technology of reproduction.</w:t>
      </w:r>
    </w:p>
    <w:p>
      <w:pPr>
        <w:pStyle w:val="Heading2"/>
      </w:pPr>
      <w:r>
        <w:t>4.5 Objective 5: Explore the relationship between material and narrative</w:t>
      </w:r>
    </w:p>
    <w:p>
      <w:r>
        <w:t>The fifth objective is to study how materials carry narrative. Ink, paper, plate, pressure, registration, screen, vector file, font data, route map, and wall installation all shape how the story is told. A letterform printed by letterpress communicates differently from the same letterform displayed on a screen. The material is not neutral. It affects how the alphabet feels, how it circulates, and how viewers understand it.</w:t>
      </w:r>
    </w:p>
    <w:p>
      <w:r>
        <w:t>For example, a deeply impressed letterpress poster may suggest weight, memory, presence, and touch. A variable digital specimen may suggest movement, adaptability, and systems. A map may suggest route, distance, and connection. A paragraph proof may suggest everyday reading. The thesis will examine how each material condition changes the meaning of the alphabet.</w:t>
      </w:r>
    </w:p>
    <w:p>
      <w:pPr>
        <w:pStyle w:val="Heading2"/>
      </w:pPr>
      <w:r>
        <w:t>4.6 Objective 6: Build an ethical and reflexive design process</w:t>
      </w:r>
    </w:p>
    <w:p>
      <w:r>
        <w:t>The sixth objective is to create a process that is ethically accountable. This includes informed consent, participant review, careful naming, anonymization where needed, shared decision-making, and attention to circulation. The project must clearly define what participants are agreeing to, what will be public, what can remain private, and how their contributions will be represented.</w:t>
      </w:r>
    </w:p>
    <w:p>
      <w:r>
        <w:t>Reflexive writing will be used throughout the process to examine my own role. This writing will ask:</w:t>
      </w:r>
    </w:p>
    <w:p>
      <w:pPr>
        <w:pStyle w:val="ListBullet"/>
      </w:pPr>
      <w:r>
        <w:t>Why did I choose this reference?</w:t>
      </w:r>
    </w:p>
    <w:p>
      <w:pPr>
        <w:pStyle w:val="ListBullet"/>
      </w:pPr>
      <w:r>
        <w:t>What am I translating into typography?</w:t>
      </w:r>
    </w:p>
    <w:p>
      <w:pPr>
        <w:pStyle w:val="ListBullet"/>
      </w:pPr>
      <w:r>
        <w:t>What might be lost in that translation?</w:t>
      </w:r>
    </w:p>
    <w:p>
      <w:pPr>
        <w:pStyle w:val="ListBullet"/>
      </w:pPr>
      <w:r>
        <w:t>Who has the authority to approve the form?</w:t>
      </w:r>
    </w:p>
    <w:p>
      <w:pPr>
        <w:pStyle w:val="ListBullet"/>
      </w:pPr>
      <w:r>
        <w:t>What does the participant recognize in the outcome?</w:t>
      </w:r>
    </w:p>
    <w:p>
      <w:pPr>
        <w:pStyle w:val="ListBullet"/>
      </w:pPr>
      <w:r>
        <w:t>What does the material process add or distort?</w:t>
      </w:r>
    </w:p>
    <w:p>
      <w:pPr>
        <w:pStyle w:val="ListBullet"/>
      </w:pPr>
      <w:r>
        <w:t>What should remain unprinted, unnamed, or private?</w:t>
      </w:r>
    </w:p>
    <w:p>
      <w:pPr>
        <w:pStyle w:val="Heading2"/>
      </w:pPr>
      <w:r>
        <w:t>4.7 Objective 7: Produce a thesis exhibition and paper that communicate the research clearly</w:t>
      </w:r>
    </w:p>
    <w:p>
      <w:r>
        <w:t>The final objective is to produce a coherent thesis exhibition and written paper. The exhibition should be visually strong, materially rich, and conceptually clear. The paper should articulate the project’s contribution to typography, design research, Latino representation, and research-creation.</w:t>
      </w:r>
    </w:p>
    <w:p/>
    <w:p>
      <w:pPr>
        <w:pStyle w:val="Heading1"/>
      </w:pPr>
      <w:r>
        <w:t>Section 05: Theoretical and critical backgrounds</w:t>
      </w:r>
    </w:p>
    <w:p>
      <w:r>
        <w:t>The theoretical background of this thesis is organized through five areas that correspond to the project’s research questions.</w:t>
      </w:r>
    </w:p>
    <w:p>
      <w:pPr>
        <w:pStyle w:val="Heading2"/>
      </w:pPr>
      <w:r>
        <w:t>5.1 Typography as archive, testimony, and discourse</w:t>
      </w:r>
    </w:p>
    <w:p>
      <w:r>
        <w:t>The first theoretical area positions typography as a form of discourse, not simply a container for language. Typography participates in meaning. It affects tone, authority, pace, memory, hierarchy, and public presence. A typeface can make a message feel official, intimate, vernacular, urgent, nostalgic, commercial, sacred, or experimental.</w:t>
      </w:r>
    </w:p>
    <w:p>
      <w:r>
        <w:t>Robert Waller’s work on typography and discourse is useful because it supports the idea that typography is part of communication and interpretation, not an invisible background. Sofie Beier’s writing on letterform research helps position type design as a legitimate research field, while Herbert Spencer and experimental typography provide historical grounding for treating letterforms as sites of investigation. Nat Pyper’s work is also relevant because it frames type as memory, countercultural archive, and speculative transmission.</w:t>
      </w:r>
    </w:p>
    <w:p>
      <w:r>
        <w:t>Walter Benjamin’s writing on technological reproducibility is important for thinking about alphabets and posters as reproducible cultural forms. Letterpress posters, type specimens, and fonts are made to circulate. Reproduction does not simply duplicate the original. It changes authority, access, and context. This is especially important for the Heidelberg poster process, where each print belongs to an edition but also carries slight material variation. The poster is both repeatable and singular.</w:t>
      </w:r>
    </w:p>
    <w:p>
      <w:r>
        <w:t>Raphaël Ouellet’s work on bureaucratic everyday forms supports the use of ordinary graphic traces as cultural material. Forms, signs, receipts, notices, menus, WhatsApp screenshots, handwritten lists, and storefront graphics can all become meaningful because they organize everyday life. They may not appear important in official archives, but they carry evidence of how people live, work, and communicate.</w:t>
      </w:r>
    </w:p>
    <w:p>
      <w:r>
        <w:t xml:space="preserve">The project also connects to protest typography and public voice. Sources such as </w:t>
      </w:r>
      <w:r>
        <w:rPr>
          <w:i/>
        </w:rPr>
        <w:t>Strikethrough: Typographic Messages of Protest</w:t>
      </w:r>
      <w:r>
        <w:t xml:space="preserve"> and </w:t>
      </w:r>
      <w:r>
        <w:rPr>
          <w:i/>
        </w:rPr>
        <w:t>Protest Cultures: A Companion</w:t>
      </w:r>
      <w:r>
        <w:t xml:space="preserve"> help situate typography within public expression, collective memory, and social movement. Even if this thesis is not only about protest, it is concerned with visibility, representation, and the politics of public messages. Posters are historically connected to calls, announcements, demands, celebrations, and public gathering. The Heidelberg alphabet posters can therefore be understood as public artifacts that claim presence.</w:t>
      </w:r>
    </w:p>
    <w:p>
      <w:pPr>
        <w:pStyle w:val="Heading2"/>
      </w:pPr>
      <w:r>
        <w:t>5.2 Typographic quality, power, and normativity</w:t>
      </w:r>
    </w:p>
    <w:p>
      <w:r>
        <w:t>The second theoretical area questions who defines good typography. Richard Lynch’s discussion of Foucault’s theory of power is useful because power does not only prohibit. It produces norms, knowledge, categories, and accepted truths. In typography, standards of correctness and professionalism often appear natural, but they are produced through institutions, publications, education, software defaults, design histories, and professional gatekeeping.</w:t>
      </w:r>
    </w:p>
    <w:p>
      <w:r>
        <w:t>Gurminder Bhambra’s critique of Eurocentric critical theory helps question whose histories and standards become universal. Homi Bhabha’s work on hybridity, ambivalence, and cultural authority is useful for understanding multilingual and diasporic form as something that resists purity. Vicki Kirby’s engagement with Butler and Sofia Vranou’s writing on norm disruption can support a discussion of how certain visual forms are dismissed as excessive, strange, improper, or illegible because they disturb dominant taste.</w:t>
      </w:r>
    </w:p>
    <w:p>
      <w:r>
        <w:t xml:space="preserve">Within typography itself, Gerrit Noordzij and Jost Hochuli are important but different kinds of sources. Noordzij’s </w:t>
      </w:r>
      <w:r>
        <w:rPr>
          <w:i/>
        </w:rPr>
        <w:t>The Stroke</w:t>
      </w:r>
      <w:r>
        <w:t xml:space="preserve"> helps explain that letterforms are built from tools, movement, contrast, direction, and writing traditions. This supports the thesis because it shows that typography is historically tied to the body, the hand, and inherited training. Hochuli’s </w:t>
      </w:r>
      <w:r>
        <w:rPr>
          <w:i/>
        </w:rPr>
        <w:t>Detail in Typography</w:t>
      </w:r>
      <w:r>
        <w:t xml:space="preserve"> represents a precise professional tradition focused on spacing, rhythm, line length, and careful typographic adjustment. Rather than rejecting Hochuli, the thesis can use him as a standard to examine and test. The question becomes: what happens when professional standards of detail meet multilingual, diasporic, community-informed forms of reading?</w:t>
      </w:r>
    </w:p>
    <w:p>
      <w:r>
        <w:t xml:space="preserve">Frank Chimero’s </w:t>
      </w:r>
      <w:r>
        <w:rPr>
          <w:i/>
        </w:rPr>
        <w:t>The Shape of Design</w:t>
      </w:r>
      <w:r>
        <w:t xml:space="preserve"> can support the discussion of design judgment, process, and value. Design quality is not only technical. It is connected to intention, context, audience, and meaning. This helps the thesis argue that good typography must be understood through both craft and situated use.</w:t>
      </w:r>
    </w:p>
    <w:p>
      <w:pPr>
        <w:pStyle w:val="Heading2"/>
      </w:pPr>
      <w:r>
        <w:t>5.3 Typographic mechanics, perception, and multilingual reading</w:t>
      </w:r>
    </w:p>
    <w:p>
      <w:r>
        <w:t>The third theoretical area focuses on reading as embodied, spatial, and multilingual. Typography is not only seen. It is experienced through habits of perception, body orientation, language familiarity, visual rhythm, and environment.</w:t>
      </w:r>
    </w:p>
    <w:p>
      <w:r>
        <w:t xml:space="preserve">Gloria Anzaldúa’s writing is central because it connects language, border identity, hybridity, and lived contradiction. Her work helps frame multilingual language not as a problem to be corrected, but as a site of knowledge and identity. Sara Ahmed’s </w:t>
      </w:r>
      <w:r>
        <w:rPr>
          <w:i/>
        </w:rPr>
        <w:t>Queer Phenomenology</w:t>
      </w:r>
      <w:r>
        <w:t xml:space="preserve"> supports the idea that orientation matters: some bodies, languages, and readers are made comfortable by dominant systems, while others must adjust, translate, or move differently. Maurice Merleau-Ponty’s phenomenology supports the idea that perception is embodied and situated. James Gibson’s ecological approach to visual perception adds that seeing is shaped by surfaces, movement, environment, and action.</w:t>
      </w:r>
    </w:p>
    <w:p>
      <w:r>
        <w:t>These ideas are important for typography because reading is not abstract. It happens in bodies, places, and contexts. A reader encounters signs while driving, shopping, commuting, praying, texting, cooking, or navigating an institution. Type is read under different distances, lighting conditions, languages, emotional states, and degrees of familiarity.</w:t>
      </w:r>
    </w:p>
    <w:p>
      <w:r>
        <w:t xml:space="preserve">Hochuli and Cyrus Highsmith are useful technical anchors. Hochuli helps discuss letterspacing, word spacing, line spacing, margins, columns, hierarchy, and page rhythm. Highsmith’s </w:t>
      </w:r>
      <w:r>
        <w:rPr>
          <w:i/>
        </w:rPr>
        <w:t>Inside Paragraphs</w:t>
      </w:r>
      <w:r>
        <w:t xml:space="preserve"> helps analyze what happens when letters become words, words become lines, and lines become paragraphs. These sources allow the thesis to connect critical theory to practical typographic testing.</w:t>
      </w:r>
    </w:p>
    <w:p>
      <w:pPr>
        <w:pStyle w:val="Heading2"/>
      </w:pPr>
      <w:r>
        <w:t>5.4 Ethical visibility, care, and non-extractive representation</w:t>
      </w:r>
    </w:p>
    <w:p>
      <w:r>
        <w:t xml:space="preserve">The fourth theoretical area addresses ethics. Donna Haraway’s </w:t>
      </w:r>
      <w:r>
        <w:rPr>
          <w:i/>
        </w:rPr>
        <w:t>Staying with the Trouble</w:t>
      </w:r>
      <w:r>
        <w:t xml:space="preserve"> is useful because it argues for situated, relational, accountable ways of thinking. The thesis can use Haraway to avoid detached design authorship and instead frame design as a process of relation. Rose-Redwood and colleagues’ work on decolonizing mapping is also relevant because mapping, naming, and spatial representation are never neutral. This matters when the thesis documents corridor life and turns routes or places into visual material.</w:t>
      </w:r>
    </w:p>
    <w:p>
      <w:r>
        <w:t>Tyna Fritschy’s work on undisciplined knowledge helps position the project as a practice that resists over-classification and institutional flattening. Vaage’s writing on ethics in experimental art practice is useful because it reminds the project that innovation does not remove responsibility. Luccioni’s critique of technical systems can also support the project if digital tools, AI, or computational processes enter the workflow, especially where simplification, bias, and extraction are concerns.</w:t>
      </w:r>
    </w:p>
    <w:p>
      <w:r>
        <w:t>The central ethical issue is that visibility can be double-edged. A poster, font, or exhibition can celebrate community presence, but it can also expose, simplify, aestheticize, or misrepresent. The thesis must therefore build consent and participant review into the method. Ethical visibility is not only about showing. It is about asking who controls the terms of showing.</w:t>
      </w:r>
    </w:p>
    <w:p>
      <w:pPr>
        <w:pStyle w:val="Heading2"/>
      </w:pPr>
      <w:r>
        <w:t>5.5 Corridor life, diaspora, hybridity, and visual ecology</w:t>
      </w:r>
    </w:p>
    <w:p>
      <w:r>
        <w:t>The fifth theoretical area concerns place. The London-Sarnia corridor is a lived geography shaped by movement, labour, migration, industry, agriculture, highways, domestic spaces, stores, religious life, education, and community networks. The thesis should not generalize Latino life as if it exists outside place. It must ask what is specific about this region.</w:t>
      </w:r>
    </w:p>
    <w:p>
      <w:r>
        <w:t>Kalra, Hutnyk, and Kaur’s writing on hybridity and openness helps understand cultural mixing as political and contested, not simply celebratory. Zakiya Luna’s writing on location supports the idea that place shapes collective identity and experience. Giuliana Bruno’s work on projection, architecture, surface, and spatial imagination can help frame storefronts, facades, walls, interiors, and screens as visual surfaces that carry memory.</w:t>
      </w:r>
    </w:p>
    <w:p>
      <w:r>
        <w:t>Camargo-Borges’ research-as-worldmaking is useful because it positions research as an active process of creating relations and meanings. Watfern and colleagues’ work on ecological emotions supports an affective understanding of place. The project can use these sources to understand the corridor as an environment that is seen, felt, remembered, and remade through design.</w:t>
      </w:r>
    </w:p>
    <w:p/>
    <w:p>
      <w:pPr>
        <w:pStyle w:val="Heading1"/>
      </w:pPr>
      <w:r>
        <w:t>Section 06: Research methodology. What and why choosing this strategy?</w:t>
      </w:r>
    </w:p>
    <w:p>
      <w:r>
        <w:t>The methodology is research-creation, supported by qualitative methods, participatory design, visual mapping, typographic testing, printmaking, and reflexive writing. This strategy is appropriate because the thesis does not only ask a question through writing. It investigates through making.</w:t>
      </w:r>
    </w:p>
    <w:p>
      <w:pPr>
        <w:pStyle w:val="Heading2"/>
      </w:pPr>
      <w:r>
        <w:t>6.1 Research-creation</w:t>
      </w:r>
    </w:p>
    <w:p>
      <w:r>
        <w:t>Research-creation is the main methodological frame because the project produces knowledge through creative practice. The alphabet, posters, specimens, proofs, maps, and exhibition are not illustrations of research that already happened elsewhere. They are part of the research itself. Decisions about spacing, pressure, materials, glyph design, participant input, and exhibition layout will generate knowledge.</w:t>
      </w:r>
    </w:p>
    <w:p>
      <w:r>
        <w:t>This strategy is necessary because typography is a practice-based field. Questions about legibility, rhythm, texture, pressure, scale, and visual recognition cannot be answered only through theoretical writing. They must be tested through drawing, printing, reading, looking, comparing, revising, and displaying.</w:t>
      </w:r>
    </w:p>
    <w:p>
      <w:pPr>
        <w:pStyle w:val="Heading2"/>
      </w:pPr>
      <w:r>
        <w:t>6.2 Semi-structured interviews</w:t>
      </w:r>
    </w:p>
    <w:p>
      <w:r>
        <w:t>Semi-structured interviews will allow participants to discuss their experiences of language, place, memory, and visual culture. The interviews should not be treated as extraction. They should be conversations that help identify meaningful references, words, objects, routes, places, and visual memories.</w:t>
      </w:r>
    </w:p>
    <w:p>
      <w:r>
        <w:t>Possible interview themes include:</w:t>
      </w:r>
    </w:p>
    <w:p>
      <w:pPr>
        <w:pStyle w:val="ListBullet"/>
      </w:pPr>
      <w:r>
        <w:t>Migration, settlement, and belonging.</w:t>
      </w:r>
    </w:p>
    <w:p>
      <w:pPr>
        <w:pStyle w:val="ListBullet"/>
      </w:pPr>
      <w:r>
        <w:t>Everyday movement along the corridor.</w:t>
      </w:r>
    </w:p>
    <w:p>
      <w:pPr>
        <w:pStyle w:val="ListBullet"/>
      </w:pPr>
      <w:r>
        <w:t>Places that feel important, familiar, or difficult.</w:t>
      </w:r>
    </w:p>
    <w:p>
      <w:pPr>
        <w:pStyle w:val="ListBullet"/>
      </w:pPr>
      <w:r>
        <w:t>Languages used at home, work, school, online, and in public.</w:t>
      </w:r>
    </w:p>
    <w:p>
      <w:pPr>
        <w:pStyle w:val="ListBullet"/>
      </w:pPr>
      <w:r>
        <w:t>Signs, storefronts, handwritten notes, packaging, devotional objects, textiles, music, or digital messages that participants remember.</w:t>
      </w:r>
    </w:p>
    <w:p>
      <w:pPr>
        <w:pStyle w:val="ListBullet"/>
      </w:pPr>
      <w:r>
        <w:t>Feelings about visibility, representation, privacy, and public display.</w:t>
      </w:r>
    </w:p>
    <w:p>
      <w:pPr>
        <w:pStyle w:val="ListBullet"/>
      </w:pPr>
      <w:r>
        <w:t>What makes typography feel familiar, formal, trustworthy, cold, warm, official, beautiful, or alienating.</w:t>
      </w:r>
    </w:p>
    <w:p>
      <w:r>
        <w:t>Semi-structured interviews are appropriate because they offer enough structure to connect responses to the research questions, while leaving room for unexpected stories and references.</w:t>
      </w:r>
    </w:p>
    <w:p>
      <w:pPr>
        <w:pStyle w:val="Heading2"/>
      </w:pPr>
      <w:r>
        <w:t>6.3 Visual mapping and participant reference gathering</w:t>
      </w:r>
    </w:p>
    <w:p>
      <w:r>
        <w:t>Visual mapping will help connect memory, place, and form. Participants may be invited to map routes, places, signs, words, colours, textures, or objects that matter to them. They may also bring or describe visual references. This method is useful because it allows the alphabet to emerge from situated visual worlds rather than from my assumptions alone.</w:t>
      </w:r>
    </w:p>
    <w:p>
      <w:r>
        <w:t>Possible mapping activities include:</w:t>
      </w:r>
    </w:p>
    <w:p>
      <w:pPr>
        <w:pStyle w:val="ListBullet"/>
      </w:pPr>
      <w:r>
        <w:t>Route map: a map of regular movement through London, Sarnia, and surrounding areas.</w:t>
      </w:r>
    </w:p>
    <w:p>
      <w:pPr>
        <w:pStyle w:val="ListBullet"/>
      </w:pPr>
      <w:r>
        <w:t>Memory map: places connected to family, work, food, worship, study, care, or community.</w:t>
      </w:r>
    </w:p>
    <w:p>
      <w:pPr>
        <w:pStyle w:val="ListBullet"/>
      </w:pPr>
      <w:r>
        <w:t>Sign map: signs, storefronts, handwritten notes, labels, menus, or digital interfaces participants remember.</w:t>
      </w:r>
    </w:p>
    <w:p>
      <w:pPr>
        <w:pStyle w:val="ListBullet"/>
      </w:pPr>
      <w:r>
        <w:t>Language map: where English, Spanish, Spanglish, Portuguese, or other languages appear.</w:t>
      </w:r>
    </w:p>
    <w:p>
      <w:pPr>
        <w:pStyle w:val="ListBullet"/>
      </w:pPr>
      <w:r>
        <w:t>Feeling map: where participants feel visible, invisible, welcome, watched, comfortable, or displaced.</w:t>
      </w:r>
    </w:p>
    <w:p>
      <w:r>
        <w:t>The maps do not need to be cartographically precise. Their value is in showing relationships between place, memory, and visual reference.</w:t>
      </w:r>
    </w:p>
    <w:p>
      <w:pPr>
        <w:pStyle w:val="Heading2"/>
      </w:pPr>
      <w:r>
        <w:t>6.4 Participatory typographic workshops</w:t>
      </w:r>
    </w:p>
    <w:p>
      <w:r>
        <w:t>Workshops will allow participants to respond to letterforms, compare visual directions, discuss readability, and contribute to the criteria of quality. These workshops may include printed proofs, digital previews, word tests, alphabet sheets, and simple ranking or annotation activities.</w:t>
      </w:r>
    </w:p>
    <w:p>
      <w:r>
        <w:t>Participants might be asked:</w:t>
      </w:r>
    </w:p>
    <w:p>
      <w:pPr>
        <w:pStyle w:val="ListBullet"/>
      </w:pPr>
      <w:r>
        <w:t>Which forms feel familiar or unfamiliar?</w:t>
      </w:r>
    </w:p>
    <w:p>
      <w:pPr>
        <w:pStyle w:val="ListBullet"/>
      </w:pPr>
      <w:r>
        <w:t>Which letters feel connected to the references we discussed?</w:t>
      </w:r>
    </w:p>
    <w:p>
      <w:pPr>
        <w:pStyle w:val="ListBullet"/>
      </w:pPr>
      <w:r>
        <w:t>Which letters feel forced or decorative?</w:t>
      </w:r>
    </w:p>
    <w:p>
      <w:pPr>
        <w:pStyle w:val="ListBullet"/>
      </w:pPr>
      <w:r>
        <w:t>Which words are readable at different sizes?</w:t>
      </w:r>
    </w:p>
    <w:p>
      <w:pPr>
        <w:pStyle w:val="ListBullet"/>
      </w:pPr>
      <w:r>
        <w:t>Which accents or characters need more care?</w:t>
      </w:r>
    </w:p>
    <w:p>
      <w:pPr>
        <w:pStyle w:val="ListBullet"/>
      </w:pPr>
      <w:r>
        <w:t>What would you change before this becomes public?</w:t>
      </w:r>
    </w:p>
    <w:p>
      <w:pPr>
        <w:pStyle w:val="ListBullet"/>
      </w:pPr>
      <w:r>
        <w:t>What should not be included?</w:t>
      </w:r>
    </w:p>
    <w:p>
      <w:r>
        <w:t>The workshops are important because they shift participants from being sources to being evaluators and co-authors. They help answer the question of who defines good typography.</w:t>
      </w:r>
    </w:p>
    <w:p>
      <w:pPr>
        <w:pStyle w:val="Heading2"/>
      </w:pPr>
      <w:r>
        <w:t>6.5 Type design and typographic mechanics testing</w:t>
      </w:r>
    </w:p>
    <w:p>
      <w:r>
        <w:t>The alphabet will be developed through type design workflows. This includes sketching, digitizing, drawing outlines, spacing, kerning, testing accents, generating proofs, and possibly building variable font axes.</w:t>
      </w:r>
    </w:p>
    <w:p>
      <w:r>
        <w:t>The testing process may include:</w:t>
      </w:r>
    </w:p>
    <w:p>
      <w:pPr>
        <w:pStyle w:val="ListBullet"/>
      </w:pPr>
      <w:r>
        <w:t>Glyph construction sheets.</w:t>
      </w:r>
    </w:p>
    <w:p>
      <w:pPr>
        <w:pStyle w:val="ListBullet"/>
      </w:pPr>
      <w:r>
        <w:t>Control words.</w:t>
      </w:r>
    </w:p>
    <w:p>
      <w:pPr>
        <w:pStyle w:val="ListBullet"/>
      </w:pPr>
      <w:r>
        <w:t>Accented character tests.</w:t>
      </w:r>
    </w:p>
    <w:p>
      <w:pPr>
        <w:pStyle w:val="ListBullet"/>
      </w:pPr>
      <w:r>
        <w:t>English and Spanish word lists.</w:t>
      </w:r>
    </w:p>
    <w:p>
      <w:pPr>
        <w:pStyle w:val="ListBullet"/>
      </w:pPr>
      <w:r>
        <w:t>Paragraph proofs.</w:t>
      </w:r>
    </w:p>
    <w:p>
      <w:pPr>
        <w:pStyle w:val="ListBullet"/>
      </w:pPr>
      <w:r>
        <w:t>Poster-scale proofs.</w:t>
      </w:r>
    </w:p>
    <w:p>
      <w:pPr>
        <w:pStyle w:val="ListBullet"/>
      </w:pPr>
      <w:r>
        <w:t>Weight, contrast, and spacing variations.</w:t>
      </w:r>
    </w:p>
    <w:p>
      <w:pPr>
        <w:pStyle w:val="ListBullet"/>
      </w:pPr>
      <w:r>
        <w:t>Print versus screen comparisons.</w:t>
      </w:r>
    </w:p>
    <w:p>
      <w:pPr>
        <w:pStyle w:val="ListBullet"/>
      </w:pPr>
      <w:r>
        <w:t>Participant readability feedback.</w:t>
      </w:r>
    </w:p>
    <w:p>
      <w:r>
        <w:t>This method is necessary because the project makes claims about typographic quality and multilingual readability. Those claims must be tested through typographic mechanics.</w:t>
      </w:r>
    </w:p>
    <w:p>
      <w:pPr>
        <w:pStyle w:val="Heading2"/>
      </w:pPr>
      <w:r>
        <w:t>6.6 Heidelberg Windmill Platen Press poster methodology</w:t>
      </w:r>
    </w:p>
    <w:p>
      <w:r>
        <w:t>The Heidelberg Windmill poster process will be treated as a supervised printmaking research method. The aim is not to provide a machine operation manual. The press is industrial equipment and should only be used with proper training, facility approval, and expert supervision. In the thesis, the important point is the research value of the process: how the alphabet changes when it enters relief printing.</w:t>
      </w:r>
    </w:p>
    <w:p>
      <w:pPr>
        <w:pStyle w:val="Heading3"/>
      </w:pPr>
      <w:r>
        <w:t>6.6.1 Why the Heidelberg Windmill matters to the thesis</w:t>
      </w:r>
    </w:p>
    <w:p>
      <w:r>
        <w:t>The Heidelberg Windmill Platen Press is significant because it brings together typography, reproduction, mechanical rhythm, pressure, labour, and editioning. The machine is associated with commercial print production, but in this thesis it becomes a research tool. It allows the alphabet to become a physical impression, not only a digital outline.</w:t>
      </w:r>
    </w:p>
    <w:p>
      <w:r>
        <w:t>The Windmill process is especially relevant for four reasons:</w:t>
      </w:r>
    </w:p>
    <w:p>
      <w:r>
        <w:t xml:space="preserve">1. </w:t>
      </w:r>
      <w:r>
        <w:rPr>
          <w:b/>
        </w:rPr>
        <w:t>Reproducibility:</w:t>
      </w:r>
      <w:r>
        <w:t xml:space="preserve"> The alphabet can be printed in multiples, creating a public edition.</w:t>
      </w:r>
    </w:p>
    <w:p>
      <w:r>
        <w:t xml:space="preserve">2. </w:t>
      </w:r>
      <w:r>
        <w:rPr>
          <w:b/>
        </w:rPr>
        <w:t>Materiality:</w:t>
      </w:r>
      <w:r>
        <w:t xml:space="preserve"> The ink, paper, plate, and pressure create a tactile record.</w:t>
      </w:r>
    </w:p>
    <w:p>
      <w:r>
        <w:t xml:space="preserve">3. </w:t>
      </w:r>
      <w:r>
        <w:rPr>
          <w:b/>
        </w:rPr>
        <w:t>Translation:</w:t>
      </w:r>
      <w:r>
        <w:t xml:space="preserve"> The type moves from digital design into relief printing, revealing changes in edge, density, and rhythm.</w:t>
      </w:r>
    </w:p>
    <w:p>
      <w:r>
        <w:t xml:space="preserve">4. </w:t>
      </w:r>
      <w:r>
        <w:rPr>
          <w:b/>
        </w:rPr>
        <w:t>Archive:</w:t>
      </w:r>
      <w:r>
        <w:t xml:space="preserve"> Proofs, plates, make-ready sheets, and final posters become archival evidence of process.</w:t>
      </w:r>
    </w:p>
    <w:p>
      <w:pPr>
        <w:pStyle w:val="Heading3"/>
      </w:pPr>
      <w:r>
        <w:t>6.6.2 Poster production stages</w:t>
      </w:r>
    </w:p>
    <w:p>
      <w:r>
        <w:t>The poster process will be organized as a research workflow:</w:t>
      </w:r>
    </w:p>
    <w:p>
      <w:pPr/>
      <w:r>
        <w:rPr>
          <w:rFonts w:ascii="Courier New" w:hAnsi="Courier New"/>
          <w:sz w:val="16"/>
        </w:rPr>
        <w:t>Participant references and stories</w:t>
        <w:br/>
      </w:r>
      <w:r>
        <w:rPr>
          <w:rFonts w:ascii="Courier New" w:hAnsi="Courier New"/>
          <w:sz w:val="16"/>
        </w:rPr>
        <w:t xml:space="preserve">        |</w:t>
        <w:br/>
      </w:r>
      <w:r>
        <w:rPr>
          <w:rFonts w:ascii="Courier New" w:hAnsi="Courier New"/>
          <w:sz w:val="16"/>
        </w:rPr>
        <w:t xml:space="preserve">        v</w:t>
        <w:br/>
      </w:r>
      <w:r>
        <w:rPr>
          <w:rFonts w:ascii="Courier New" w:hAnsi="Courier New"/>
          <w:sz w:val="16"/>
        </w:rPr>
        <w:t>Alphabet design and glyph development</w:t>
        <w:br/>
      </w:r>
      <w:r>
        <w:rPr>
          <w:rFonts w:ascii="Courier New" w:hAnsi="Courier New"/>
          <w:sz w:val="16"/>
        </w:rPr>
        <w:t xml:space="preserve">        |</w:t>
        <w:br/>
      </w:r>
      <w:r>
        <w:rPr>
          <w:rFonts w:ascii="Courier New" w:hAnsi="Courier New"/>
          <w:sz w:val="16"/>
        </w:rPr>
        <w:t xml:space="preserve">        v</w:t>
        <w:br/>
      </w:r>
      <w:r>
        <w:rPr>
          <w:rFonts w:ascii="Courier New" w:hAnsi="Courier New"/>
          <w:sz w:val="16"/>
        </w:rPr>
        <w:t>Poster system: alphabet, words, routes, bilingual text</w:t>
        <w:br/>
      </w:r>
      <w:r>
        <w:rPr>
          <w:rFonts w:ascii="Courier New" w:hAnsi="Courier New"/>
          <w:sz w:val="16"/>
        </w:rPr>
        <w:t xml:space="preserve">        |</w:t>
        <w:br/>
      </w:r>
      <w:r>
        <w:rPr>
          <w:rFonts w:ascii="Courier New" w:hAnsi="Courier New"/>
          <w:sz w:val="16"/>
        </w:rPr>
        <w:t xml:space="preserve">        v</w:t>
        <w:br/>
      </w:r>
      <w:r>
        <w:rPr>
          <w:rFonts w:ascii="Courier New" w:hAnsi="Courier New"/>
          <w:sz w:val="16"/>
        </w:rPr>
        <w:t>Digital prepress: vector artwork, separations, plate planning</w:t>
        <w:br/>
      </w:r>
      <w:r>
        <w:rPr>
          <w:rFonts w:ascii="Courier New" w:hAnsi="Courier New"/>
          <w:sz w:val="16"/>
        </w:rPr>
        <w:t xml:space="preserve">        |</w:t>
        <w:br/>
      </w:r>
      <w:r>
        <w:rPr>
          <w:rFonts w:ascii="Courier New" w:hAnsi="Courier New"/>
          <w:sz w:val="16"/>
        </w:rPr>
        <w:t xml:space="preserve">        v</w:t>
        <w:br/>
      </w:r>
      <w:r>
        <w:rPr>
          <w:rFonts w:ascii="Courier New" w:hAnsi="Courier New"/>
          <w:sz w:val="16"/>
        </w:rPr>
        <w:t>Relief printing form: photopolymer plate, metal plate, or mounted printing plate</w:t>
        <w:br/>
      </w:r>
      <w:r>
        <w:rPr>
          <w:rFonts w:ascii="Courier New" w:hAnsi="Courier New"/>
          <w:sz w:val="16"/>
        </w:rPr>
        <w:t xml:space="preserve">        |</w:t>
        <w:br/>
      </w:r>
      <w:r>
        <w:rPr>
          <w:rFonts w:ascii="Courier New" w:hAnsi="Courier New"/>
          <w:sz w:val="16"/>
        </w:rPr>
        <w:t xml:space="preserve">        v</w:t>
        <w:br/>
      </w:r>
      <w:r>
        <w:rPr>
          <w:rFonts w:ascii="Courier New" w:hAnsi="Courier New"/>
          <w:sz w:val="16"/>
        </w:rPr>
        <w:t>Technician-supervised Heidelberg Windmill setup and proofing</w:t>
        <w:br/>
      </w:r>
      <w:r>
        <w:rPr>
          <w:rFonts w:ascii="Courier New" w:hAnsi="Courier New"/>
          <w:sz w:val="16"/>
        </w:rPr>
        <w:t xml:space="preserve">        |</w:t>
        <w:br/>
      </w:r>
      <w:r>
        <w:rPr>
          <w:rFonts w:ascii="Courier New" w:hAnsi="Courier New"/>
          <w:sz w:val="16"/>
        </w:rPr>
        <w:t xml:space="preserve">        v</w:t>
        <w:br/>
      </w:r>
      <w:r>
        <w:rPr>
          <w:rFonts w:ascii="Courier New" w:hAnsi="Courier New"/>
          <w:sz w:val="16"/>
        </w:rPr>
        <w:t>Test prints: ink, pressure, registration, paper, legibility</w:t>
        <w:br/>
      </w:r>
      <w:r>
        <w:rPr>
          <w:rFonts w:ascii="Courier New" w:hAnsi="Courier New"/>
          <w:sz w:val="16"/>
        </w:rPr>
        <w:t xml:space="preserve">        |</w:t>
        <w:br/>
      </w:r>
      <w:r>
        <w:rPr>
          <w:rFonts w:ascii="Courier New" w:hAnsi="Courier New"/>
          <w:sz w:val="16"/>
        </w:rPr>
        <w:t xml:space="preserve">        v</w:t>
        <w:br/>
      </w:r>
      <w:r>
        <w:rPr>
          <w:rFonts w:ascii="Courier New" w:hAnsi="Courier New"/>
          <w:sz w:val="16"/>
        </w:rPr>
        <w:t>Editioned posters and artist proofs</w:t>
        <w:br/>
      </w:r>
      <w:r>
        <w:rPr>
          <w:rFonts w:ascii="Courier New" w:hAnsi="Courier New"/>
          <w:sz w:val="16"/>
        </w:rPr>
        <w:t xml:space="preserve">        |</w:t>
        <w:br/>
      </w:r>
      <w:r>
        <w:rPr>
          <w:rFonts w:ascii="Courier New" w:hAnsi="Courier New"/>
          <w:sz w:val="16"/>
        </w:rPr>
        <w:t xml:space="preserve">        v</w:t>
        <w:br/>
      </w:r>
      <w:r>
        <w:rPr>
          <w:rFonts w:ascii="Courier New" w:hAnsi="Courier New"/>
          <w:sz w:val="16"/>
        </w:rPr>
        <w:t>Documentation, reflection, exhibition, and thesis analysis</w:t>
        <w:br/>
      </w:r>
    </w:p>
    <w:p>
      <w:pPr>
        <w:pStyle w:val="Heading3"/>
      </w:pPr>
      <w:r>
        <w:t>6.6.3 Stage 1: Selecting poster content</w:t>
      </w:r>
    </w:p>
    <w:p>
      <w:r>
        <w:t>The poster content will come from the research process. Possible content includes:</w:t>
      </w:r>
    </w:p>
    <w:p>
      <w:pPr>
        <w:pStyle w:val="ListBullet"/>
      </w:pPr>
      <w:r>
        <w:t>The full co-designed alphabet.</w:t>
      </w:r>
    </w:p>
    <w:p>
      <w:pPr>
        <w:pStyle w:val="ListBullet"/>
      </w:pPr>
      <w:r>
        <w:t>Participant-informed words or phrases, only with consent.</w:t>
      </w:r>
    </w:p>
    <w:p>
      <w:pPr>
        <w:pStyle w:val="ListBullet"/>
      </w:pPr>
      <w:r>
        <w:t>Place names from the corridor.</w:t>
      </w:r>
    </w:p>
    <w:p>
      <w:pPr>
        <w:pStyle w:val="ListBullet"/>
      </w:pPr>
      <w:r>
        <w:t>Bilingual or multilingual text fragments.</w:t>
      </w:r>
    </w:p>
    <w:p>
      <w:pPr>
        <w:pStyle w:val="ListBullet"/>
      </w:pPr>
      <w:r>
        <w:t>Signs, routes, or object references translated into typographic composition.</w:t>
      </w:r>
    </w:p>
    <w:p>
      <w:pPr>
        <w:pStyle w:val="ListBullet"/>
      </w:pPr>
      <w:r>
        <w:t>Short statements about language, home, movement, or belonging.</w:t>
      </w:r>
    </w:p>
    <w:p>
      <w:r>
        <w:t>The content must be reviewed ethically. If a phrase comes from a participant, the participant should approve whether it can be printed, anonymized, translated, or excluded.</w:t>
      </w:r>
    </w:p>
    <w:p>
      <w:pPr>
        <w:pStyle w:val="Heading3"/>
      </w:pPr>
      <w:r>
        <w:t>6.6.4 Stage 2: Designing the poster system</w:t>
      </w:r>
    </w:p>
    <w:p>
      <w:r>
        <w:t>The poster system should test the alphabet in multiple ways. It should include display settings, text settings, large glyphs, small supporting text, accents, numerals, punctuation, and possibly bilingual hierarchy. The posters should not only be beautiful. They should also test the typeface.</w:t>
      </w:r>
    </w:p>
    <w:p>
      <w:r>
        <w:t>Design questions include:</w:t>
      </w:r>
    </w:p>
    <w:p>
      <w:pPr>
        <w:pStyle w:val="ListBullet"/>
      </w:pPr>
      <w:r>
        <w:t>What happens when the alphabet is printed very large?</w:t>
      </w:r>
    </w:p>
    <w:p>
      <w:pPr>
        <w:pStyle w:val="ListBullet"/>
      </w:pPr>
      <w:r>
        <w:t>Which details survive letterpress pressure?</w:t>
      </w:r>
    </w:p>
    <w:p>
      <w:pPr>
        <w:pStyle w:val="ListBullet"/>
      </w:pPr>
      <w:r>
        <w:t>Do diacritics remain visible?</w:t>
      </w:r>
    </w:p>
    <w:p>
      <w:pPr>
        <w:pStyle w:val="ListBullet"/>
      </w:pPr>
      <w:r>
        <w:t>Does the rhythm of the alphabet feel connected to the original references?</w:t>
      </w:r>
    </w:p>
    <w:p>
      <w:pPr>
        <w:pStyle w:val="ListBullet"/>
      </w:pPr>
      <w:r>
        <w:t>Can the poster hold both archive and public presence?</w:t>
      </w:r>
    </w:p>
    <w:p>
      <w:pPr>
        <w:pStyle w:val="ListBullet"/>
      </w:pPr>
      <w:r>
        <w:t>Does the poster feel like a specimen, a memory object, a public announcement, or all three?</w:t>
      </w:r>
    </w:p>
    <w:p>
      <w:pPr>
        <w:pStyle w:val="Heading3"/>
      </w:pPr>
      <w:r>
        <w:t>6.6.5 Stage 3: Translating digital type into a relief printing form</w:t>
      </w:r>
    </w:p>
    <w:p>
      <w:r>
        <w:t xml:space="preserve">The digital type must be prepared for relief printing. This may involve converting selected typography into vector outlines and producing a plate or other relief printing form. In English, the word often used for “cliché” in this context is </w:t>
      </w:r>
      <w:r>
        <w:rPr>
          <w:b/>
        </w:rPr>
        <w:t>printing plate</w:t>
      </w:r>
      <w:r>
        <w:t xml:space="preserve">, </w:t>
      </w:r>
      <w:r>
        <w:rPr>
          <w:b/>
        </w:rPr>
        <w:t>relief plate</w:t>
      </w:r>
      <w:r>
        <w:t xml:space="preserve">, </w:t>
      </w:r>
      <w:r>
        <w:rPr>
          <w:b/>
        </w:rPr>
        <w:t>photopolymer plate</w:t>
      </w:r>
      <w:r>
        <w:t xml:space="preserve">, </w:t>
      </w:r>
      <w:r>
        <w:rPr>
          <w:b/>
        </w:rPr>
        <w:t>metal plate</w:t>
      </w:r>
      <w:r>
        <w:t xml:space="preserve">, or </w:t>
      </w:r>
      <w:r>
        <w:rPr>
          <w:b/>
        </w:rPr>
        <w:t>printing block</w:t>
      </w:r>
      <w:r>
        <w:t>, depending on the production method.</w:t>
      </w:r>
    </w:p>
    <w:p>
      <w:r>
        <w:t>This translation is conceptually important. A digital outline is clean, scalable, and editable. A relief plate fixes the form into a physical surface. Once the alphabet becomes a plate, it enters another logic: depth, ink transfer, pressure, and repetition. The thesis can analyze what is gained and what is lost in that translation.</w:t>
      </w:r>
    </w:p>
    <w:p>
      <w:pPr>
        <w:pStyle w:val="Heading3"/>
      </w:pPr>
      <w:r>
        <w:t>6.6.6 Stage 4: Paper, ink, and material tests</w:t>
      </w:r>
    </w:p>
    <w:p>
      <w:r>
        <w:t>Paper and ink will be selected as part of the research. Cotton rag paper, archival printmaking paper, or other substantial stocks may be tested for their ability to hold impression and ink. Different papers will change the alphabet’s edge quality, density, and tactile presence.</w:t>
      </w:r>
    </w:p>
    <w:p>
      <w:r>
        <w:t>Material variables to document:</w:t>
      </w:r>
    </w:p>
    <w:p>
      <w:pPr>
        <w:pStyle w:val="ListBullet"/>
      </w:pPr>
      <w:r>
        <w:t>Paper weight and texture.</w:t>
      </w:r>
    </w:p>
    <w:p>
      <w:pPr>
        <w:pStyle w:val="ListBullet"/>
      </w:pPr>
      <w:r>
        <w:t>Ink colour and density.</w:t>
      </w:r>
    </w:p>
    <w:p>
      <w:pPr>
        <w:pStyle w:val="ListBullet"/>
      </w:pPr>
      <w:r>
        <w:t>Impression depth.</w:t>
      </w:r>
    </w:p>
    <w:p>
      <w:pPr>
        <w:pStyle w:val="ListBullet"/>
      </w:pPr>
      <w:r>
        <w:t>Edge sharpness or softness.</w:t>
      </w:r>
    </w:p>
    <w:p>
      <w:pPr>
        <w:pStyle w:val="ListBullet"/>
      </w:pPr>
      <w:r>
        <w:t>Ink spread.</w:t>
      </w:r>
    </w:p>
    <w:p>
      <w:pPr>
        <w:pStyle w:val="ListBullet"/>
      </w:pPr>
      <w:r>
        <w:t>Drying time.</w:t>
      </w:r>
    </w:p>
    <w:p>
      <w:pPr>
        <w:pStyle w:val="ListBullet"/>
      </w:pPr>
      <w:r>
        <w:t>Registration accuracy.</w:t>
      </w:r>
    </w:p>
    <w:p>
      <w:pPr>
        <w:pStyle w:val="ListBullet"/>
      </w:pPr>
      <w:r>
        <w:t>Legibility of small details and accents.</w:t>
      </w:r>
    </w:p>
    <w:p>
      <w:pPr>
        <w:pStyle w:val="ListBullet"/>
      </w:pPr>
      <w:r>
        <w:t>Relationship between paper tone and alphabet mood.</w:t>
      </w:r>
    </w:p>
    <w:p>
      <w:r>
        <w:t>These tests will become part of the thesis evidence. Rejected prints are not failures only. They show how the material process thinks with the alphabet.</w:t>
      </w:r>
    </w:p>
    <w:p>
      <w:pPr>
        <w:pStyle w:val="Heading3"/>
      </w:pPr>
      <w:r>
        <w:t>6.6.7 Stage 5: Technician-supervised proofing and editioning</w:t>
      </w:r>
    </w:p>
    <w:p>
      <w:r>
        <w:t>The press proofing stage will be conducted with a trained technician or experienced letterpress printer. The research focus will be observation, documentation, and design decision-making. The process may include proof sheets, adjustments, comparison of impression, and selection of final settings.</w:t>
      </w:r>
    </w:p>
    <w:p>
      <w:r>
        <w:t>The final edition may include:</w:t>
      </w:r>
    </w:p>
    <w:p>
      <w:pPr>
        <w:pStyle w:val="ListBullet"/>
      </w:pPr>
      <w:r>
        <w:t>Numbered edition prints.</w:t>
      </w:r>
    </w:p>
    <w:p>
      <w:pPr>
        <w:pStyle w:val="ListBullet"/>
      </w:pPr>
      <w:r>
        <w:t>Artist proofs.</w:t>
      </w:r>
    </w:p>
    <w:p>
      <w:pPr>
        <w:pStyle w:val="ListBullet"/>
      </w:pPr>
      <w:r>
        <w:t>Test proofs.</w:t>
      </w:r>
    </w:p>
    <w:p>
      <w:pPr>
        <w:pStyle w:val="ListBullet"/>
      </w:pPr>
      <w:r>
        <w:t>Process sheets.</w:t>
      </w:r>
    </w:p>
    <w:p>
      <w:pPr>
        <w:pStyle w:val="ListBullet"/>
      </w:pPr>
      <w:r>
        <w:t>One or more archive copies.</w:t>
      </w:r>
    </w:p>
    <w:p>
      <w:pPr>
        <w:pStyle w:val="ListBullet"/>
      </w:pPr>
      <w:r>
        <w:t>Documentation photographs.</w:t>
      </w:r>
    </w:p>
    <w:p>
      <w:r>
        <w:t>The edition should include notes on paper, ink, plate, date, location, and production context. These notes will help the posters function as part of the archive.</w:t>
      </w:r>
    </w:p>
    <w:p>
      <w:pPr>
        <w:pStyle w:val="Heading3"/>
      </w:pPr>
      <w:r>
        <w:t>6.6.8 Stage 6: Analysis of the printed outcome</w:t>
      </w:r>
    </w:p>
    <w:p>
      <w:r>
        <w:t>After printing, the posters will be analyzed through both formal and reflective criteria.</w:t>
      </w:r>
    </w:p>
    <w:p>
      <w:r>
        <w:t>Formal analysis:</w:t>
      </w:r>
    </w:p>
    <w:p>
      <w:pPr>
        <w:pStyle w:val="ListBullet"/>
      </w:pPr>
      <w:r>
        <w:t>Did the alphabet remain readable?</w:t>
      </w:r>
    </w:p>
    <w:p>
      <w:pPr>
        <w:pStyle w:val="ListBullet"/>
      </w:pPr>
      <w:r>
        <w:t>Did the pressure improve or distort the form?</w:t>
      </w:r>
    </w:p>
    <w:p>
      <w:pPr>
        <w:pStyle w:val="ListBullet"/>
      </w:pPr>
      <w:r>
        <w:t>How did the edge quality change?</w:t>
      </w:r>
    </w:p>
    <w:p>
      <w:pPr>
        <w:pStyle w:val="ListBullet"/>
      </w:pPr>
      <w:r>
        <w:t>How did paper texture affect rhythm?</w:t>
      </w:r>
    </w:p>
    <w:p>
      <w:pPr>
        <w:pStyle w:val="ListBullet"/>
      </w:pPr>
      <w:r>
        <w:t>Did the accents, punctuation, and small details survive?</w:t>
      </w:r>
    </w:p>
    <w:p>
      <w:pPr>
        <w:pStyle w:val="ListBullet"/>
      </w:pPr>
      <w:r>
        <w:t>Did the poster communicate the intended hierarchy?</w:t>
      </w:r>
    </w:p>
    <w:p>
      <w:r>
        <w:t>Reflective analysis:</w:t>
      </w:r>
    </w:p>
    <w:p>
      <w:pPr>
        <w:pStyle w:val="ListBullet"/>
      </w:pPr>
      <w:r>
        <w:t>What did the press reveal that the screen did not?</w:t>
      </w:r>
    </w:p>
    <w:p>
      <w:pPr>
        <w:pStyle w:val="ListBullet"/>
      </w:pPr>
      <w:r>
        <w:t>Did the printed object feel more archival, public, intimate, or institutional?</w:t>
      </w:r>
    </w:p>
    <w:p>
      <w:pPr>
        <w:pStyle w:val="ListBullet"/>
      </w:pPr>
      <w:r>
        <w:t>Did the process change how I understand the alphabet?</w:t>
      </w:r>
    </w:p>
    <w:p>
      <w:pPr>
        <w:pStyle w:val="ListBullet"/>
      </w:pPr>
      <w:r>
        <w:t>What did repetition and editioning do to the idea of testimony?</w:t>
      </w:r>
    </w:p>
    <w:p>
      <w:pPr>
        <w:pStyle w:val="ListBullet"/>
      </w:pPr>
      <w:r>
        <w:t>Did the material beauty of letterpress risk aestheticizing the participant material?</w:t>
      </w:r>
    </w:p>
    <w:p>
      <w:pPr>
        <w:pStyle w:val="ListBullet"/>
      </w:pPr>
      <w:r>
        <w:t>How can the exhibition show process without overexposing participant stories?</w:t>
      </w:r>
    </w:p>
    <w:p>
      <w:pPr>
        <w:pStyle w:val="Heading2"/>
      </w:pPr>
      <w:r>
        <w:t>6.7 Documentation as method</w:t>
      </w:r>
    </w:p>
    <w:p>
      <w:r>
        <w:t>Documentation will be part of the methodology, not only an afterthought. The project should document:</w:t>
      </w:r>
    </w:p>
    <w:p>
      <w:pPr>
        <w:pStyle w:val="ListBullet"/>
      </w:pPr>
      <w:r>
        <w:t>Interviews and consent decisions.</w:t>
      </w:r>
    </w:p>
    <w:p>
      <w:pPr>
        <w:pStyle w:val="ListBullet"/>
      </w:pPr>
      <w:r>
        <w:t>Visual references.</w:t>
      </w:r>
    </w:p>
    <w:p>
      <w:pPr>
        <w:pStyle w:val="ListBullet"/>
      </w:pPr>
      <w:r>
        <w:t>Sketches and maps.</w:t>
      </w:r>
    </w:p>
    <w:p>
      <w:pPr>
        <w:pStyle w:val="ListBullet"/>
      </w:pPr>
      <w:r>
        <w:t>Type design files.</w:t>
      </w:r>
    </w:p>
    <w:p>
      <w:pPr>
        <w:pStyle w:val="ListBullet"/>
      </w:pPr>
      <w:r>
        <w:t>Proofs and revisions.</w:t>
      </w:r>
    </w:p>
    <w:p>
      <w:pPr>
        <w:pStyle w:val="ListBullet"/>
      </w:pPr>
      <w:r>
        <w:t>Printmaking tests.</w:t>
      </w:r>
    </w:p>
    <w:p>
      <w:pPr>
        <w:pStyle w:val="ListBullet"/>
      </w:pPr>
      <w:r>
        <w:t>Heidelberg poster stages.</w:t>
      </w:r>
    </w:p>
    <w:p>
      <w:pPr>
        <w:pStyle w:val="ListBullet"/>
      </w:pPr>
      <w:r>
        <w:t>Exhibition installation.</w:t>
      </w:r>
    </w:p>
    <w:p>
      <w:pPr>
        <w:pStyle w:val="ListBullet"/>
      </w:pPr>
      <w:r>
        <w:t>Reflexive notes.</w:t>
      </w:r>
    </w:p>
    <w:p>
      <w:r>
        <w:t>Documentation matters because the thesis argues that the process itself is archival. The archive should show how decisions were made, not only what the final output looks like.</w:t>
      </w:r>
    </w:p>
    <w:p>
      <w:pPr>
        <w:pStyle w:val="Heading2"/>
      </w:pPr>
      <w:r>
        <w:t>6.8 Reflexive writing</w:t>
      </w:r>
    </w:p>
    <w:p>
      <w:r>
        <w:t>Reflexive writing will be used throughout the project. This writing will help me identify how my own decisions shape the research. Because I am designing the alphabet, selecting references, composing posters, and writing the thesis, I must account for my own role.</w:t>
      </w:r>
    </w:p>
    <w:p>
      <w:r>
        <w:t>Reflexive writing may appear as:</w:t>
      </w:r>
    </w:p>
    <w:p>
      <w:pPr>
        <w:pStyle w:val="ListBullet"/>
      </w:pPr>
      <w:r>
        <w:t>Studio notes.</w:t>
      </w:r>
    </w:p>
    <w:p>
      <w:pPr>
        <w:pStyle w:val="ListBullet"/>
      </w:pPr>
      <w:r>
        <w:t>Process reflections.</w:t>
      </w:r>
    </w:p>
    <w:p>
      <w:pPr>
        <w:pStyle w:val="ListBullet"/>
      </w:pPr>
      <w:r>
        <w:t>Short writing beside proofs.</w:t>
      </w:r>
    </w:p>
    <w:p>
      <w:pPr>
        <w:pStyle w:val="ListBullet"/>
      </w:pPr>
      <w:r>
        <w:t>Thesis chapter sections.</w:t>
      </w:r>
    </w:p>
    <w:p>
      <w:pPr>
        <w:pStyle w:val="ListBullet"/>
      </w:pPr>
      <w:r>
        <w:t>Exhibition captions.</w:t>
      </w:r>
    </w:p>
    <w:p>
      <w:pPr>
        <w:pStyle w:val="ListBullet"/>
      </w:pPr>
      <w:r>
        <w:t>A methodology appendix.</w:t>
      </w:r>
    </w:p>
    <w:p>
      <w:r>
        <w:t>The goal is to avoid presenting the alphabet as if it naturally emerged from the community. Instead, the thesis should show the decisions, negotiations, uncertainties, and responsibilities involved.</w:t>
      </w:r>
    </w:p>
    <w:p/>
    <w:p>
      <w:pPr>
        <w:pStyle w:val="Heading1"/>
      </w:pPr>
      <w:r>
        <w:t>Section 07: Resources and facilities. What will you need?</w:t>
      </w:r>
    </w:p>
    <w:p>
      <w:pPr>
        <w:pStyle w:val="Heading2"/>
      </w:pPr>
      <w:r>
        <w:t>7.1 People and supervision</w:t>
      </w:r>
    </w:p>
    <w:p>
      <w:r>
        <w:t>The project will require:</w:t>
      </w:r>
    </w:p>
    <w:p>
      <w:pPr>
        <w:pStyle w:val="ListBullet"/>
      </w:pPr>
      <w:r>
        <w:t>Thesis supervisor and committee guidance.</w:t>
      </w:r>
    </w:p>
    <w:p>
      <w:pPr>
        <w:pStyle w:val="ListBullet"/>
      </w:pPr>
      <w:r>
        <w:t>Ethics guidance for participant-based research.</w:t>
      </w:r>
    </w:p>
    <w:p>
      <w:pPr>
        <w:pStyle w:val="ListBullet"/>
      </w:pPr>
      <w:r>
        <w:t>Latino participants along the London-Sarnia corridor.</w:t>
      </w:r>
    </w:p>
    <w:p>
      <w:pPr>
        <w:pStyle w:val="ListBullet"/>
      </w:pPr>
      <w:r>
        <w:t>Printmaking technicians.</w:t>
      </w:r>
    </w:p>
    <w:p>
      <w:pPr>
        <w:pStyle w:val="ListBullet"/>
      </w:pPr>
      <w:r>
        <w:t>A trained letterpress or Heidelberg Windmill operator.</w:t>
      </w:r>
    </w:p>
    <w:p>
      <w:pPr>
        <w:pStyle w:val="ListBullet"/>
      </w:pPr>
      <w:r>
        <w:t>Type design feedback from faculty, peers, or outside specialists.</w:t>
      </w:r>
    </w:p>
    <w:p>
      <w:pPr>
        <w:pStyle w:val="ListBullet"/>
      </w:pPr>
      <w:r>
        <w:t>Possible host institution support if part of the research is conducted outside Canada.</w:t>
      </w:r>
    </w:p>
    <w:p>
      <w:pPr>
        <w:pStyle w:val="ListBullet"/>
      </w:pPr>
      <w:r>
        <w:t>Conversations with makers from other material practices, such as Gordon Boyd’s glass work, to think across craft, pressure, transparency, material resistance, and decolonizing process.</w:t>
      </w:r>
    </w:p>
    <w:p>
      <w:pPr>
        <w:pStyle w:val="Heading2"/>
      </w:pPr>
      <w:r>
        <w:t>7.2 Facilities</w:t>
      </w:r>
    </w:p>
    <w:p>
      <w:r>
        <w:t>Potential facilities include:</w:t>
      </w:r>
    </w:p>
    <w:p>
      <w:pPr>
        <w:pStyle w:val="ListBullet"/>
      </w:pPr>
      <w:r>
        <w:t>OCAD University studios and critique spaces.</w:t>
      </w:r>
    </w:p>
    <w:p>
      <w:pPr>
        <w:pStyle w:val="ListBullet"/>
      </w:pPr>
      <w:r>
        <w:t>Printmaking studio for proofing, paper preparation, and material tests.</w:t>
      </w:r>
    </w:p>
    <w:p>
      <w:pPr>
        <w:pStyle w:val="ListBullet"/>
      </w:pPr>
      <w:r>
        <w:t>A letterpress facility with an Original Heidelberg Tiegel or Windmill Platen Press.</w:t>
      </w:r>
    </w:p>
    <w:p>
      <w:pPr>
        <w:pStyle w:val="ListBullet"/>
      </w:pPr>
      <w:r>
        <w:t>A plate-making or printing supplier for photopolymer or metal relief plates.</w:t>
      </w:r>
    </w:p>
    <w:p>
      <w:pPr>
        <w:pStyle w:val="ListBullet"/>
      </w:pPr>
      <w:r>
        <w:t>A computer lab or personal workstation for type design.</w:t>
      </w:r>
    </w:p>
    <w:p>
      <w:pPr>
        <w:pStyle w:val="ListBullet"/>
      </w:pPr>
      <w:r>
        <w:t>Exhibition space for installation.</w:t>
      </w:r>
    </w:p>
    <w:p>
      <w:pPr>
        <w:pStyle w:val="ListBullet"/>
      </w:pPr>
      <w:r>
        <w:t>Scanning or photography facilities for documentation.</w:t>
      </w:r>
    </w:p>
    <w:p>
      <w:pPr>
        <w:pStyle w:val="ListBullet"/>
      </w:pPr>
      <w:r>
        <w:t>A safe storage area for prints, proofs, plates, paper, and archive materials.</w:t>
      </w:r>
    </w:p>
    <w:p>
      <w:pPr>
        <w:pStyle w:val="Heading2"/>
      </w:pPr>
      <w:r>
        <w:t>7.3 Equipment</w:t>
      </w:r>
    </w:p>
    <w:p>
      <w:r>
        <w:t>Possible equipment includes:</w:t>
      </w:r>
    </w:p>
    <w:p>
      <w:pPr>
        <w:pStyle w:val="ListBullet"/>
      </w:pPr>
      <w:r>
        <w:t>Computer with type design software.</w:t>
      </w:r>
    </w:p>
    <w:p>
      <w:pPr>
        <w:pStyle w:val="ListBullet"/>
      </w:pPr>
      <w:r>
        <w:t>Glyphs, RoboFont, Fontra Pak, FontGoggles, DrawBot, Adobe Illustrator, InDesign, Photoshop, After Effects, or comparable tools.</w:t>
      </w:r>
    </w:p>
    <w:p>
      <w:pPr>
        <w:pStyle w:val="ListBullet"/>
      </w:pPr>
      <w:r>
        <w:t>Camera or phone for documentation.</w:t>
      </w:r>
    </w:p>
    <w:p>
      <w:pPr>
        <w:pStyle w:val="ListBullet"/>
      </w:pPr>
      <w:r>
        <w:t>Audio recorder for interviews, if approved.</w:t>
      </w:r>
    </w:p>
    <w:p>
      <w:pPr>
        <w:pStyle w:val="ListBullet"/>
      </w:pPr>
      <w:r>
        <w:t>Scanner for sketches, prints, and archival references.</w:t>
      </w:r>
    </w:p>
    <w:p>
      <w:pPr>
        <w:pStyle w:val="ListBullet"/>
      </w:pPr>
      <w:r>
        <w:t>Printer for proofing.</w:t>
      </w:r>
    </w:p>
    <w:p>
      <w:pPr>
        <w:pStyle w:val="ListBullet"/>
      </w:pPr>
      <w:r>
        <w:t>Heidelberg Windmill Platen Press, used only under trained supervision.</w:t>
      </w:r>
    </w:p>
    <w:p>
      <w:pPr>
        <w:pStyle w:val="ListBullet"/>
      </w:pPr>
      <w:r>
        <w:t>Plate base and appropriate relief printing plate.</w:t>
      </w:r>
    </w:p>
    <w:p>
      <w:pPr>
        <w:pStyle w:val="ListBullet"/>
      </w:pPr>
      <w:r>
        <w:t>Drying racks.</w:t>
      </w:r>
    </w:p>
    <w:p>
      <w:pPr>
        <w:pStyle w:val="ListBullet"/>
      </w:pPr>
      <w:r>
        <w:t>Cutting tools operated within studio safety rules.</w:t>
      </w:r>
    </w:p>
    <w:p>
      <w:pPr>
        <w:pStyle w:val="ListBullet"/>
      </w:pPr>
      <w:r>
        <w:t>Measuring tools, proofing tools, and paper storage.</w:t>
      </w:r>
    </w:p>
    <w:p>
      <w:pPr>
        <w:pStyle w:val="Heading2"/>
      </w:pPr>
      <w:r>
        <w:t>7.4 Materials</w:t>
      </w:r>
    </w:p>
    <w:p>
      <w:r>
        <w:t>Materials may include:</w:t>
      </w:r>
    </w:p>
    <w:p>
      <w:pPr>
        <w:pStyle w:val="ListBullet"/>
      </w:pPr>
      <w:r>
        <w:t>Cotton rag paper or archival printmaking paper.</w:t>
      </w:r>
    </w:p>
    <w:p>
      <w:pPr>
        <w:pStyle w:val="ListBullet"/>
      </w:pPr>
      <w:r>
        <w:t>Newsprint or inexpensive proofing paper.</w:t>
      </w:r>
    </w:p>
    <w:p>
      <w:pPr>
        <w:pStyle w:val="ListBullet"/>
      </w:pPr>
      <w:r>
        <w:t>Letterpress inks.</w:t>
      </w:r>
    </w:p>
    <w:p>
      <w:pPr>
        <w:pStyle w:val="ListBullet"/>
      </w:pPr>
      <w:r>
        <w:t>Photopolymer plates, metal plates, or relief printing blocks.</w:t>
      </w:r>
    </w:p>
    <w:p>
      <w:pPr>
        <w:pStyle w:val="ListBullet"/>
      </w:pPr>
      <w:r>
        <w:t>Plate base or mounting system appropriate to the press.</w:t>
      </w:r>
    </w:p>
    <w:p>
      <w:pPr>
        <w:pStyle w:val="ListBullet"/>
      </w:pPr>
      <w:r>
        <w:t>Tracing paper, pencils, markers, tape, and notebooks.</w:t>
      </w:r>
    </w:p>
    <w:p>
      <w:pPr>
        <w:pStyle w:val="ListBullet"/>
      </w:pPr>
      <w:r>
        <w:t>Archival sleeves or boxes for prints and process material.</w:t>
      </w:r>
    </w:p>
    <w:p>
      <w:pPr>
        <w:pStyle w:val="ListBullet"/>
      </w:pPr>
      <w:r>
        <w:t>Exhibition wall materials, labels, frames, clips, magnets, or tables.</w:t>
      </w:r>
    </w:p>
    <w:p>
      <w:pPr>
        <w:pStyle w:val="Heading2"/>
      </w:pPr>
      <w:r>
        <w:t>7.5 Digital resources</w:t>
      </w:r>
    </w:p>
    <w:p>
      <w:r>
        <w:t>Digital resources may include:</w:t>
      </w:r>
    </w:p>
    <w:p>
      <w:pPr>
        <w:pStyle w:val="ListBullet"/>
      </w:pPr>
      <w:r>
        <w:t>Font files: UFO, Glyphs files, OTF, TTF, WOFF, WOFF2, variable font files.</w:t>
      </w:r>
    </w:p>
    <w:p>
      <w:pPr>
        <w:pStyle w:val="ListBullet"/>
      </w:pPr>
      <w:r>
        <w:t>Designspace files.</w:t>
      </w:r>
    </w:p>
    <w:p>
      <w:pPr>
        <w:pStyle w:val="ListBullet"/>
      </w:pPr>
      <w:r>
        <w:t>Versioned proof PDFs.</w:t>
      </w:r>
    </w:p>
    <w:p>
      <w:pPr>
        <w:pStyle w:val="ListBullet"/>
      </w:pPr>
      <w:r>
        <w:t>Interview transcripts or summaries, stored securely.</w:t>
      </w:r>
    </w:p>
    <w:p>
      <w:pPr>
        <w:pStyle w:val="ListBullet"/>
      </w:pPr>
      <w:r>
        <w:t>Participant consent records.</w:t>
      </w:r>
    </w:p>
    <w:p>
      <w:pPr>
        <w:pStyle w:val="ListBullet"/>
      </w:pPr>
      <w:r>
        <w:t>Visual reference folders.</w:t>
      </w:r>
    </w:p>
    <w:p>
      <w:pPr>
        <w:pStyle w:val="ListBullet"/>
      </w:pPr>
      <w:r>
        <w:t>Photo documentation.</w:t>
      </w:r>
    </w:p>
    <w:p>
      <w:pPr>
        <w:pStyle w:val="ListBullet"/>
      </w:pPr>
      <w:r>
        <w:t>Exhibition files.</w:t>
      </w:r>
    </w:p>
    <w:p>
      <w:pPr>
        <w:pStyle w:val="ListBullet"/>
      </w:pPr>
      <w:r>
        <w:t>Backup storage.</w:t>
      </w:r>
    </w:p>
    <w:p>
      <w:pPr>
        <w:pStyle w:val="Heading2"/>
      </w:pPr>
      <w:r>
        <w:t>7.6 Research resources</w:t>
      </w:r>
    </w:p>
    <w:p>
      <w:r>
        <w:t>The project will require access to:</w:t>
      </w:r>
    </w:p>
    <w:p>
      <w:pPr>
        <w:pStyle w:val="ListBullet"/>
      </w:pPr>
      <w:r>
        <w:t>OCAD library materials.</w:t>
      </w:r>
    </w:p>
    <w:p>
      <w:pPr>
        <w:pStyle w:val="ListBullet"/>
      </w:pPr>
      <w:r>
        <w:t>Typography and design research texts.</w:t>
      </w:r>
    </w:p>
    <w:p>
      <w:pPr>
        <w:pStyle w:val="ListBullet"/>
      </w:pPr>
      <w:r>
        <w:t>Research methods texts.</w:t>
      </w:r>
    </w:p>
    <w:p>
      <w:pPr>
        <w:pStyle w:val="ListBullet"/>
      </w:pPr>
      <w:r>
        <w:t>Decolonial design and ethical representation readings.</w:t>
      </w:r>
    </w:p>
    <w:p>
      <w:pPr>
        <w:pStyle w:val="ListBullet"/>
      </w:pPr>
      <w:r>
        <w:t>Archives or examples of protest posters, type specimens, vernacular typography, letterpress printing, and new media typography.</w:t>
      </w:r>
    </w:p>
    <w:p>
      <w:pPr>
        <w:pStyle w:val="ListBullet"/>
      </w:pPr>
      <w:r>
        <w:t>Local visual research through field observation in London, Sarnia, and surrounding areas.</w:t>
      </w:r>
    </w:p>
    <w:p>
      <w:pPr>
        <w:pStyle w:val="Heading2"/>
      </w:pPr>
      <w:r>
        <w:t>7.7 Resource matrix</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top"/>
            <w:shd w:fill="EDEDED"/>
          </w:tcPr>
          <w:p>
            <w:r/>
            <w:r>
              <w:rPr>
                <w:b/>
                <w:sz w:val="18"/>
              </w:rPr>
              <w:t>Resource area</w:t>
            </w:r>
          </w:p>
        </w:tc>
        <w:tc>
          <w:tcPr>
            <w:tcW w:type="dxa" w:w="3264"/>
            <w:vAlign w:val="top"/>
            <w:shd w:fill="EDEDED"/>
          </w:tcPr>
          <w:p>
            <w:r/>
            <w:r>
              <w:rPr>
                <w:b/>
                <w:sz w:val="18"/>
              </w:rPr>
              <w:t>What is needed</w:t>
            </w:r>
          </w:p>
        </w:tc>
        <w:tc>
          <w:tcPr>
            <w:tcW w:type="dxa" w:w="3264"/>
            <w:vAlign w:val="top"/>
            <w:shd w:fill="EDEDED"/>
          </w:tcPr>
          <w:p>
            <w:r/>
            <w:r>
              <w:rPr>
                <w:b/>
                <w:sz w:val="18"/>
              </w:rPr>
              <w:t>Why it matters</w:t>
            </w:r>
          </w:p>
        </w:tc>
      </w:tr>
      <w:tr>
        <w:tc>
          <w:tcPr>
            <w:tcW w:type="dxa" w:w="3264"/>
            <w:vAlign w:val="top"/>
          </w:tcPr>
          <w:p>
            <w:r/>
            <w:r>
              <w:rPr>
                <w:b w:val="0"/>
                <w:sz w:val="18"/>
              </w:rPr>
              <w:t>Participants</w:t>
            </w:r>
          </w:p>
        </w:tc>
        <w:tc>
          <w:tcPr>
            <w:tcW w:type="dxa" w:w="3264"/>
            <w:vAlign w:val="top"/>
          </w:tcPr>
          <w:p>
            <w:r/>
            <w:r>
              <w:rPr>
                <w:b w:val="0"/>
                <w:sz w:val="18"/>
              </w:rPr>
              <w:t>4 to 7 Latino residents along the corridor</w:t>
            </w:r>
          </w:p>
        </w:tc>
        <w:tc>
          <w:tcPr>
            <w:tcW w:type="dxa" w:w="3264"/>
            <w:vAlign w:val="top"/>
          </w:tcPr>
          <w:p>
            <w:r/>
            <w:r>
              <w:rPr>
                <w:b w:val="0"/>
                <w:sz w:val="18"/>
              </w:rPr>
              <w:t>Supports co-design, situated knowledge, and ethical representation</w:t>
            </w:r>
          </w:p>
        </w:tc>
      </w:tr>
      <w:tr>
        <w:tc>
          <w:tcPr>
            <w:tcW w:type="dxa" w:w="3264"/>
            <w:vAlign w:val="top"/>
          </w:tcPr>
          <w:p>
            <w:r/>
            <w:r>
              <w:rPr>
                <w:b w:val="0"/>
                <w:sz w:val="18"/>
              </w:rPr>
              <w:t>Type design software</w:t>
            </w:r>
          </w:p>
        </w:tc>
        <w:tc>
          <w:tcPr>
            <w:tcW w:type="dxa" w:w="3264"/>
            <w:vAlign w:val="top"/>
          </w:tcPr>
          <w:p>
            <w:r/>
            <w:r>
              <w:rPr>
                <w:b w:val="0"/>
                <w:sz w:val="18"/>
              </w:rPr>
              <w:t>Glyphs, RoboFont, Fontra Pak, FontGoggles</w:t>
            </w:r>
          </w:p>
        </w:tc>
        <w:tc>
          <w:tcPr>
            <w:tcW w:type="dxa" w:w="3264"/>
            <w:vAlign w:val="top"/>
          </w:tcPr>
          <w:p>
            <w:r/>
            <w:r>
              <w:rPr>
                <w:b w:val="0"/>
                <w:sz w:val="18"/>
              </w:rPr>
              <w:t>Allows drawing, spacing, interpolation, proofing, and export</w:t>
            </w:r>
          </w:p>
        </w:tc>
      </w:tr>
      <w:tr>
        <w:tc>
          <w:tcPr>
            <w:tcW w:type="dxa" w:w="3264"/>
            <w:vAlign w:val="top"/>
          </w:tcPr>
          <w:p>
            <w:r/>
            <w:r>
              <w:rPr>
                <w:b w:val="0"/>
                <w:sz w:val="18"/>
              </w:rPr>
              <w:t>Printmaking facility</w:t>
            </w:r>
          </w:p>
        </w:tc>
        <w:tc>
          <w:tcPr>
            <w:tcW w:type="dxa" w:w="3264"/>
            <w:vAlign w:val="top"/>
          </w:tcPr>
          <w:p>
            <w:r/>
            <w:r>
              <w:rPr>
                <w:b w:val="0"/>
                <w:sz w:val="18"/>
              </w:rPr>
              <w:t>Heidelberg Windmill access with expert supervision</w:t>
            </w:r>
          </w:p>
        </w:tc>
        <w:tc>
          <w:tcPr>
            <w:tcW w:type="dxa" w:w="3264"/>
            <w:vAlign w:val="top"/>
          </w:tcPr>
          <w:p>
            <w:r/>
            <w:r>
              <w:rPr>
                <w:b w:val="0"/>
                <w:sz w:val="18"/>
              </w:rPr>
              <w:t>Enables alphabet poster production as material research</w:t>
            </w:r>
          </w:p>
        </w:tc>
      </w:tr>
      <w:tr>
        <w:tc>
          <w:tcPr>
            <w:tcW w:type="dxa" w:w="3264"/>
            <w:vAlign w:val="top"/>
          </w:tcPr>
          <w:p>
            <w:r/>
            <w:r>
              <w:rPr>
                <w:b w:val="0"/>
                <w:sz w:val="18"/>
              </w:rPr>
              <w:t>Materials</w:t>
            </w:r>
          </w:p>
        </w:tc>
        <w:tc>
          <w:tcPr>
            <w:tcW w:type="dxa" w:w="3264"/>
            <w:vAlign w:val="top"/>
          </w:tcPr>
          <w:p>
            <w:r/>
            <w:r>
              <w:rPr>
                <w:b w:val="0"/>
                <w:sz w:val="18"/>
              </w:rPr>
              <w:t>Paper, ink, plates, proofs, storage</w:t>
            </w:r>
          </w:p>
        </w:tc>
        <w:tc>
          <w:tcPr>
            <w:tcW w:type="dxa" w:w="3264"/>
            <w:vAlign w:val="top"/>
          </w:tcPr>
          <w:p>
            <w:r/>
            <w:r>
              <w:rPr>
                <w:b w:val="0"/>
                <w:sz w:val="18"/>
              </w:rPr>
              <w:t>Allows testing of texture, pressure, editioning, and archival quality</w:t>
            </w:r>
          </w:p>
        </w:tc>
      </w:tr>
      <w:tr>
        <w:tc>
          <w:tcPr>
            <w:tcW w:type="dxa" w:w="3264"/>
            <w:vAlign w:val="top"/>
          </w:tcPr>
          <w:p>
            <w:r/>
            <w:r>
              <w:rPr>
                <w:b w:val="0"/>
                <w:sz w:val="18"/>
              </w:rPr>
              <w:t>Documentation</w:t>
            </w:r>
          </w:p>
        </w:tc>
        <w:tc>
          <w:tcPr>
            <w:tcW w:type="dxa" w:w="3264"/>
            <w:vAlign w:val="top"/>
          </w:tcPr>
          <w:p>
            <w:r/>
            <w:r>
              <w:rPr>
                <w:b w:val="0"/>
                <w:sz w:val="18"/>
              </w:rPr>
              <w:t>Camera, scanner, notes, process archive</w:t>
            </w:r>
          </w:p>
        </w:tc>
        <w:tc>
          <w:tcPr>
            <w:tcW w:type="dxa" w:w="3264"/>
            <w:vAlign w:val="top"/>
          </w:tcPr>
          <w:p>
            <w:r/>
            <w:r>
              <w:rPr>
                <w:b w:val="0"/>
                <w:sz w:val="18"/>
              </w:rPr>
              <w:t>Preserves research evidence and supports thesis analysis</w:t>
            </w:r>
          </w:p>
        </w:tc>
      </w:tr>
      <w:tr>
        <w:tc>
          <w:tcPr>
            <w:tcW w:type="dxa" w:w="3264"/>
            <w:vAlign w:val="top"/>
          </w:tcPr>
          <w:p>
            <w:r/>
            <w:r>
              <w:rPr>
                <w:b w:val="0"/>
                <w:sz w:val="18"/>
              </w:rPr>
              <w:t>Exhibition space</w:t>
            </w:r>
          </w:p>
        </w:tc>
        <w:tc>
          <w:tcPr>
            <w:tcW w:type="dxa" w:w="3264"/>
            <w:vAlign w:val="top"/>
          </w:tcPr>
          <w:p>
            <w:r/>
            <w:r>
              <w:rPr>
                <w:b w:val="0"/>
                <w:sz w:val="18"/>
              </w:rPr>
              <w:t>Wall, tables, screens, frames, labels</w:t>
            </w:r>
          </w:p>
        </w:tc>
        <w:tc>
          <w:tcPr>
            <w:tcW w:type="dxa" w:w="3264"/>
            <w:vAlign w:val="top"/>
          </w:tcPr>
          <w:p>
            <w:r/>
            <w:r>
              <w:rPr>
                <w:b w:val="0"/>
                <w:sz w:val="18"/>
              </w:rPr>
              <w:t>Presents final work and process as research-creation</w:t>
            </w:r>
          </w:p>
        </w:tc>
      </w:tr>
      <w:tr>
        <w:tc>
          <w:tcPr>
            <w:tcW w:type="dxa" w:w="3264"/>
            <w:vAlign w:val="top"/>
          </w:tcPr>
          <w:p>
            <w:r/>
            <w:r>
              <w:rPr>
                <w:b w:val="0"/>
                <w:sz w:val="18"/>
              </w:rPr>
              <w:t>Ethics support</w:t>
            </w:r>
          </w:p>
        </w:tc>
        <w:tc>
          <w:tcPr>
            <w:tcW w:type="dxa" w:w="3264"/>
            <w:vAlign w:val="top"/>
          </w:tcPr>
          <w:p>
            <w:r/>
            <w:r>
              <w:rPr>
                <w:b w:val="0"/>
                <w:sz w:val="18"/>
              </w:rPr>
              <w:t>Consent forms, data storage, review process</w:t>
            </w:r>
          </w:p>
        </w:tc>
        <w:tc>
          <w:tcPr>
            <w:tcW w:type="dxa" w:w="3264"/>
            <w:vAlign w:val="top"/>
          </w:tcPr>
          <w:p>
            <w:r/>
            <w:r>
              <w:rPr>
                <w:b w:val="0"/>
                <w:sz w:val="18"/>
              </w:rPr>
              <w:t>Protects participants and supports non-extractive practice</w:t>
            </w:r>
          </w:p>
        </w:tc>
      </w:tr>
    </w:tbl>
    <w:p/>
    <w:p/>
    <w:p>
      <w:pPr>
        <w:pStyle w:val="Heading1"/>
      </w:pPr>
      <w:r>
        <w:t>Section 08: Potential challenges or limitations</w:t>
      </w:r>
    </w:p>
    <w:p>
      <w:pPr>
        <w:pStyle w:val="Heading2"/>
      </w:pPr>
      <w:r>
        <w:t>8.1 Ethical risk and participant representation</w:t>
      </w:r>
    </w:p>
    <w:p>
      <w:r>
        <w:t>The most important challenge is ethical representation. The project works with real people, lived experiences, cultural memory, and potentially sensitive stories. There is a risk of turning participant material into visual style, or presenting Latino life in a way that is too general, decorative, or simplified.</w:t>
      </w:r>
    </w:p>
    <w:p>
      <w:r>
        <w:t>To address this, the project must include:</w:t>
      </w:r>
    </w:p>
    <w:p>
      <w:pPr>
        <w:pStyle w:val="ListBullet"/>
      </w:pPr>
      <w:r>
        <w:t>Clear consent.</w:t>
      </w:r>
    </w:p>
    <w:p>
      <w:pPr>
        <w:pStyle w:val="ListBullet"/>
      </w:pPr>
      <w:r>
        <w:t>Participant review of materials.</w:t>
      </w:r>
    </w:p>
    <w:p>
      <w:pPr>
        <w:pStyle w:val="ListBullet"/>
      </w:pPr>
      <w:r>
        <w:t>Options for anonymity.</w:t>
      </w:r>
    </w:p>
    <w:p>
      <w:pPr>
        <w:pStyle w:val="ListBullet"/>
      </w:pPr>
      <w:r>
        <w:t>The right to withdraw.</w:t>
      </w:r>
    </w:p>
    <w:p>
      <w:pPr>
        <w:pStyle w:val="ListBullet"/>
      </w:pPr>
      <w:r>
        <w:t>The right to refuse public display of specific content.</w:t>
      </w:r>
    </w:p>
    <w:p>
      <w:pPr>
        <w:pStyle w:val="ListBullet"/>
      </w:pPr>
      <w:r>
        <w:t>Careful decisions about translation.</w:t>
      </w:r>
    </w:p>
    <w:p>
      <w:pPr>
        <w:pStyle w:val="ListBullet"/>
      </w:pPr>
      <w:r>
        <w:t>Avoidance of stereotypes or symbolic shortcuts.</w:t>
      </w:r>
    </w:p>
    <w:p>
      <w:pPr>
        <w:pStyle w:val="ListBullet"/>
      </w:pPr>
      <w:r>
        <w:t>Reflexive writing about my own role.</w:t>
      </w:r>
    </w:p>
    <w:p>
      <w:pPr>
        <w:pStyle w:val="Heading2"/>
      </w:pPr>
      <w:r>
        <w:t>8.2 Scope of the project</w:t>
      </w:r>
    </w:p>
    <w:p>
      <w:r>
        <w:t>The project is ambitious because it includes interviews, co-design, type design, multilingual testing, printmaking, possible motion work, and exhibition. There is a risk that the project becomes too broad.</w:t>
      </w:r>
    </w:p>
    <w:p>
      <w:r>
        <w:t>To manage scope, the project should prioritize:</w:t>
      </w:r>
    </w:p>
    <w:p>
      <w:r>
        <w:t>1. One strong co-designed alphabet or type system.</w:t>
      </w:r>
    </w:p>
    <w:p>
      <w:r>
        <w:t>2. One focused participant group.</w:t>
      </w:r>
    </w:p>
    <w:p>
      <w:r>
        <w:t>3. One main poster series using the Heidelberg Windmill.</w:t>
      </w:r>
    </w:p>
    <w:p>
      <w:r>
        <w:t>4. A clear set of typographic tests.</w:t>
      </w:r>
    </w:p>
    <w:p>
      <w:r>
        <w:t>5. A carefully edited exhibition rather than too many disconnected outputs.</w:t>
      </w:r>
    </w:p>
    <w:p>
      <w:r>
        <w:t>Motion and variable font experiments should support the thesis, not distract from the core argument.</w:t>
      </w:r>
    </w:p>
    <w:p>
      <w:pPr>
        <w:pStyle w:val="Heading2"/>
      </w:pPr>
      <w:r>
        <w:t>8.3 Access to Heidelberg Windmill facilities</w:t>
      </w:r>
    </w:p>
    <w:p>
      <w:r>
        <w:t>Access to a Heidelberg Windmill Platen Press may be limited by location, availability, cost, technician time, safety requirements, and scheduling. Since the press is specialized industrial equipment, it cannot be used casually or independently without training and supervision.</w:t>
      </w:r>
    </w:p>
    <w:p>
      <w:r>
        <w:t>Possible strategies:</w:t>
      </w:r>
    </w:p>
    <w:p>
      <w:pPr>
        <w:pStyle w:val="ListBullet"/>
      </w:pPr>
      <w:r>
        <w:t>Identify a facility early.</w:t>
      </w:r>
    </w:p>
    <w:p>
      <w:pPr>
        <w:pStyle w:val="ListBullet"/>
      </w:pPr>
      <w:r>
        <w:t>Confirm technician or printer availability.</w:t>
      </w:r>
    </w:p>
    <w:p>
      <w:pPr>
        <w:pStyle w:val="ListBullet"/>
      </w:pPr>
      <w:r>
        <w:t>Build the poster schedule around access dates.</w:t>
      </w:r>
    </w:p>
    <w:p>
      <w:pPr>
        <w:pStyle w:val="ListBullet"/>
      </w:pPr>
      <w:r>
        <w:t>Prepare digital files and test plates before the session.</w:t>
      </w:r>
    </w:p>
    <w:p>
      <w:pPr>
        <w:pStyle w:val="ListBullet"/>
      </w:pPr>
      <w:r>
        <w:t>Budget for plate production, paper, ink, studio time, and printing support.</w:t>
      </w:r>
    </w:p>
    <w:p>
      <w:pPr>
        <w:pStyle w:val="ListBullet"/>
      </w:pPr>
      <w:r>
        <w:t>Have a backup plan using another letterpress or relief printing method if the Windmill is not available.</w:t>
      </w:r>
    </w:p>
    <w:p>
      <w:pPr>
        <w:pStyle w:val="Heading2"/>
      </w:pPr>
      <w:r>
        <w:t>8.4 Technical limitations of type design</w:t>
      </w:r>
    </w:p>
    <w:p>
      <w:r>
        <w:t>Designing a typeface is time-consuming. It requires drawing, spacing, kerning, testing, revising, and exporting. Multilingual support adds complexity because accents and extended Latin characters must be integrated carefully.</w:t>
      </w:r>
    </w:p>
    <w:p>
      <w:r>
        <w:t>Potential limitations include:</w:t>
      </w:r>
    </w:p>
    <w:p>
      <w:pPr>
        <w:pStyle w:val="ListBullet"/>
      </w:pPr>
      <w:r>
        <w:t>Incomplete glyph set.</w:t>
      </w:r>
    </w:p>
    <w:p>
      <w:pPr>
        <w:pStyle w:val="ListBullet"/>
      </w:pPr>
      <w:r>
        <w:t>Spacing problems.</w:t>
      </w:r>
    </w:p>
    <w:p>
      <w:pPr>
        <w:pStyle w:val="ListBullet"/>
      </w:pPr>
      <w:r>
        <w:t>Poor performance in paragraph settings.</w:t>
      </w:r>
    </w:p>
    <w:p>
      <w:pPr>
        <w:pStyle w:val="ListBullet"/>
      </w:pPr>
      <w:r>
        <w:t>Accents feeling visually disconnected.</w:t>
      </w:r>
    </w:p>
    <w:p>
      <w:pPr>
        <w:pStyle w:val="ListBullet"/>
      </w:pPr>
      <w:r>
        <w:t>Variable font export issues.</w:t>
      </w:r>
    </w:p>
    <w:p>
      <w:pPr>
        <w:pStyle w:val="ListBullet"/>
      </w:pPr>
      <w:r>
        <w:t>Differences between screen rendering and print output.</w:t>
      </w:r>
    </w:p>
    <w:p>
      <w:r>
        <w:t>To address this, the project should set a realistic glyph scope and prioritize characters needed for the research.</w:t>
      </w:r>
    </w:p>
    <w:p>
      <w:pPr>
        <w:pStyle w:val="Heading2"/>
      </w:pPr>
      <w:r>
        <w:t>8.5 Multilingual complexity</w:t>
      </w:r>
    </w:p>
    <w:p>
      <w:r>
        <w:t>Latino communities are not linguistically uniform. Participants may use Spanish, English, Spanglish, Portuguese, Indigenous languages, regional expressions, slang, or mixed forms of communication. The project cannot represent all Latino language experience.</w:t>
      </w:r>
    </w:p>
    <w:p>
      <w:r>
        <w:t>The thesis should be honest about this limitation. It should frame the alphabet as situated and partial, not universal. It should say clearly that the work emerges from a specific group of participants and a specific corridor context.</w:t>
      </w:r>
    </w:p>
    <w:p>
      <w:pPr>
        <w:pStyle w:val="Heading2"/>
      </w:pPr>
      <w:r>
        <w:t>8.6 Risk of aestheticizing community experience</w:t>
      </w:r>
    </w:p>
    <w:p>
      <w:r>
        <w:t>Letterpress posters can be visually beautiful. This beauty can be powerful, but it can also create risk. The material charm of ink, paper, and impression may make difficult experiences look polished or consumable. The project must be careful not to transform participant stories into decorative artifacts detached from context.</w:t>
      </w:r>
    </w:p>
    <w:p>
      <w:r>
        <w:t>Strategies include:</w:t>
      </w:r>
    </w:p>
    <w:p>
      <w:pPr>
        <w:pStyle w:val="ListBullet"/>
      </w:pPr>
      <w:r>
        <w:t>Showing process and context alongside final posters.</w:t>
      </w:r>
    </w:p>
    <w:p>
      <w:pPr>
        <w:pStyle w:val="ListBullet"/>
      </w:pPr>
      <w:r>
        <w:t>Including participant review.</w:t>
      </w:r>
    </w:p>
    <w:p>
      <w:pPr>
        <w:pStyle w:val="ListBullet"/>
      </w:pPr>
      <w:r>
        <w:t>Avoiding overly romantic captions.</w:t>
      </w:r>
    </w:p>
    <w:p>
      <w:pPr>
        <w:pStyle w:val="ListBullet"/>
      </w:pPr>
      <w:r>
        <w:t>Making clear what is co-designed, interpreted, anonymized, or speculative.</w:t>
      </w:r>
    </w:p>
    <w:p>
      <w:pPr>
        <w:pStyle w:val="ListBullet"/>
      </w:pPr>
      <w:r>
        <w:t>Including reflections on what cannot or should not be represented.</w:t>
      </w:r>
    </w:p>
    <w:p>
      <w:pPr>
        <w:pStyle w:val="Heading2"/>
      </w:pPr>
      <w:r>
        <w:t>8.7 Time and production constraints</w:t>
      </w:r>
    </w:p>
    <w:p>
      <w:r>
        <w:t>Printmaking, especially editioned work, takes time. Plate production, proofing, drying, trimming, documentation, and installation must be scheduled carefully. If the posters include multiple colours, the process becomes more complex because each colour requires separate planning and registration.</w:t>
      </w:r>
    </w:p>
    <w:p>
      <w:r>
        <w:t>A realistic production plan should include:</w:t>
      </w:r>
    </w:p>
    <w:p>
      <w:pPr>
        <w:pStyle w:val="ListBullet"/>
      </w:pPr>
      <w:r>
        <w:t>Early file preparation.</w:t>
      </w:r>
    </w:p>
    <w:p>
      <w:pPr>
        <w:pStyle w:val="ListBullet"/>
      </w:pPr>
      <w:r>
        <w:t>A test print stage.</w:t>
      </w:r>
    </w:p>
    <w:p>
      <w:pPr>
        <w:pStyle w:val="ListBullet"/>
      </w:pPr>
      <w:r>
        <w:t>Time for revisions.</w:t>
      </w:r>
    </w:p>
    <w:p>
      <w:pPr>
        <w:pStyle w:val="ListBullet"/>
      </w:pPr>
      <w:r>
        <w:t>Final production sessions.</w:t>
      </w:r>
    </w:p>
    <w:p>
      <w:pPr>
        <w:pStyle w:val="ListBullet"/>
      </w:pPr>
      <w:r>
        <w:t>Drying and flattening time.</w:t>
      </w:r>
    </w:p>
    <w:p>
      <w:pPr>
        <w:pStyle w:val="ListBullet"/>
      </w:pPr>
      <w:r>
        <w:t>Documentation.</w:t>
      </w:r>
    </w:p>
    <w:p>
      <w:pPr>
        <w:pStyle w:val="ListBullet"/>
      </w:pPr>
      <w:r>
        <w:t>Installation planning.</w:t>
      </w:r>
    </w:p>
    <w:p>
      <w:pPr>
        <w:pStyle w:val="Heading2"/>
      </w:pPr>
      <w:r>
        <w:t>8.8 Research trustworthiness</w:t>
      </w:r>
    </w:p>
    <w:p>
      <w:r>
        <w:t>Because the project is qualitative and practice-based, the thesis must clearly explain how decisions are made. It should show how participant input leads to typographic decisions and where my own interpretation enters the work.</w:t>
      </w:r>
    </w:p>
    <w:p>
      <w:r>
        <w:t>Strategies include:</w:t>
      </w:r>
    </w:p>
    <w:p>
      <w:pPr>
        <w:pStyle w:val="ListBullet"/>
      </w:pPr>
      <w:r>
        <w:t>Keeping a decision log.</w:t>
      </w:r>
    </w:p>
    <w:p>
      <w:pPr>
        <w:pStyle w:val="ListBullet"/>
      </w:pPr>
      <w:r>
        <w:t>Keeping annotated proofs.</w:t>
      </w:r>
    </w:p>
    <w:p>
      <w:pPr>
        <w:pStyle w:val="ListBullet"/>
      </w:pPr>
      <w:r>
        <w:t>Documenting revisions.</w:t>
      </w:r>
    </w:p>
    <w:p>
      <w:pPr>
        <w:pStyle w:val="ListBullet"/>
      </w:pPr>
      <w:r>
        <w:t>Including participant feedback summaries.</w:t>
      </w:r>
    </w:p>
    <w:p>
      <w:pPr>
        <w:pStyle w:val="ListBullet"/>
      </w:pPr>
      <w:r>
        <w:t>Explaining why certain references were used or rejected.</w:t>
      </w:r>
    </w:p>
    <w:p>
      <w:pPr>
        <w:pStyle w:val="ListBullet"/>
      </w:pPr>
      <w:r>
        <w:t>Using reflexive writing to acknowledge uncertainty.</w:t>
      </w:r>
    </w:p>
    <w:p/>
    <w:p>
      <w:pPr>
        <w:pStyle w:val="Heading1"/>
      </w:pPr>
      <w:r>
        <w:t>Section 09: Significance of the project</w:t>
      </w:r>
    </w:p>
    <w:p>
      <w:pPr>
        <w:pStyle w:val="Heading2"/>
      </w:pPr>
      <w:r>
        <w:t>9.1 Contribution to typography</w:t>
      </w:r>
    </w:p>
    <w:p>
      <w:r>
        <w:t>This project contributes to typography by treating type design as a situated and participatory research practice. It challenges the idea that typefaces are only formal systems made for neutral communication. Instead, it shows that alphabets can carry memory, place, language, and social relationships.</w:t>
      </w:r>
    </w:p>
    <w:p>
      <w:r>
        <w:t>The project also contributes to discussions of legibility and readability by asking how multilingual readers experience typography. It does not treat readability as a single universal standard. It asks how reading is shaped by familiarity, accent support, hierarchy, environment, and cultural recognition.</w:t>
      </w:r>
    </w:p>
    <w:p>
      <w:pPr>
        <w:pStyle w:val="Heading2"/>
      </w:pPr>
      <w:r>
        <w:t>9.2 Contribution to design research</w:t>
      </w:r>
    </w:p>
    <w:p>
      <w:r>
        <w:t>The project contributes to research-creation and design research by connecting theory and making. It brings together interviews, visual mapping, type design, printmaking, and reflexive writing. It demonstrates how design artifacts can function as research evidence, not only as outcomes.</w:t>
      </w:r>
    </w:p>
    <w:p>
      <w:r>
        <w:t>The Heidelberg Windmill poster process is especially significant because it shows how material production can become a method of inquiry. The pressure, paper, ink, plate, and edition are not simply aesthetic choices. They help reveal how typography behaves as physical evidence.</w:t>
      </w:r>
    </w:p>
    <w:p>
      <w:pPr>
        <w:pStyle w:val="Heading2"/>
      </w:pPr>
      <w:r>
        <w:t>9.3 Contribution to Latino representation in Southwestern Ontario</w:t>
      </w:r>
    </w:p>
    <w:p>
      <w:r>
        <w:t>The project contributes to Latino representation by focusing on a regional context that is not always central in discussions of Latinidad in Canada. Instead of concentrating on larger metropolitan centres only, the project studies the London-Sarnia corridor as a dispersed geography of Latino life.</w:t>
      </w:r>
    </w:p>
    <w:p>
      <w:r>
        <w:t>This matters because Latino experience in Southwestern Ontario may be shaped by commuting, work, study, service industries, family networks, temporary movement, settlement, and transnational memory. The project gives visual form to this complexity without claiming to represent all Latino people.</w:t>
      </w:r>
    </w:p>
    <w:p>
      <w:pPr>
        <w:pStyle w:val="Heading2"/>
      </w:pPr>
      <w:r>
        <w:t>9.4 Contribution to decolonial and ethical design practice</w:t>
      </w:r>
    </w:p>
    <w:p>
      <w:r>
        <w:t>The project contributes to decolonial design by questioning universal standards, centering situated knowledge, and building methods of consent and participant review. It does not use decoloniality as a visual style. Instead, it asks how the process of making can challenge extraction, authorship, and institutional authority.</w:t>
      </w:r>
    </w:p>
    <w:p>
      <w:r>
        <w:t>The project’s ethical significance lies in its attention to visibility. It recognizes that representation can be empowering but also risky. By treating participants as collaborators and reviewers, the thesis proposes a more careful model for community-based typographic work.</w:t>
      </w:r>
    </w:p>
    <w:p>
      <w:pPr>
        <w:pStyle w:val="Heading2"/>
      </w:pPr>
      <w:r>
        <w:t>9.5 Contribution to printmaking and material culture</w:t>
      </w:r>
    </w:p>
    <w:p>
      <w:r>
        <w:t>The Heidelberg Windmill poster series contributes to printmaking by using letterpress not as nostalgia, but as a research tool. The posters connect contemporary digital type design to historical printing technology. This creates a dialogue between new media alphabets and older systems of mechanical reproduction.</w:t>
      </w:r>
    </w:p>
    <w:p>
      <w:r>
        <w:t>The project also contributes to material culture by showing how printed objects can carry memory, labour, and place. A poster is not only an image. It is paper, pressure, ink, edition, circulation, wall presence, and archive.</w:t>
      </w:r>
    </w:p>
    <w:p>
      <w:pPr>
        <w:pStyle w:val="Heading2"/>
      </w:pPr>
      <w:r>
        <w:t>9.6 What the project adds</w:t>
      </w:r>
    </w:p>
    <w:p>
      <w:r>
        <w:t>The project adds:</w:t>
      </w:r>
    </w:p>
    <w:p>
      <w:pPr>
        <w:pStyle w:val="ListBullet"/>
      </w:pPr>
      <w:r>
        <w:t>A situated model for co-designed typography with Latino communities in Southwestern Ontario.</w:t>
      </w:r>
    </w:p>
    <w:p>
      <w:pPr>
        <w:pStyle w:val="ListBullet"/>
      </w:pPr>
      <w:r>
        <w:t>A critical framework for questioning typographic quality and readability.</w:t>
      </w:r>
    </w:p>
    <w:p>
      <w:pPr>
        <w:pStyle w:val="ListBullet"/>
      </w:pPr>
      <w:r>
        <w:t>A material method for translating digital alphabets into letterpress posters.</w:t>
      </w:r>
    </w:p>
    <w:p>
      <w:pPr>
        <w:pStyle w:val="ListBullet"/>
      </w:pPr>
      <w:r>
        <w:t>A visual ecology approach to studying corridor life.</w:t>
      </w:r>
    </w:p>
    <w:p>
      <w:pPr>
        <w:pStyle w:val="ListBullet"/>
      </w:pPr>
      <w:r>
        <w:t>A reflexive method for ethical visibility and representation.</w:t>
      </w:r>
    </w:p>
    <w:p>
      <w:pPr>
        <w:pStyle w:val="ListBullet"/>
      </w:pPr>
      <w:r>
        <w:t>A body of work that links type design, printmaking, new media, and community-based research.</w:t>
      </w:r>
    </w:p>
    <w:p/>
    <w:p>
      <w:pPr>
        <w:pStyle w:val="Heading1"/>
      </w:pPr>
      <w:r>
        <w:t>Section 10: Other issues to identify. Diagrams and working structures</w:t>
      </w:r>
    </w:p>
    <w:p>
      <w:pPr>
        <w:pStyle w:val="Heading2"/>
      </w:pPr>
      <w:r>
        <w:t>10.1 Positionality</w:t>
      </w:r>
    </w:p>
    <w:p>
      <w:r>
        <w:t>The thesis should include a clear positionality statement. Because the project involves Latino life, community representation, and personal cultural connection, I need to explain my relationship to the work. I am not outside the project. My background, training, language, migration experience, design education, and relationship to Latin American visual culture all shape the research.</w:t>
      </w:r>
    </w:p>
    <w:p>
      <w:r>
        <w:t>A positionality statement should address:</w:t>
      </w:r>
    </w:p>
    <w:p>
      <w:pPr>
        <w:pStyle w:val="ListBullet"/>
      </w:pPr>
      <w:r>
        <w:t>Why this project matters to me.</w:t>
      </w:r>
    </w:p>
    <w:p>
      <w:pPr>
        <w:pStyle w:val="ListBullet"/>
      </w:pPr>
      <w:r>
        <w:t>How I relate to Latino life in Southwestern Ontario.</w:t>
      </w:r>
    </w:p>
    <w:p>
      <w:pPr>
        <w:pStyle w:val="ListBullet"/>
      </w:pPr>
      <w:r>
        <w:t>What forms of access or trust I may have.</w:t>
      </w:r>
    </w:p>
    <w:p>
      <w:pPr>
        <w:pStyle w:val="ListBullet"/>
      </w:pPr>
      <w:r>
        <w:t>What assumptions I bring as a designer.</w:t>
      </w:r>
    </w:p>
    <w:p>
      <w:pPr>
        <w:pStyle w:val="ListBullet"/>
      </w:pPr>
      <w:r>
        <w:t>How my training in typography may shape what I see as good, legible, or refined.</w:t>
      </w:r>
    </w:p>
    <w:p>
      <w:pPr>
        <w:pStyle w:val="ListBullet"/>
      </w:pPr>
      <w:r>
        <w:t>How I will remain accountable to participants.</w:t>
      </w:r>
    </w:p>
    <w:p>
      <w:pPr>
        <w:pStyle w:val="Heading2"/>
      </w:pPr>
      <w:r>
        <w:t>10.2 Authorship and credit</w:t>
      </w:r>
    </w:p>
    <w:p>
      <w:r>
        <w:t>The project must define authorship carefully. Since the alphabet is co-designed, it should not present all decisions as mine alone. However, it also needs to be clear that I am responsible for the final design, thesis framing, and exhibition.</w:t>
      </w:r>
    </w:p>
    <w:p>
      <w:r>
        <w:t>Possible credit language:</w:t>
      </w:r>
    </w:p>
    <w:p>
      <w:pPr>
        <w:pStyle w:val="ListBullet"/>
      </w:pPr>
      <w:r>
        <w:t>“Alphabet designed by Daniel Achig-Aranha through participant-informed workshops and visual research with Latino residents along the London-Sarnia corridor.”</w:t>
      </w:r>
    </w:p>
    <w:p>
      <w:pPr>
        <w:pStyle w:val="ListBullet"/>
      </w:pPr>
      <w:r>
        <w:t>“Participant references and words used with consent.”</w:t>
      </w:r>
    </w:p>
    <w:p>
      <w:pPr>
        <w:pStyle w:val="ListBullet"/>
      </w:pPr>
      <w:r>
        <w:t>“Some participant contributions anonymized by request.”</w:t>
      </w:r>
    </w:p>
    <w:p>
      <w:pPr>
        <w:pStyle w:val="ListBullet"/>
      </w:pPr>
      <w:r>
        <w:t>“This project does not claim to represent all Latino communities in Southwestern Ontario.”</w:t>
      </w:r>
    </w:p>
    <w:p>
      <w:pPr>
        <w:pStyle w:val="Heading2"/>
      </w:pPr>
      <w:r>
        <w:t>10.3 Consent and circulation</w:t>
      </w:r>
    </w:p>
    <w:p>
      <w:r>
        <w:t>Because fonts and posters circulate, consent must include circulation. Participants should understand that the work may appear in:</w:t>
      </w:r>
    </w:p>
    <w:p>
      <w:pPr>
        <w:pStyle w:val="ListBullet"/>
      </w:pPr>
      <w:r>
        <w:t>Thesis exhibition.</w:t>
      </w:r>
    </w:p>
    <w:p>
      <w:pPr>
        <w:pStyle w:val="ListBullet"/>
      </w:pPr>
      <w:r>
        <w:t>Thesis paper.</w:t>
      </w:r>
    </w:p>
    <w:p>
      <w:pPr>
        <w:pStyle w:val="ListBullet"/>
      </w:pPr>
      <w:r>
        <w:t>Digital portfolio.</w:t>
      </w:r>
    </w:p>
    <w:p>
      <w:pPr>
        <w:pStyle w:val="ListBullet"/>
      </w:pPr>
      <w:r>
        <w:t>Academic presentation.</w:t>
      </w:r>
    </w:p>
    <w:p>
      <w:pPr>
        <w:pStyle w:val="ListBullet"/>
      </w:pPr>
      <w:r>
        <w:t>Printed posters.</w:t>
      </w:r>
    </w:p>
    <w:p>
      <w:pPr>
        <w:pStyle w:val="ListBullet"/>
      </w:pPr>
      <w:r>
        <w:t>Documentation photographs.</w:t>
      </w:r>
    </w:p>
    <w:p>
      <w:pPr>
        <w:pStyle w:val="ListBullet"/>
      </w:pPr>
      <w:r>
        <w:t>Future publications or grant applications, if approved.</w:t>
      </w:r>
    </w:p>
    <w:p>
      <w:r>
        <w:t>Consent should allow participants to choose levels of visibility. Some may want to be named. Others may prefer anonymity. Some references may be used visually but not described publicly. Some may be excluded entirely.</w:t>
      </w:r>
    </w:p>
    <w:p>
      <w:pPr>
        <w:pStyle w:val="Heading2"/>
      </w:pPr>
      <w:r>
        <w:t>10.4 Language and translation</w:t>
      </w:r>
    </w:p>
    <w:p>
      <w:r>
        <w:t>Translation is not neutral. If participant material moves between Spanish and English, meaning may shift. The thesis should explain how translation decisions are made and whether participants can review translated text.</w:t>
      </w:r>
    </w:p>
    <w:p>
      <w:r>
        <w:t>Questions to address:</w:t>
      </w:r>
    </w:p>
    <w:p>
      <w:pPr>
        <w:pStyle w:val="ListBullet"/>
      </w:pPr>
      <w:r>
        <w:t>Will Spanish phrases remain in Spanish?</w:t>
      </w:r>
    </w:p>
    <w:p>
      <w:pPr>
        <w:pStyle w:val="ListBullet"/>
      </w:pPr>
      <w:r>
        <w:t>When will English translation be provided?</w:t>
      </w:r>
    </w:p>
    <w:p>
      <w:pPr>
        <w:pStyle w:val="ListBullet"/>
      </w:pPr>
      <w:r>
        <w:t>How will Spanglish or hybrid language be treated?</w:t>
      </w:r>
    </w:p>
    <w:p>
      <w:pPr>
        <w:pStyle w:val="ListBullet"/>
      </w:pPr>
      <w:r>
        <w:t>How will accents and diacritics be preserved?</w:t>
      </w:r>
    </w:p>
    <w:p>
      <w:pPr>
        <w:pStyle w:val="ListBullet"/>
      </w:pPr>
      <w:r>
        <w:t>How will regional expressions be handled?</w:t>
      </w:r>
    </w:p>
    <w:p>
      <w:pPr>
        <w:pStyle w:val="ListBullet"/>
      </w:pPr>
      <w:r>
        <w:t>Who approves translation choices?</w:t>
      </w:r>
    </w:p>
    <w:p>
      <w:pPr>
        <w:pStyle w:val="Heading2"/>
      </w:pPr>
      <w:r>
        <w:t>10.5 Relationship between Otavalo and the thesis alphabet</w:t>
      </w:r>
    </w:p>
    <w:p>
      <w:r>
        <w:t>Otavalo has been an important typeface exploration because it allowed experimentation with Andean textile references, monolinear construction, rhythm, printmaking, variable workflows, and exhibition display. In the thesis, Otavalo can function as a precedent or early research-creation engine. It shows how textile memory, material process, and letterform design can connect.</w:t>
      </w:r>
    </w:p>
    <w:p>
      <w:r>
        <w:t>However, the thesis should clarify whether Otavalo remains the central typeface or becomes a methodological precedent. If the final alphabet is developed with Latino residents along the London-Sarnia corridor, it should not simply repeat Otavalo’s visual language unless participants, context, and research justify that direction.</w:t>
      </w:r>
    </w:p>
    <w:p>
      <w:r>
        <w:t>A useful distinction:</w:t>
      </w:r>
    </w:p>
    <w:p>
      <w:pPr>
        <w:pStyle w:val="ListBullet"/>
      </w:pPr>
      <w:r>
        <w:rPr>
          <w:b/>
        </w:rPr>
        <w:t>Otavalo as precedent:</w:t>
      </w:r>
      <w:r>
        <w:t xml:space="preserve"> a previous typeface exploration that taught methods of material testing, textile reference, printmaking, and variable font thinking.</w:t>
      </w:r>
    </w:p>
    <w:p>
      <w:pPr>
        <w:pStyle w:val="ListBullet"/>
      </w:pPr>
      <w:r>
        <w:rPr>
          <w:b/>
        </w:rPr>
        <w:t>Thesis alphabet as situated outcome:</w:t>
      </w:r>
      <w:r>
        <w:t xml:space="preserve"> a new or expanded alphabet shaped by participants and corridor research.</w:t>
      </w:r>
    </w:p>
    <w:p>
      <w:pPr>
        <w:pStyle w:val="Heading2"/>
      </w:pPr>
      <w:r>
        <w:t>10.6 Exhibition diagram</w:t>
      </w:r>
    </w:p>
    <w:p>
      <w:pPr/>
      <w:r>
        <w:rPr>
          <w:rFonts w:ascii="Courier New" w:hAnsi="Courier New"/>
          <w:sz w:val="16"/>
        </w:rPr>
        <w:t>[Entrance]</w:t>
        <w:br/>
      </w:r>
      <w:r>
        <w:rPr>
          <w:rFonts w:ascii="Courier New" w:hAnsi="Courier New"/>
          <w:sz w:val="16"/>
        </w:rPr>
        <w:t xml:space="preserve">    |</w:t>
        <w:br/>
      </w:r>
      <w:r>
        <w:rPr>
          <w:rFonts w:ascii="Courier New" w:hAnsi="Courier New"/>
          <w:sz w:val="16"/>
        </w:rPr>
        <w:t xml:space="preserve">    v</w:t>
        <w:br/>
      </w:r>
      <w:r>
        <w:rPr>
          <w:rFonts w:ascii="Courier New" w:hAnsi="Courier New"/>
          <w:sz w:val="16"/>
        </w:rPr>
        <w:t>Project title + central question</w:t>
        <w:br/>
      </w:r>
      <w:r>
        <w:rPr>
          <w:rFonts w:ascii="Courier New" w:hAnsi="Courier New"/>
          <w:sz w:val="16"/>
        </w:rPr>
        <w:t xml:space="preserve">    |</w:t>
        <w:br/>
      </w:r>
      <w:r>
        <w:rPr>
          <w:rFonts w:ascii="Courier New" w:hAnsi="Courier New"/>
          <w:sz w:val="16"/>
        </w:rPr>
        <w:t xml:space="preserve">    v</w:t>
        <w:br/>
      </w:r>
      <w:r>
        <w:rPr>
          <w:rFonts w:ascii="Courier New" w:hAnsi="Courier New"/>
          <w:sz w:val="16"/>
        </w:rPr>
        <w:t>Visual ecology wall: maps, photos, routes, reference fragments</w:t>
        <w:br/>
      </w:r>
      <w:r>
        <w:rPr>
          <w:rFonts w:ascii="Courier New" w:hAnsi="Courier New"/>
          <w:sz w:val="16"/>
        </w:rPr>
        <w:t xml:space="preserve">    |</w:t>
        <w:br/>
      </w:r>
      <w:r>
        <w:rPr>
          <w:rFonts w:ascii="Courier New" w:hAnsi="Courier New"/>
          <w:sz w:val="16"/>
        </w:rPr>
        <w:t xml:space="preserve">    v</w:t>
        <w:br/>
      </w:r>
      <w:r>
        <w:rPr>
          <w:rFonts w:ascii="Courier New" w:hAnsi="Courier New"/>
          <w:sz w:val="16"/>
        </w:rPr>
        <w:t>Co-design process: interviews, participant maps, sketches, consent decisions</w:t>
        <w:br/>
      </w:r>
      <w:r>
        <w:rPr>
          <w:rFonts w:ascii="Courier New" w:hAnsi="Courier New"/>
          <w:sz w:val="16"/>
        </w:rPr>
        <w:t xml:space="preserve">    |</w:t>
        <w:br/>
      </w:r>
      <w:r>
        <w:rPr>
          <w:rFonts w:ascii="Courier New" w:hAnsi="Courier New"/>
          <w:sz w:val="16"/>
        </w:rPr>
        <w:t xml:space="preserve">    v</w:t>
        <w:br/>
      </w:r>
      <w:r>
        <w:rPr>
          <w:rFonts w:ascii="Courier New" w:hAnsi="Courier New"/>
          <w:sz w:val="16"/>
        </w:rPr>
        <w:t>Alphabet development: drawings, glyph proofs, spacing tests, accents</w:t>
        <w:br/>
      </w:r>
      <w:r>
        <w:rPr>
          <w:rFonts w:ascii="Courier New" w:hAnsi="Courier New"/>
          <w:sz w:val="16"/>
        </w:rPr>
        <w:t xml:space="preserve">    |</w:t>
        <w:br/>
      </w:r>
      <w:r>
        <w:rPr>
          <w:rFonts w:ascii="Courier New" w:hAnsi="Courier New"/>
          <w:sz w:val="16"/>
        </w:rPr>
        <w:t xml:space="preserve">    v</w:t>
        <w:br/>
      </w:r>
      <w:r>
        <w:rPr>
          <w:rFonts w:ascii="Courier New" w:hAnsi="Courier New"/>
          <w:sz w:val="16"/>
        </w:rPr>
        <w:t>Heidelberg Windmill poster series: plates, proofs, final edition, paper tests</w:t>
        <w:br/>
      </w:r>
      <w:r>
        <w:rPr>
          <w:rFonts w:ascii="Courier New" w:hAnsi="Courier New"/>
          <w:sz w:val="16"/>
        </w:rPr>
        <w:t xml:space="preserve">    |</w:t>
        <w:br/>
      </w:r>
      <w:r>
        <w:rPr>
          <w:rFonts w:ascii="Courier New" w:hAnsi="Courier New"/>
          <w:sz w:val="16"/>
        </w:rPr>
        <w:t xml:space="preserve">    v</w:t>
        <w:br/>
      </w:r>
      <w:r>
        <w:rPr>
          <w:rFonts w:ascii="Courier New" w:hAnsi="Courier New"/>
          <w:sz w:val="16"/>
        </w:rPr>
        <w:t>Digital specimen or motion test: variable type, screen, rhythm, multilingual text</w:t>
        <w:br/>
      </w:r>
      <w:r>
        <w:rPr>
          <w:rFonts w:ascii="Courier New" w:hAnsi="Courier New"/>
          <w:sz w:val="16"/>
        </w:rPr>
        <w:t xml:space="preserve">    |</w:t>
        <w:br/>
      </w:r>
      <w:r>
        <w:rPr>
          <w:rFonts w:ascii="Courier New" w:hAnsi="Courier New"/>
          <w:sz w:val="16"/>
        </w:rPr>
        <w:t xml:space="preserve">    v</w:t>
        <w:br/>
      </w:r>
      <w:r>
        <w:rPr>
          <w:rFonts w:ascii="Courier New" w:hAnsi="Courier New"/>
          <w:sz w:val="16"/>
        </w:rPr>
        <w:t>Reflection area: what typography can archive, what remains unresolved</w:t>
        <w:br/>
      </w:r>
    </w:p>
    <w:p>
      <w:pPr>
        <w:pStyle w:val="Heading2"/>
      </w:pPr>
      <w:r>
        <w:t>10.7 Evidence matrix</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top"/>
            <w:shd w:fill="EDEDED"/>
          </w:tcPr>
          <w:p>
            <w:r/>
            <w:r>
              <w:rPr>
                <w:b/>
                <w:sz w:val="18"/>
              </w:rPr>
              <w:t>Thesis claim</w:t>
            </w:r>
          </w:p>
        </w:tc>
        <w:tc>
          <w:tcPr>
            <w:tcW w:type="dxa" w:w="3264"/>
            <w:vAlign w:val="top"/>
            <w:shd w:fill="EDEDED"/>
          </w:tcPr>
          <w:p>
            <w:r/>
            <w:r>
              <w:rPr>
                <w:b/>
                <w:sz w:val="18"/>
              </w:rPr>
              <w:t>Evidence in exhibition</w:t>
            </w:r>
          </w:p>
        </w:tc>
        <w:tc>
          <w:tcPr>
            <w:tcW w:type="dxa" w:w="3264"/>
            <w:vAlign w:val="top"/>
            <w:shd w:fill="EDEDED"/>
          </w:tcPr>
          <w:p>
            <w:r/>
            <w:r>
              <w:rPr>
                <w:b/>
                <w:sz w:val="18"/>
              </w:rPr>
              <w:t>Evidence in paper</w:t>
            </w:r>
          </w:p>
        </w:tc>
      </w:tr>
      <w:tr>
        <w:tc>
          <w:tcPr>
            <w:tcW w:type="dxa" w:w="3264"/>
            <w:vAlign w:val="top"/>
          </w:tcPr>
          <w:p>
            <w:r/>
            <w:r>
              <w:rPr>
                <w:b w:val="0"/>
                <w:sz w:val="18"/>
              </w:rPr>
              <w:t>Typography can function as archive</w:t>
            </w:r>
          </w:p>
        </w:tc>
        <w:tc>
          <w:tcPr>
            <w:tcW w:type="dxa" w:w="3264"/>
            <w:vAlign w:val="top"/>
          </w:tcPr>
          <w:p>
            <w:r/>
            <w:r>
              <w:rPr>
                <w:b w:val="0"/>
                <w:sz w:val="18"/>
              </w:rPr>
              <w:t>Alphabet, maps, process archive, posters</w:t>
            </w:r>
          </w:p>
        </w:tc>
        <w:tc>
          <w:tcPr>
            <w:tcW w:type="dxa" w:w="3264"/>
            <w:vAlign w:val="top"/>
          </w:tcPr>
          <w:p>
            <w:r/>
            <w:r>
              <w:rPr>
                <w:b w:val="0"/>
                <w:sz w:val="18"/>
              </w:rPr>
              <w:t>Chapter on typography as testimony and record</w:t>
            </w:r>
          </w:p>
        </w:tc>
      </w:tr>
      <w:tr>
        <w:tc>
          <w:tcPr>
            <w:tcW w:type="dxa" w:w="3264"/>
            <w:vAlign w:val="top"/>
          </w:tcPr>
          <w:p>
            <w:r/>
            <w:r>
              <w:rPr>
                <w:b w:val="0"/>
                <w:sz w:val="18"/>
              </w:rPr>
              <w:t>Good typography is culturally situated</w:t>
            </w:r>
          </w:p>
        </w:tc>
        <w:tc>
          <w:tcPr>
            <w:tcW w:type="dxa" w:w="3264"/>
            <w:vAlign w:val="top"/>
          </w:tcPr>
          <w:p>
            <w:r/>
            <w:r>
              <w:rPr>
                <w:b w:val="0"/>
                <w:sz w:val="18"/>
              </w:rPr>
              <w:t>Participant feedback, annotated proofs</w:t>
            </w:r>
          </w:p>
        </w:tc>
        <w:tc>
          <w:tcPr>
            <w:tcW w:type="dxa" w:w="3264"/>
            <w:vAlign w:val="top"/>
          </w:tcPr>
          <w:p>
            <w:r/>
            <w:r>
              <w:rPr>
                <w:b w:val="0"/>
                <w:sz w:val="18"/>
              </w:rPr>
              <w:t>Chapter on power, standards, and typographic quality</w:t>
            </w:r>
          </w:p>
        </w:tc>
      </w:tr>
      <w:tr>
        <w:tc>
          <w:tcPr>
            <w:tcW w:type="dxa" w:w="3264"/>
            <w:vAlign w:val="top"/>
          </w:tcPr>
          <w:p>
            <w:r/>
            <w:r>
              <w:rPr>
                <w:b w:val="0"/>
                <w:sz w:val="18"/>
              </w:rPr>
              <w:t>Multilingual reading requires testing</w:t>
            </w:r>
          </w:p>
        </w:tc>
        <w:tc>
          <w:tcPr>
            <w:tcW w:type="dxa" w:w="3264"/>
            <w:vAlign w:val="top"/>
          </w:tcPr>
          <w:p>
            <w:r/>
            <w:r>
              <w:rPr>
                <w:b w:val="0"/>
                <w:sz w:val="18"/>
              </w:rPr>
              <w:t>Paragraph proofs, accent tests, bilingual posters</w:t>
            </w:r>
          </w:p>
        </w:tc>
        <w:tc>
          <w:tcPr>
            <w:tcW w:type="dxa" w:w="3264"/>
            <w:vAlign w:val="top"/>
          </w:tcPr>
          <w:p>
            <w:r/>
            <w:r>
              <w:rPr>
                <w:b w:val="0"/>
                <w:sz w:val="18"/>
              </w:rPr>
              <w:t>Chapter on mechanics, legibility, and multilingual conditions</w:t>
            </w:r>
          </w:p>
        </w:tc>
      </w:tr>
      <w:tr>
        <w:tc>
          <w:tcPr>
            <w:tcW w:type="dxa" w:w="3264"/>
            <w:vAlign w:val="top"/>
          </w:tcPr>
          <w:p>
            <w:r/>
            <w:r>
              <w:rPr>
                <w:b w:val="0"/>
                <w:sz w:val="18"/>
              </w:rPr>
              <w:t>Visibility requires ethics</w:t>
            </w:r>
          </w:p>
        </w:tc>
        <w:tc>
          <w:tcPr>
            <w:tcW w:type="dxa" w:w="3264"/>
            <w:vAlign w:val="top"/>
          </w:tcPr>
          <w:p>
            <w:r/>
            <w:r>
              <w:rPr>
                <w:b w:val="0"/>
                <w:sz w:val="18"/>
              </w:rPr>
              <w:t>Consent structure, anonymized references, review process</w:t>
            </w:r>
          </w:p>
        </w:tc>
        <w:tc>
          <w:tcPr>
            <w:tcW w:type="dxa" w:w="3264"/>
            <w:vAlign w:val="top"/>
          </w:tcPr>
          <w:p>
            <w:r/>
            <w:r>
              <w:rPr>
                <w:b w:val="0"/>
                <w:sz w:val="18"/>
              </w:rPr>
              <w:t>Chapter on ethical visibility and non-extraction</w:t>
            </w:r>
          </w:p>
        </w:tc>
      </w:tr>
      <w:tr>
        <w:tc>
          <w:tcPr>
            <w:tcW w:type="dxa" w:w="3264"/>
            <w:vAlign w:val="top"/>
          </w:tcPr>
          <w:p>
            <w:r/>
            <w:r>
              <w:rPr>
                <w:b w:val="0"/>
                <w:sz w:val="18"/>
              </w:rPr>
              <w:t>Place shapes typography</w:t>
            </w:r>
          </w:p>
        </w:tc>
        <w:tc>
          <w:tcPr>
            <w:tcW w:type="dxa" w:w="3264"/>
            <w:vAlign w:val="top"/>
          </w:tcPr>
          <w:p>
            <w:r/>
            <w:r>
              <w:rPr>
                <w:b w:val="0"/>
                <w:sz w:val="18"/>
              </w:rPr>
              <w:t>Visual ecology wall, route maps, corridor references</w:t>
            </w:r>
          </w:p>
        </w:tc>
        <w:tc>
          <w:tcPr>
            <w:tcW w:type="dxa" w:w="3264"/>
            <w:vAlign w:val="top"/>
          </w:tcPr>
          <w:p>
            <w:r/>
            <w:r>
              <w:rPr>
                <w:b w:val="0"/>
                <w:sz w:val="18"/>
              </w:rPr>
              <w:t>Chapter on London-Sarnia as lived geography</w:t>
            </w:r>
          </w:p>
        </w:tc>
      </w:tr>
      <w:tr>
        <w:tc>
          <w:tcPr>
            <w:tcW w:type="dxa" w:w="3264"/>
            <w:vAlign w:val="top"/>
          </w:tcPr>
          <w:p>
            <w:r/>
            <w:r>
              <w:rPr>
                <w:b w:val="0"/>
                <w:sz w:val="18"/>
              </w:rPr>
              <w:t>Material process changes meaning</w:t>
            </w:r>
          </w:p>
        </w:tc>
        <w:tc>
          <w:tcPr>
            <w:tcW w:type="dxa" w:w="3264"/>
            <w:vAlign w:val="top"/>
          </w:tcPr>
          <w:p>
            <w:r/>
            <w:r>
              <w:rPr>
                <w:b w:val="0"/>
                <w:sz w:val="18"/>
              </w:rPr>
              <w:t>Heidelberg posters, plates, proofs, ink and paper tests</w:t>
            </w:r>
          </w:p>
        </w:tc>
        <w:tc>
          <w:tcPr>
            <w:tcW w:type="dxa" w:w="3264"/>
            <w:vAlign w:val="top"/>
          </w:tcPr>
          <w:p>
            <w:r/>
            <w:r>
              <w:rPr>
                <w:b w:val="0"/>
                <w:sz w:val="18"/>
              </w:rPr>
              <w:t>Chapter on printmaking, materiality, and archive</w:t>
            </w:r>
          </w:p>
        </w:tc>
      </w:tr>
    </w:tbl>
    <w:p/>
    <w:p>
      <w:pPr>
        <w:pStyle w:val="Heading2"/>
      </w:pPr>
      <w:r>
        <w:t>10.8 Working timeline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top"/>
            <w:shd w:fill="EDEDED"/>
          </w:tcPr>
          <w:p>
            <w:r/>
            <w:r>
              <w:rPr>
                <w:b/>
                <w:sz w:val="18"/>
              </w:rPr>
              <w:t>Phase</w:t>
            </w:r>
          </w:p>
        </w:tc>
        <w:tc>
          <w:tcPr>
            <w:tcW w:type="dxa" w:w="3264"/>
            <w:vAlign w:val="top"/>
            <w:shd w:fill="EDEDED"/>
          </w:tcPr>
          <w:p>
            <w:r/>
            <w:r>
              <w:rPr>
                <w:b/>
                <w:sz w:val="18"/>
              </w:rPr>
              <w:t>Focus</w:t>
            </w:r>
          </w:p>
        </w:tc>
        <w:tc>
          <w:tcPr>
            <w:tcW w:type="dxa" w:w="3264"/>
            <w:vAlign w:val="top"/>
            <w:shd w:fill="EDEDED"/>
          </w:tcPr>
          <w:p>
            <w:r/>
            <w:r>
              <w:rPr>
                <w:b/>
                <w:sz w:val="18"/>
              </w:rPr>
              <w:t>Main outputs</w:t>
            </w:r>
          </w:p>
        </w:tc>
      </w:tr>
      <w:tr>
        <w:tc>
          <w:tcPr>
            <w:tcW w:type="dxa" w:w="3264"/>
            <w:vAlign w:val="top"/>
          </w:tcPr>
          <w:p>
            <w:r/>
            <w:r>
              <w:rPr>
                <w:b w:val="0"/>
                <w:sz w:val="18"/>
              </w:rPr>
              <w:t>Phase 1</w:t>
            </w:r>
          </w:p>
        </w:tc>
        <w:tc>
          <w:tcPr>
            <w:tcW w:type="dxa" w:w="3264"/>
            <w:vAlign w:val="top"/>
          </w:tcPr>
          <w:p>
            <w:r/>
            <w:r>
              <w:rPr>
                <w:b w:val="0"/>
                <w:sz w:val="18"/>
              </w:rPr>
              <w:t>Literature review and ethics planning</w:t>
            </w:r>
          </w:p>
        </w:tc>
        <w:tc>
          <w:tcPr>
            <w:tcW w:type="dxa" w:w="3264"/>
            <w:vAlign w:val="top"/>
          </w:tcPr>
          <w:p>
            <w:r/>
            <w:r>
              <w:rPr>
                <w:b w:val="0"/>
                <w:sz w:val="18"/>
              </w:rPr>
              <w:t>Refined research questions, consent structure, bibliography</w:t>
            </w:r>
          </w:p>
        </w:tc>
      </w:tr>
      <w:tr>
        <w:tc>
          <w:tcPr>
            <w:tcW w:type="dxa" w:w="3264"/>
            <w:vAlign w:val="top"/>
          </w:tcPr>
          <w:p>
            <w:r/>
            <w:r>
              <w:rPr>
                <w:b w:val="0"/>
                <w:sz w:val="18"/>
              </w:rPr>
              <w:t>Phase 2</w:t>
            </w:r>
          </w:p>
        </w:tc>
        <w:tc>
          <w:tcPr>
            <w:tcW w:type="dxa" w:w="3264"/>
            <w:vAlign w:val="top"/>
          </w:tcPr>
          <w:p>
            <w:r/>
            <w:r>
              <w:rPr>
                <w:b w:val="0"/>
                <w:sz w:val="18"/>
              </w:rPr>
              <w:t>Participant recruitment and interviews</w:t>
            </w:r>
          </w:p>
        </w:tc>
        <w:tc>
          <w:tcPr>
            <w:tcW w:type="dxa" w:w="3264"/>
            <w:vAlign w:val="top"/>
          </w:tcPr>
          <w:p>
            <w:r/>
            <w:r>
              <w:rPr>
                <w:b w:val="0"/>
                <w:sz w:val="18"/>
              </w:rPr>
              <w:t>Interview summaries, visual maps, reference archive</w:t>
            </w:r>
          </w:p>
        </w:tc>
      </w:tr>
      <w:tr>
        <w:tc>
          <w:tcPr>
            <w:tcW w:type="dxa" w:w="3264"/>
            <w:vAlign w:val="top"/>
          </w:tcPr>
          <w:p>
            <w:r/>
            <w:r>
              <w:rPr>
                <w:b w:val="0"/>
                <w:sz w:val="18"/>
              </w:rPr>
              <w:t>Phase 3</w:t>
            </w:r>
          </w:p>
        </w:tc>
        <w:tc>
          <w:tcPr>
            <w:tcW w:type="dxa" w:w="3264"/>
            <w:vAlign w:val="top"/>
          </w:tcPr>
          <w:p>
            <w:r/>
            <w:r>
              <w:rPr>
                <w:b w:val="0"/>
                <w:sz w:val="18"/>
              </w:rPr>
              <w:t>Alphabet development</w:t>
            </w:r>
          </w:p>
        </w:tc>
        <w:tc>
          <w:tcPr>
            <w:tcW w:type="dxa" w:w="3264"/>
            <w:vAlign w:val="top"/>
          </w:tcPr>
          <w:p>
            <w:r/>
            <w:r>
              <w:rPr>
                <w:b w:val="0"/>
                <w:sz w:val="18"/>
              </w:rPr>
              <w:t>Sketches, glyph set, spacing proofs, multilingual tests</w:t>
            </w:r>
          </w:p>
        </w:tc>
      </w:tr>
      <w:tr>
        <w:tc>
          <w:tcPr>
            <w:tcW w:type="dxa" w:w="3264"/>
            <w:vAlign w:val="top"/>
          </w:tcPr>
          <w:p>
            <w:r/>
            <w:r>
              <w:rPr>
                <w:b w:val="0"/>
                <w:sz w:val="18"/>
              </w:rPr>
              <w:t>Phase 4</w:t>
            </w:r>
          </w:p>
        </w:tc>
        <w:tc>
          <w:tcPr>
            <w:tcW w:type="dxa" w:w="3264"/>
            <w:vAlign w:val="top"/>
          </w:tcPr>
          <w:p>
            <w:r/>
            <w:r>
              <w:rPr>
                <w:b w:val="0"/>
                <w:sz w:val="18"/>
              </w:rPr>
              <w:t>Participant review and workshops</w:t>
            </w:r>
          </w:p>
        </w:tc>
        <w:tc>
          <w:tcPr>
            <w:tcW w:type="dxa" w:w="3264"/>
            <w:vAlign w:val="top"/>
          </w:tcPr>
          <w:p>
            <w:r/>
            <w:r>
              <w:rPr>
                <w:b w:val="0"/>
                <w:sz w:val="18"/>
              </w:rPr>
              <w:t>Annotated proofs, feedback, revisions</w:t>
            </w:r>
          </w:p>
        </w:tc>
      </w:tr>
      <w:tr>
        <w:tc>
          <w:tcPr>
            <w:tcW w:type="dxa" w:w="3264"/>
            <w:vAlign w:val="top"/>
          </w:tcPr>
          <w:p>
            <w:r/>
            <w:r>
              <w:rPr>
                <w:b w:val="0"/>
                <w:sz w:val="18"/>
              </w:rPr>
              <w:t>Phase 5</w:t>
            </w:r>
          </w:p>
        </w:tc>
        <w:tc>
          <w:tcPr>
            <w:tcW w:type="dxa" w:w="3264"/>
            <w:vAlign w:val="top"/>
          </w:tcPr>
          <w:p>
            <w:r/>
            <w:r>
              <w:rPr>
                <w:b w:val="0"/>
                <w:sz w:val="18"/>
              </w:rPr>
              <w:t>Heidelberg poster prepress</w:t>
            </w:r>
          </w:p>
        </w:tc>
        <w:tc>
          <w:tcPr>
            <w:tcW w:type="dxa" w:w="3264"/>
            <w:vAlign w:val="top"/>
          </w:tcPr>
          <w:p>
            <w:r/>
            <w:r>
              <w:rPr>
                <w:b w:val="0"/>
                <w:sz w:val="18"/>
              </w:rPr>
              <w:t>Poster designs, plate files, paper and ink plan</w:t>
            </w:r>
          </w:p>
        </w:tc>
      </w:tr>
      <w:tr>
        <w:tc>
          <w:tcPr>
            <w:tcW w:type="dxa" w:w="3264"/>
            <w:vAlign w:val="top"/>
          </w:tcPr>
          <w:p>
            <w:r/>
            <w:r>
              <w:rPr>
                <w:b w:val="0"/>
                <w:sz w:val="18"/>
              </w:rPr>
              <w:t>Phase 6</w:t>
            </w:r>
          </w:p>
        </w:tc>
        <w:tc>
          <w:tcPr>
            <w:tcW w:type="dxa" w:w="3264"/>
            <w:vAlign w:val="top"/>
          </w:tcPr>
          <w:p>
            <w:r/>
            <w:r>
              <w:rPr>
                <w:b w:val="0"/>
                <w:sz w:val="18"/>
              </w:rPr>
              <w:t>Supervised letterpress production</w:t>
            </w:r>
          </w:p>
        </w:tc>
        <w:tc>
          <w:tcPr>
            <w:tcW w:type="dxa" w:w="3264"/>
            <w:vAlign w:val="top"/>
          </w:tcPr>
          <w:p>
            <w:r/>
            <w:r>
              <w:rPr>
                <w:b w:val="0"/>
                <w:sz w:val="18"/>
              </w:rPr>
              <w:t>Proofs, editioned posters, process documentation</w:t>
            </w:r>
          </w:p>
        </w:tc>
      </w:tr>
      <w:tr>
        <w:tc>
          <w:tcPr>
            <w:tcW w:type="dxa" w:w="3264"/>
            <w:vAlign w:val="top"/>
          </w:tcPr>
          <w:p>
            <w:r/>
            <w:r>
              <w:rPr>
                <w:b w:val="0"/>
                <w:sz w:val="18"/>
              </w:rPr>
              <w:t>Phase 7</w:t>
            </w:r>
          </w:p>
        </w:tc>
        <w:tc>
          <w:tcPr>
            <w:tcW w:type="dxa" w:w="3264"/>
            <w:vAlign w:val="top"/>
          </w:tcPr>
          <w:p>
            <w:r/>
            <w:r>
              <w:rPr>
                <w:b w:val="0"/>
                <w:sz w:val="18"/>
              </w:rPr>
              <w:t>Exhibition design</w:t>
            </w:r>
          </w:p>
        </w:tc>
        <w:tc>
          <w:tcPr>
            <w:tcW w:type="dxa" w:w="3264"/>
            <w:vAlign w:val="top"/>
          </w:tcPr>
          <w:p>
            <w:r/>
            <w:r>
              <w:rPr>
                <w:b w:val="0"/>
                <w:sz w:val="18"/>
              </w:rPr>
              <w:t>Installation plan, labels, documentation, digital specimen</w:t>
            </w:r>
          </w:p>
        </w:tc>
      </w:tr>
      <w:tr>
        <w:tc>
          <w:tcPr>
            <w:tcW w:type="dxa" w:w="3264"/>
            <w:vAlign w:val="top"/>
          </w:tcPr>
          <w:p>
            <w:r/>
            <w:r>
              <w:rPr>
                <w:b w:val="0"/>
                <w:sz w:val="18"/>
              </w:rPr>
              <w:t>Phase 8</w:t>
            </w:r>
          </w:p>
        </w:tc>
        <w:tc>
          <w:tcPr>
            <w:tcW w:type="dxa" w:w="3264"/>
            <w:vAlign w:val="top"/>
          </w:tcPr>
          <w:p>
            <w:r/>
            <w:r>
              <w:rPr>
                <w:b w:val="0"/>
                <w:sz w:val="18"/>
              </w:rPr>
              <w:t>Thesis writing and analysis</w:t>
            </w:r>
          </w:p>
        </w:tc>
        <w:tc>
          <w:tcPr>
            <w:tcW w:type="dxa" w:w="3264"/>
            <w:vAlign w:val="top"/>
          </w:tcPr>
          <w:p>
            <w:r/>
            <w:r>
              <w:rPr>
                <w:b w:val="0"/>
                <w:sz w:val="18"/>
              </w:rPr>
              <w:t>Final paper, bibliography, appendices, reflection</w:t>
            </w:r>
          </w:p>
        </w:tc>
      </w:tr>
    </w:tbl>
    <w:p/>
    <w:p>
      <w:pPr>
        <w:pStyle w:val="Heading2"/>
      </w:pPr>
      <w:r>
        <w:t>10.9 Possible thesis chapter structure</w:t>
      </w:r>
    </w:p>
    <w:p>
      <w:r>
        <w:t xml:space="preserve">1. </w:t>
      </w:r>
      <w:r>
        <w:rPr>
          <w:b/>
        </w:rPr>
        <w:t>Introduction: New media alphabets and Latino life in Southwestern Ontario</w:t>
      </w:r>
    </w:p>
    <w:p>
      <w:r>
        <w:t>Introduce the project, central question, context, methodology, and outputs.</w:t>
      </w:r>
    </w:p>
    <w:p>
      <w:r>
        <w:t xml:space="preserve">2. </w:t>
      </w:r>
      <w:r>
        <w:rPr>
          <w:b/>
        </w:rPr>
        <w:t>Typography as archive</w:t>
      </w:r>
    </w:p>
    <w:p>
      <w:r>
        <w:t>Discuss type as evidence, testimony, memory, and reproducible cultural form.</w:t>
      </w:r>
    </w:p>
    <w:p>
      <w:r>
        <w:t xml:space="preserve">3. </w:t>
      </w:r>
      <w:r>
        <w:rPr>
          <w:b/>
        </w:rPr>
        <w:t>Against universal good typography</w:t>
      </w:r>
    </w:p>
    <w:p>
      <w:r>
        <w:t>Examine power, standards, legibility, professionalism, and participant-informed criteria.</w:t>
      </w:r>
    </w:p>
    <w:p>
      <w:r>
        <w:t xml:space="preserve">4. </w:t>
      </w:r>
      <w:r>
        <w:rPr>
          <w:b/>
        </w:rPr>
        <w:t>Reading across languages</w:t>
      </w:r>
    </w:p>
    <w:p>
      <w:r>
        <w:t>Analyze typographic mechanics, multilingual testing, accents, paragraph texture, and screen-print differences.</w:t>
      </w:r>
    </w:p>
    <w:p>
      <w:r>
        <w:t xml:space="preserve">5. </w:t>
      </w:r>
      <w:r>
        <w:rPr>
          <w:b/>
        </w:rPr>
        <w:t>Ethical visibility and co-authorship</w:t>
      </w:r>
    </w:p>
    <w:p>
      <w:r>
        <w:t>Address consent, representation, circulation, authorship, anonymity, and refusal.</w:t>
      </w:r>
    </w:p>
    <w:p>
      <w:r>
        <w:t xml:space="preserve">6. </w:t>
      </w:r>
      <w:r>
        <w:rPr>
          <w:b/>
        </w:rPr>
        <w:t>Corridor life as visual ecology</w:t>
      </w:r>
    </w:p>
    <w:p>
      <w:r>
        <w:t>Discuss the London-Sarnia corridor, movement, labour, signs, domestic spaces, and visual memory.</w:t>
      </w:r>
    </w:p>
    <w:p>
      <w:r>
        <w:t xml:space="preserve">7. </w:t>
      </w:r>
      <w:r>
        <w:rPr>
          <w:b/>
        </w:rPr>
        <w:t>Making the alphabet</w:t>
      </w:r>
    </w:p>
    <w:p>
      <w:r>
        <w:t>Explain type design process, specimens, variable font testing, and participant feedback.</w:t>
      </w:r>
    </w:p>
    <w:p>
      <w:r>
        <w:t xml:space="preserve">8. </w:t>
      </w:r>
      <w:r>
        <w:rPr>
          <w:b/>
        </w:rPr>
        <w:t>Printing the archive: Heidelberg Windmill posters</w:t>
      </w:r>
    </w:p>
    <w:p>
      <w:r>
        <w:t>Analyze the letterpress poster process, material translation, pressure, editioning, and exhibition.</w:t>
      </w:r>
    </w:p>
    <w:p>
      <w:r>
        <w:t xml:space="preserve">9. </w:t>
      </w:r>
      <w:r>
        <w:rPr>
          <w:b/>
        </w:rPr>
        <w:t>Conclusion</w:t>
      </w:r>
    </w:p>
    <w:p>
      <w:r>
        <w:t>Summarize contributions, limitations, and future possibilities.</w:t>
      </w:r>
    </w:p>
    <w:p/>
    <w:p>
      <w:pPr>
        <w:pStyle w:val="Heading1"/>
      </w:pPr>
      <w:r>
        <w:t>Section 11: Bibliography</w:t>
      </w:r>
    </w:p>
    <w:p>
      <w:r>
        <w:t>The following bibliography includes relevant non-pending sources from the current thesis research list and Assignment 6 materials. Some full publication details should be verified before final thesis submission.</w:t>
      </w:r>
    </w:p>
    <w:p>
      <w:pPr>
        <w:pStyle w:val="Heading2"/>
      </w:pPr>
      <w:r>
        <w:t>11.1 Typography, type design, legibility, and mechanics</w:t>
      </w:r>
    </w:p>
    <w:p>
      <w:r>
        <w:t xml:space="preserve">Ambrose, G., Harris, P., &amp; Theodosiou, S. (2020). </w:t>
      </w:r>
      <w:r>
        <w:rPr>
          <w:i/>
        </w:rPr>
        <w:t>The fundamentals of typography</w:t>
      </w:r>
      <w:r>
        <w:t xml:space="preserve"> (3rd ed.). Bloomsbury Visual Arts.</w:t>
      </w:r>
    </w:p>
    <w:p>
      <w:r>
        <w:t xml:space="preserve">Beier, S. (2009). </w:t>
      </w:r>
      <w:r>
        <w:rPr>
          <w:i/>
        </w:rPr>
        <w:t>Typeface legibility: Towards defining familiarity</w:t>
      </w:r>
      <w:r>
        <w:t xml:space="preserve"> [PhD thesis, Royal College of Art].</w:t>
      </w:r>
    </w:p>
    <w:p>
      <w:r>
        <w:t xml:space="preserve">Beier, S. (2016). Letterform research: An academic orphan. </w:t>
      </w:r>
      <w:r>
        <w:rPr>
          <w:i/>
        </w:rPr>
        <w:t>Visible Language, 50</w:t>
      </w:r>
      <w:r>
        <w:t>(2), 64-79.</w:t>
      </w:r>
    </w:p>
    <w:p>
      <w:r>
        <w:t xml:space="preserve">Highsmith, C. (2012). </w:t>
      </w:r>
      <w:r>
        <w:rPr>
          <w:i/>
        </w:rPr>
        <w:t>Inside paragraphs: Typographic fundamentals</w:t>
      </w:r>
      <w:r>
        <w:t>. Font Bureau.</w:t>
      </w:r>
    </w:p>
    <w:p>
      <w:r>
        <w:t xml:space="preserve">Hochuli, J. (2015). </w:t>
      </w:r>
      <w:r>
        <w:rPr>
          <w:i/>
        </w:rPr>
        <w:t>Detail in typography: Letters, letterspacing, words, wordspacing, lines, linespacing, columns</w:t>
      </w:r>
      <w:r>
        <w:t>. Editions B42.</w:t>
      </w:r>
    </w:p>
    <w:p>
      <w:r>
        <w:t xml:space="preserve">Lund, O. (1999). </w:t>
      </w:r>
      <w:r>
        <w:rPr>
          <w:i/>
        </w:rPr>
        <w:t>Knowledge construction in typography: The case of legibility research and the legibility of sans serif typefaces</w:t>
      </w:r>
      <w:r>
        <w:t xml:space="preserve"> [PhD thesis]. University of Reading.</w:t>
      </w:r>
    </w:p>
    <w:p>
      <w:r>
        <w:t xml:space="preserve">Macdonald-Ross, M., &amp; Waller, R. (1975). Criticism, alternatives and tests: A conceptual framework for improving typography. </w:t>
      </w:r>
      <w:r>
        <w:rPr>
          <w:i/>
        </w:rPr>
        <w:t>Programmed Learning and Educational Technology, 12</w:t>
      </w:r>
      <w:r>
        <w:t>(2), 75-83.</w:t>
      </w:r>
    </w:p>
    <w:p>
      <w:r>
        <w:t xml:space="preserve">Noordzij, G. (2005). </w:t>
      </w:r>
      <w:r>
        <w:rPr>
          <w:i/>
        </w:rPr>
        <w:t>The stroke: Theory of writing</w:t>
      </w:r>
      <w:r>
        <w:t>. Hyphen Press.</w:t>
      </w:r>
    </w:p>
    <w:p>
      <w:r>
        <w:t xml:space="preserve">Spencer, H. (1969). </w:t>
      </w:r>
      <w:r>
        <w:rPr>
          <w:i/>
        </w:rPr>
        <w:t>Pioneers of modern typography</w:t>
      </w:r>
      <w:r>
        <w:t>. Lund Humphries.</w:t>
      </w:r>
    </w:p>
    <w:p>
      <w:r>
        <w:t xml:space="preserve">Waller, R. (1991). Typography and discourse. In </w:t>
      </w:r>
      <w:r>
        <w:rPr>
          <w:i/>
        </w:rPr>
        <w:t>Handbook of reading research: Volume II</w:t>
      </w:r>
      <w:r>
        <w:t xml:space="preserve"> (pp. 341-380). Longman.</w:t>
      </w:r>
    </w:p>
    <w:p>
      <w:pPr>
        <w:pStyle w:val="Heading2"/>
      </w:pPr>
      <w:r>
        <w:t>11.2 Printmaking, letterpress, specimens, and material process</w:t>
      </w:r>
    </w:p>
    <w:p>
      <w:r>
        <w:t xml:space="preserve">Drucker, J. (1995). </w:t>
      </w:r>
      <w:r>
        <w:rPr>
          <w:i/>
        </w:rPr>
        <w:t>The century of artists’ books</w:t>
      </w:r>
      <w:r>
        <w:t>. Granary Books.</w:t>
      </w:r>
    </w:p>
    <w:p>
      <w:r>
        <w:t xml:space="preserve">Griffin, D. (2022). </w:t>
      </w:r>
      <w:r>
        <w:rPr>
          <w:i/>
        </w:rPr>
        <w:t>Type specimens: A visual history of typesetting and printing</w:t>
      </w:r>
      <w:r>
        <w:t>. Bloomsbury Visual Arts.</w:t>
      </w:r>
    </w:p>
    <w:p>
      <w:r>
        <w:t xml:space="preserve">Heidelberg. (n.d.). </w:t>
      </w:r>
      <w:r>
        <w:rPr>
          <w:i/>
        </w:rPr>
        <w:t>Original Heidelberg platen press operation manual</w:t>
      </w:r>
      <w:r>
        <w:t>. Retrieved from Letterpress Commons manual archive.</w:t>
      </w:r>
    </w:p>
    <w:p>
      <w:r>
        <w:t xml:space="preserve">Letterpress Commons. (n.d.). </w:t>
      </w:r>
      <w:r>
        <w:rPr>
          <w:i/>
        </w:rPr>
        <w:t>Heidelberg Tiegel (Platen) aka Windmill</w:t>
      </w:r>
      <w:r>
        <w:t>. Letterpress Commons.</w:t>
      </w:r>
    </w:p>
    <w:p>
      <w:r>
        <w:t xml:space="preserve">Print Club London. (2017). </w:t>
      </w:r>
      <w:r>
        <w:rPr>
          <w:i/>
        </w:rPr>
        <w:t>Screenprinting: The ultimate studio guide from sketchbook to squeegee</w:t>
      </w:r>
      <w:r>
        <w:t>. Thames &amp; Hudson.</w:t>
      </w:r>
    </w:p>
    <w:p>
      <w:r>
        <w:rPr>
          <w:i/>
        </w:rPr>
        <w:t>Strikethrough: Typographic messages of protest</w:t>
      </w:r>
      <w:r>
        <w:t>. (n.d.). Letterform Archive.</w:t>
      </w:r>
    </w:p>
    <w:p>
      <w:pPr>
        <w:pStyle w:val="Heading2"/>
      </w:pPr>
      <w:r>
        <w:t>11.3 Research-creation, methods, interviews, and mapping</w:t>
      </w:r>
    </w:p>
    <w:p>
      <w:r>
        <w:t>Beck, E. (n.d.). “Doing it” in the kitchen: Rhetorical field methods, arts/practice-based research, and queer archives.</w:t>
      </w:r>
    </w:p>
    <w:p>
      <w:r>
        <w:t>Camargo-Borges, C. (n.d.). Creativity and worldmaking: Research as worldmaking.</w:t>
      </w:r>
    </w:p>
    <w:p>
      <w:r>
        <w:t xml:space="preserve">Collins, H., &amp; Collins, H. J. (2019). </w:t>
      </w:r>
      <w:r>
        <w:rPr>
          <w:i/>
        </w:rPr>
        <w:t>Creative research: The theory and practice of research for the creative industries</w:t>
      </w:r>
      <w:r>
        <w:t xml:space="preserve"> (2nd ed.). Bloomsbury Visual Arts.</w:t>
      </w:r>
    </w:p>
    <w:p>
      <w:r>
        <w:t>Fiordelmondo, et al. (n.d.). A multilevel dynamic model for documenting, reactivating and preserving interactive multimedia art.</w:t>
      </w:r>
    </w:p>
    <w:p>
      <w:r>
        <w:t>Jones, T. (n.d.). Let’s get physical: Supporting arts-based research through haptic learning.</w:t>
      </w:r>
    </w:p>
    <w:p>
      <w:r>
        <w:t xml:space="preserve">Kvale, S. (2004). </w:t>
      </w:r>
      <w:r>
        <w:rPr>
          <w:i/>
        </w:rPr>
        <w:t>InterViews: An introduction to qualitative research interviewing</w:t>
      </w:r>
      <w:r>
        <w:t>. Sage.</w:t>
      </w:r>
    </w:p>
    <w:p>
      <w:r>
        <w:t xml:space="preserve">Tashakkori, A., &amp; Teddlie, C. (2010). </w:t>
      </w:r>
      <w:r>
        <w:rPr>
          <w:i/>
        </w:rPr>
        <w:t>Sage handbook of mixed methods in social and behavioral research</w:t>
      </w:r>
      <w:r>
        <w:t>. Sage.</w:t>
      </w:r>
    </w:p>
    <w:p>
      <w:r>
        <w:t xml:space="preserve">Tierney, W. G., &amp; Clemens, R. F. (2011). Qualitative research and public policy: The challenges of relevance and trustworthiness. In J. C. Smart &amp; M. B. Paulsen (Eds.), </w:t>
      </w:r>
      <w:r>
        <w:rPr>
          <w:i/>
        </w:rPr>
        <w:t>Higher education: Handbook of theory and research</w:t>
      </w:r>
      <w:r>
        <w:t xml:space="preserve"> (Vol. 26, pp. 57-83). Springer.</w:t>
      </w:r>
    </w:p>
    <w:p>
      <w:r>
        <w:t xml:space="preserve">Walford, G. (2007). Classification and framing of interviews in ethnographic interviewing. </w:t>
      </w:r>
      <w:r>
        <w:rPr>
          <w:i/>
        </w:rPr>
        <w:t>Ethnography and Education, 2</w:t>
      </w:r>
      <w:r>
        <w:t>(2), 145-157.</w:t>
      </w:r>
    </w:p>
    <w:p>
      <w:r>
        <w:t xml:space="preserve">Wheeldon, J., &amp; Ahlberg, M. (2019). Mind maps in qualitative research. In P. Liamputtong (Ed.), </w:t>
      </w:r>
      <w:r>
        <w:rPr>
          <w:i/>
        </w:rPr>
        <w:t>Handbook of research methods in health social sciences</w:t>
      </w:r>
      <w:r>
        <w:t xml:space="preserve"> (pp. 1113-1129). Springer.</w:t>
      </w:r>
    </w:p>
    <w:p>
      <w:pPr>
        <w:pStyle w:val="Heading2"/>
      </w:pPr>
      <w:r>
        <w:t>11.4 Decolonial design, ethics, representation, and power</w:t>
      </w:r>
    </w:p>
    <w:p>
      <w:r>
        <w:t>Barad, K. (n.d.). Transmaterialities: Trans/matter/realities and queer political imaginings.</w:t>
      </w:r>
    </w:p>
    <w:p>
      <w:r>
        <w:t xml:space="preserve">Bhabha, H. K. (1994). </w:t>
      </w:r>
      <w:r>
        <w:rPr>
          <w:i/>
        </w:rPr>
        <w:t>The location of culture</w:t>
      </w:r>
      <w:r>
        <w:t>. Routledge.</w:t>
      </w:r>
    </w:p>
    <w:p>
      <w:r>
        <w:t>Bhambra, G. K. (n.d.). Decolonizing critical theory?</w:t>
      </w:r>
    </w:p>
    <w:p>
      <w:r>
        <w:t xml:space="preserve">Derrida, J. (2000). Hostipitality. </w:t>
      </w:r>
      <w:r>
        <w:rPr>
          <w:i/>
        </w:rPr>
        <w:t>Angelaki, 5</w:t>
      </w:r>
      <w:r>
        <w:t>(3), 3-18.</w:t>
      </w:r>
    </w:p>
    <w:p>
      <w:r>
        <w:t xml:space="preserve">Escobar, A. (2018). </w:t>
      </w:r>
      <w:r>
        <w:rPr>
          <w:i/>
        </w:rPr>
        <w:t>Designs for the pluriverse: Radical interdependence, autonomy, and the making of worlds</w:t>
      </w:r>
      <w:r>
        <w:t>. Duke University Press.</w:t>
      </w:r>
    </w:p>
    <w:p>
      <w:r>
        <w:t>Fritschy, T. (n.d.). Queer indiscipline, decolonial revolt: The production of undisciplined knowledges in the neoliberal age.</w:t>
      </w:r>
    </w:p>
    <w:p>
      <w:r>
        <w:t xml:space="preserve">Haraway, D. J. (2016). </w:t>
      </w:r>
      <w:r>
        <w:rPr>
          <w:i/>
        </w:rPr>
        <w:t>Staying with the trouble: Making kin in the Chthulucene</w:t>
      </w:r>
      <w:r>
        <w:t>. Duke University Press.</w:t>
      </w:r>
    </w:p>
    <w:p>
      <w:r>
        <w:t>Luccioni, A. (n.d.). AI is dangerous, but not for the reasons you think.</w:t>
      </w:r>
    </w:p>
    <w:p>
      <w:r>
        <w:t>Lynch, R. A. (n.d.). Foucault’s theory of power.</w:t>
      </w:r>
    </w:p>
    <w:p>
      <w:r>
        <w:t>Medak-Saltzman, D. (n.d.). Empire’s haunted logics: Comparative colonialisms and the challenges of incorporating indigeneity.</w:t>
      </w:r>
    </w:p>
    <w:p>
      <w:r>
        <w:t>Rose-Redwood, R., et al. (n.d.). Decolonizing the map: Recentering Indigenous mappings.</w:t>
      </w:r>
    </w:p>
    <w:p>
      <w:r>
        <w:t xml:space="preserve">Schultz, T., Abdulla, D., Ansari, A., Canli, E., Keshavarz, M., Kiem, M., Martins, L. P. D. O., &amp; J. S. Vieira de Oliveira, P. (2018). What is at stake with decolonizing design? A roundtable. </w:t>
      </w:r>
      <w:r>
        <w:rPr>
          <w:i/>
        </w:rPr>
        <w:t>Design and Culture, 10</w:t>
      </w:r>
      <w:r>
        <w:t>(1), 81-101.</w:t>
      </w:r>
    </w:p>
    <w:p>
      <w:r>
        <w:t>Vaage, N. S. (n.d.). What ethics for bioart?</w:t>
      </w:r>
    </w:p>
    <w:p>
      <w:r>
        <w:t>Vranou, S. (n.d.). Performing the subcultural freak: Leigh Bowery’s peculiar narcissism and the disruption of normativity.</w:t>
      </w:r>
    </w:p>
    <w:p>
      <w:pPr>
        <w:pStyle w:val="Heading2"/>
      </w:pPr>
      <w:r>
        <w:t>11.5 Multilingual reading, perception, body, and new media</w:t>
      </w:r>
    </w:p>
    <w:p>
      <w:r>
        <w:t xml:space="preserve">Ahmed, S. (2006). </w:t>
      </w:r>
      <w:r>
        <w:rPr>
          <w:i/>
        </w:rPr>
        <w:t>Queer phenomenology: Orientations, objects, others</w:t>
      </w:r>
      <w:r>
        <w:t>. Duke University Press.</w:t>
      </w:r>
    </w:p>
    <w:p>
      <w:r>
        <w:t xml:space="preserve">Anzaldúa, G. (2009). </w:t>
      </w:r>
      <w:r>
        <w:rPr>
          <w:i/>
        </w:rPr>
        <w:t>The Gloria Anzaldúa reader</w:t>
      </w:r>
      <w:r>
        <w:t>. Duke University Press.</w:t>
      </w:r>
    </w:p>
    <w:p>
      <w:r>
        <w:t>Anzures, E., &amp; Marques, D. (n.d.). The LED lamp metaphor: Knowledge and the creative process in new media art.</w:t>
      </w:r>
    </w:p>
    <w:p>
      <w:r>
        <w:t>Barker, T. (n.d.). Experiments with time: The technical image in video art, new media and the digital humanities.</w:t>
      </w:r>
    </w:p>
    <w:p>
      <w:r>
        <w:t xml:space="preserve">Bell, D. (2007). </w:t>
      </w:r>
      <w:r>
        <w:rPr>
          <w:i/>
        </w:rPr>
        <w:t>Cyberculture theorists: Manuel Castells and Donna Haraway</w:t>
      </w:r>
      <w:r>
        <w:t>. Routledge.</w:t>
      </w:r>
    </w:p>
    <w:p>
      <w:r>
        <w:t xml:space="preserve">Brownie, B. (2020). </w:t>
      </w:r>
      <w:r>
        <w:rPr>
          <w:i/>
        </w:rPr>
        <w:t>Transforming type: New directions in kinetic typography</w:t>
      </w:r>
      <w:r>
        <w:t>. Bloomsbury.</w:t>
      </w:r>
    </w:p>
    <w:p>
      <w:r>
        <w:t>Eisenberg-Guyot, N., &amp; Rotolo, K. (n.d.). A trans way of seeing.</w:t>
      </w:r>
    </w:p>
    <w:p>
      <w:r>
        <w:t xml:space="preserve">Gibson, J. J. (1979). </w:t>
      </w:r>
      <w:r>
        <w:rPr>
          <w:i/>
        </w:rPr>
        <w:t>The ecological approach to visual perception</w:t>
      </w:r>
      <w:r>
        <w:t>. Houghton Mifflin.</w:t>
      </w:r>
    </w:p>
    <w:p>
      <w:r>
        <w:t xml:space="preserve">Merleau-Ponty, M. (2013). </w:t>
      </w:r>
      <w:r>
        <w:rPr>
          <w:i/>
        </w:rPr>
        <w:t>Phenomenology of perception</w:t>
      </w:r>
      <w:r>
        <w:t>. Routledge.</w:t>
      </w:r>
    </w:p>
    <w:p>
      <w:r>
        <w:t>Sirgado de Sousa, M. (n.d.). Visions of sound and colour: Generating visuals and sound from a source photographic image.</w:t>
      </w:r>
    </w:p>
    <w:p>
      <w:r>
        <w:t xml:space="preserve">Wang, S. (Ed.). (2019). </w:t>
      </w:r>
      <w:r>
        <w:rPr>
          <w:i/>
        </w:rPr>
        <w:t>Typography for screen: Type in motion</w:t>
      </w:r>
      <w:r>
        <w:t>. Hoaki Books.</w:t>
      </w:r>
    </w:p>
    <w:p>
      <w:pPr>
        <w:pStyle w:val="Heading2"/>
      </w:pPr>
      <w:r>
        <w:t>11.6 Place, diaspora, hybridity, visual ecology, and public culture</w:t>
      </w:r>
    </w:p>
    <w:p>
      <w:r>
        <w:t>Bruno, G. (n.d.). Projections: The architectural imaginary in art.</w:t>
      </w:r>
    </w:p>
    <w:p>
      <w:r>
        <w:t>Diaspora &amp; hybridity. (n.d.).</w:t>
      </w:r>
    </w:p>
    <w:p>
      <w:r>
        <w:t>Kalra, V., Hutnyk, J., &amp; Kaur, R. (n.d.). Hybridity and openness, or, whose side are you on?</w:t>
      </w:r>
    </w:p>
    <w:p>
      <w:r>
        <w:t>Luna, Z. (n.d.). Location matters: The 2017 Women’s Marches as intersectional imaginary.</w:t>
      </w:r>
    </w:p>
    <w:p>
      <w:r>
        <w:t>Ouellet, R. (n.d.). From forms to form: Contemporary art and the practice of bureaucratic everyday life.</w:t>
      </w:r>
    </w:p>
    <w:p>
      <w:r>
        <w:rPr>
          <w:i/>
        </w:rPr>
        <w:t>Protest cultures: A companion</w:t>
      </w:r>
      <w:r>
        <w:t>. (n.d.).</w:t>
      </w:r>
    </w:p>
    <w:p>
      <w:r>
        <w:t xml:space="preserve">Robertson, L. (n.d.). </w:t>
      </w:r>
      <w:r>
        <w:rPr>
          <w:i/>
        </w:rPr>
        <w:t>Making memories: Alanis Obomsawin</w:t>
      </w:r>
      <w:r>
        <w:t>.</w:t>
      </w:r>
    </w:p>
    <w:p>
      <w:r>
        <w:rPr>
          <w:i/>
        </w:rPr>
        <w:t>Safari tipografico: La tipografia como recurso didactico para la comunicacion en la docencia online y aprendizaje del Diseno</w:t>
      </w:r>
      <w:r>
        <w:t>. (n.d.).</w:t>
      </w:r>
    </w:p>
    <w:p>
      <w:r>
        <w:t>Watfern, C., et al. (n.d.). A sad tree: Visualising ecological emotions through bodies in place.</w:t>
      </w:r>
    </w:p>
    <w:p>
      <w:pPr>
        <w:pStyle w:val="Heading2"/>
      </w:pPr>
      <w:r>
        <w:t>11.7 Digital type technology and tools</w:t>
      </w:r>
    </w:p>
    <w:p>
      <w:r>
        <w:t xml:space="preserve">Fontra. (2026). </w:t>
      </w:r>
      <w:r>
        <w:rPr>
          <w:i/>
        </w:rPr>
        <w:t>Opening a UFO or Designspace File in Fontra</w:t>
      </w:r>
      <w:r>
        <w:t>. Fontra Docs.</w:t>
      </w:r>
    </w:p>
    <w:p>
      <w:r>
        <w:t xml:space="preserve">Glyphs. (2026). </w:t>
      </w:r>
      <w:r>
        <w:rPr>
          <w:i/>
        </w:rPr>
        <w:t>Exporting font files</w:t>
      </w:r>
      <w:r>
        <w:t>. Glyphs Handbook.</w:t>
      </w:r>
    </w:p>
    <w:p>
      <w:r>
        <w:t xml:space="preserve">Google Fonts. (n.d.). </w:t>
      </w:r>
      <w:r>
        <w:rPr>
          <w:i/>
        </w:rPr>
        <w:t>Introducing variable fonts</w:t>
      </w:r>
      <w:r>
        <w:t>. Google Fonts Knowledge.</w:t>
      </w:r>
    </w:p>
    <w:p>
      <w:r>
        <w:t xml:space="preserve">Microsoft. (2024). </w:t>
      </w:r>
      <w:r>
        <w:rPr>
          <w:i/>
        </w:rPr>
        <w:t>OpenType font variations overview</w:t>
      </w:r>
      <w:r>
        <w:t>. Microsoft Typography.</w:t>
      </w:r>
    </w:p>
    <w:p>
      <w:r>
        <w:t xml:space="preserve">TypeCooker. (2026). </w:t>
      </w:r>
      <w:r>
        <w:rPr>
          <w:i/>
        </w:rPr>
        <w:t>TypeCooker</w:t>
      </w:r>
      <w:r>
        <w:t>.</w:t>
      </w:r>
    </w:p>
    <w:p/>
    <w:p>
      <w:pPr>
        <w:pStyle w:val="Heading1"/>
      </w:pPr>
      <w:r>
        <w:t>Appendix A: Heidelberg Windmill poster process as research evidence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top"/>
            <w:shd w:fill="EDEDED"/>
          </w:tcPr>
          <w:p>
            <w:r/>
            <w:r>
              <w:rPr>
                <w:b/>
                <w:sz w:val="18"/>
              </w:rPr>
              <w:t>Process material</w:t>
            </w:r>
          </w:p>
        </w:tc>
        <w:tc>
          <w:tcPr>
            <w:tcW w:type="dxa" w:w="3264"/>
            <w:vAlign w:val="top"/>
            <w:shd w:fill="EDEDED"/>
          </w:tcPr>
          <w:p>
            <w:r/>
            <w:r>
              <w:rPr>
                <w:b/>
                <w:sz w:val="18"/>
              </w:rPr>
              <w:t>Research value</w:t>
            </w:r>
          </w:p>
        </w:tc>
        <w:tc>
          <w:tcPr>
            <w:tcW w:type="dxa" w:w="3264"/>
            <w:vAlign w:val="top"/>
            <w:shd w:fill="EDEDED"/>
          </w:tcPr>
          <w:p>
            <w:r/>
            <w:r>
              <w:rPr>
                <w:b/>
                <w:sz w:val="18"/>
              </w:rPr>
              <w:t>Possible exhibition use</w:t>
            </w:r>
          </w:p>
        </w:tc>
      </w:tr>
      <w:tr>
        <w:tc>
          <w:tcPr>
            <w:tcW w:type="dxa" w:w="3264"/>
            <w:vAlign w:val="top"/>
          </w:tcPr>
          <w:p>
            <w:r/>
            <w:r>
              <w:rPr>
                <w:b w:val="0"/>
                <w:sz w:val="18"/>
              </w:rPr>
              <w:t>Digital poster file</w:t>
            </w:r>
          </w:p>
        </w:tc>
        <w:tc>
          <w:tcPr>
            <w:tcW w:type="dxa" w:w="3264"/>
            <w:vAlign w:val="top"/>
          </w:tcPr>
          <w:p>
            <w:r/>
            <w:r>
              <w:rPr>
                <w:b w:val="0"/>
                <w:sz w:val="18"/>
              </w:rPr>
              <w:t>Shows composition, hierarchy, and prepress translation</w:t>
            </w:r>
          </w:p>
        </w:tc>
        <w:tc>
          <w:tcPr>
            <w:tcW w:type="dxa" w:w="3264"/>
            <w:vAlign w:val="top"/>
          </w:tcPr>
          <w:p>
            <w:r/>
            <w:r>
              <w:rPr>
                <w:b w:val="0"/>
                <w:sz w:val="18"/>
              </w:rPr>
              <w:t>Display as small process print or screen view</w:t>
            </w:r>
          </w:p>
        </w:tc>
      </w:tr>
      <w:tr>
        <w:tc>
          <w:tcPr>
            <w:tcW w:type="dxa" w:w="3264"/>
            <w:vAlign w:val="top"/>
          </w:tcPr>
          <w:p>
            <w:r/>
            <w:r>
              <w:rPr>
                <w:b w:val="0"/>
                <w:sz w:val="18"/>
              </w:rPr>
              <w:t>Plate or plate proof</w:t>
            </w:r>
          </w:p>
        </w:tc>
        <w:tc>
          <w:tcPr>
            <w:tcW w:type="dxa" w:w="3264"/>
            <w:vAlign w:val="top"/>
          </w:tcPr>
          <w:p>
            <w:r/>
            <w:r>
              <w:rPr>
                <w:b w:val="0"/>
                <w:sz w:val="18"/>
              </w:rPr>
              <w:t>Shows conversion from font to relief printing surface</w:t>
            </w:r>
          </w:p>
        </w:tc>
        <w:tc>
          <w:tcPr>
            <w:tcW w:type="dxa" w:w="3264"/>
            <w:vAlign w:val="top"/>
          </w:tcPr>
          <w:p>
            <w:r/>
            <w:r>
              <w:rPr>
                <w:b w:val="0"/>
                <w:sz w:val="18"/>
              </w:rPr>
              <w:t>Display as object or photograph</w:t>
            </w:r>
          </w:p>
        </w:tc>
      </w:tr>
      <w:tr>
        <w:tc>
          <w:tcPr>
            <w:tcW w:type="dxa" w:w="3264"/>
            <w:vAlign w:val="top"/>
          </w:tcPr>
          <w:p>
            <w:r/>
            <w:r>
              <w:rPr>
                <w:b w:val="0"/>
                <w:sz w:val="18"/>
              </w:rPr>
              <w:t>Paper tests</w:t>
            </w:r>
          </w:p>
        </w:tc>
        <w:tc>
          <w:tcPr>
            <w:tcW w:type="dxa" w:w="3264"/>
            <w:vAlign w:val="top"/>
          </w:tcPr>
          <w:p>
            <w:r/>
            <w:r>
              <w:rPr>
                <w:b w:val="0"/>
                <w:sz w:val="18"/>
              </w:rPr>
              <w:t>Shows how material changes ink, edge, and impression</w:t>
            </w:r>
          </w:p>
        </w:tc>
        <w:tc>
          <w:tcPr>
            <w:tcW w:type="dxa" w:w="3264"/>
            <w:vAlign w:val="top"/>
          </w:tcPr>
          <w:p>
            <w:r/>
            <w:r>
              <w:rPr>
                <w:b w:val="0"/>
                <w:sz w:val="18"/>
              </w:rPr>
              <w:t>Wall grid of test samples</w:t>
            </w:r>
          </w:p>
        </w:tc>
      </w:tr>
      <w:tr>
        <w:tc>
          <w:tcPr>
            <w:tcW w:type="dxa" w:w="3264"/>
            <w:vAlign w:val="top"/>
          </w:tcPr>
          <w:p>
            <w:r/>
            <w:r>
              <w:rPr>
                <w:b w:val="0"/>
                <w:sz w:val="18"/>
              </w:rPr>
              <w:t>Ink tests</w:t>
            </w:r>
          </w:p>
        </w:tc>
        <w:tc>
          <w:tcPr>
            <w:tcW w:type="dxa" w:w="3264"/>
            <w:vAlign w:val="top"/>
          </w:tcPr>
          <w:p>
            <w:r/>
            <w:r>
              <w:rPr>
                <w:b w:val="0"/>
                <w:sz w:val="18"/>
              </w:rPr>
              <w:t>Shows colour, density, mood, and legibility</w:t>
            </w:r>
          </w:p>
        </w:tc>
        <w:tc>
          <w:tcPr>
            <w:tcW w:type="dxa" w:w="3264"/>
            <w:vAlign w:val="top"/>
          </w:tcPr>
          <w:p>
            <w:r/>
            <w:r>
              <w:rPr>
                <w:b w:val="0"/>
                <w:sz w:val="18"/>
              </w:rPr>
              <w:t>Annotated proof sheet</w:t>
            </w:r>
          </w:p>
        </w:tc>
      </w:tr>
      <w:tr>
        <w:tc>
          <w:tcPr>
            <w:tcW w:type="dxa" w:w="3264"/>
            <w:vAlign w:val="top"/>
          </w:tcPr>
          <w:p>
            <w:r/>
            <w:r>
              <w:rPr>
                <w:b w:val="0"/>
                <w:sz w:val="18"/>
              </w:rPr>
              <w:t>Registration proofs</w:t>
            </w:r>
          </w:p>
        </w:tc>
        <w:tc>
          <w:tcPr>
            <w:tcW w:type="dxa" w:w="3264"/>
            <w:vAlign w:val="top"/>
          </w:tcPr>
          <w:p>
            <w:r/>
            <w:r>
              <w:rPr>
                <w:b w:val="0"/>
                <w:sz w:val="18"/>
              </w:rPr>
              <w:t>Shows alignment, error, repetition, and correction</w:t>
            </w:r>
          </w:p>
        </w:tc>
        <w:tc>
          <w:tcPr>
            <w:tcW w:type="dxa" w:w="3264"/>
            <w:vAlign w:val="top"/>
          </w:tcPr>
          <w:p>
            <w:r/>
            <w:r>
              <w:rPr>
                <w:b w:val="0"/>
                <w:sz w:val="18"/>
              </w:rPr>
              <w:t>Process archive table</w:t>
            </w:r>
          </w:p>
        </w:tc>
      </w:tr>
      <w:tr>
        <w:tc>
          <w:tcPr>
            <w:tcW w:type="dxa" w:w="3264"/>
            <w:vAlign w:val="top"/>
          </w:tcPr>
          <w:p>
            <w:r/>
            <w:r>
              <w:rPr>
                <w:b w:val="0"/>
                <w:sz w:val="18"/>
              </w:rPr>
              <w:t>Rejected prints</w:t>
            </w:r>
          </w:p>
        </w:tc>
        <w:tc>
          <w:tcPr>
            <w:tcW w:type="dxa" w:w="3264"/>
            <w:vAlign w:val="top"/>
          </w:tcPr>
          <w:p>
            <w:r/>
            <w:r>
              <w:rPr>
                <w:b w:val="0"/>
                <w:sz w:val="18"/>
              </w:rPr>
              <w:t>Shows material resistance and decision-making</w:t>
            </w:r>
          </w:p>
        </w:tc>
        <w:tc>
          <w:tcPr>
            <w:tcW w:type="dxa" w:w="3264"/>
            <w:vAlign w:val="top"/>
          </w:tcPr>
          <w:p>
            <w:r/>
            <w:r>
              <w:rPr>
                <w:b w:val="0"/>
                <w:sz w:val="18"/>
              </w:rPr>
              <w:t>Archive drawer or process wall</w:t>
            </w:r>
          </w:p>
        </w:tc>
      </w:tr>
      <w:tr>
        <w:tc>
          <w:tcPr>
            <w:tcW w:type="dxa" w:w="3264"/>
            <w:vAlign w:val="top"/>
          </w:tcPr>
          <w:p>
            <w:r/>
            <w:r>
              <w:rPr>
                <w:b w:val="0"/>
                <w:sz w:val="18"/>
              </w:rPr>
              <w:t>Final edition</w:t>
            </w:r>
          </w:p>
        </w:tc>
        <w:tc>
          <w:tcPr>
            <w:tcW w:type="dxa" w:w="3264"/>
            <w:vAlign w:val="top"/>
          </w:tcPr>
          <w:p>
            <w:r/>
            <w:r>
              <w:rPr>
                <w:b w:val="0"/>
                <w:sz w:val="18"/>
              </w:rPr>
              <w:t>Public artifact and thesis output</w:t>
            </w:r>
          </w:p>
        </w:tc>
        <w:tc>
          <w:tcPr>
            <w:tcW w:type="dxa" w:w="3264"/>
            <w:vAlign w:val="top"/>
          </w:tcPr>
          <w:p>
            <w:r/>
            <w:r>
              <w:rPr>
                <w:b w:val="0"/>
                <w:sz w:val="18"/>
              </w:rPr>
              <w:t>Framed or pinned poster series</w:t>
            </w:r>
          </w:p>
        </w:tc>
      </w:tr>
      <w:tr>
        <w:tc>
          <w:tcPr>
            <w:tcW w:type="dxa" w:w="3264"/>
            <w:vAlign w:val="top"/>
          </w:tcPr>
          <w:p>
            <w:r/>
            <w:r>
              <w:rPr>
                <w:b w:val="0"/>
                <w:sz w:val="18"/>
              </w:rPr>
              <w:t>Reflection notes</w:t>
            </w:r>
          </w:p>
        </w:tc>
        <w:tc>
          <w:tcPr>
            <w:tcW w:type="dxa" w:w="3264"/>
            <w:vAlign w:val="top"/>
          </w:tcPr>
          <w:p>
            <w:r/>
            <w:r>
              <w:rPr>
                <w:b w:val="0"/>
                <w:sz w:val="18"/>
              </w:rPr>
              <w:t>Connects making to theory</w:t>
            </w:r>
          </w:p>
        </w:tc>
        <w:tc>
          <w:tcPr>
            <w:tcW w:type="dxa" w:w="3264"/>
            <w:vAlign w:val="top"/>
          </w:tcPr>
          <w:p>
            <w:r/>
            <w:r>
              <w:rPr>
                <w:b w:val="0"/>
                <w:sz w:val="18"/>
              </w:rPr>
              <w:t>Excerpted captions or thesis appendix</w:t>
            </w:r>
          </w:p>
        </w:tc>
      </w:tr>
    </w:tbl>
    <w:p/>
    <w:p>
      <w:pPr>
        <w:pStyle w:val="Heading1"/>
      </w:pPr>
      <w:r>
        <w:t>Appendix B: Glossary of key terms</w:t>
      </w:r>
    </w:p>
    <w:p>
      <w:r>
        <w:rPr>
          <w:b/>
        </w:rPr>
        <w:t>Alphabet:</w:t>
      </w:r>
      <w:r>
        <w:t xml:space="preserve"> In this thesis, a designed set of letterforms that may include uppercase, lowercase, numerals, punctuation, accents, and selected extended Latin characters.</w:t>
      </w:r>
    </w:p>
    <w:p>
      <w:r>
        <w:rPr>
          <w:b/>
        </w:rPr>
        <w:t>Archive:</w:t>
      </w:r>
      <w:r>
        <w:t xml:space="preserve"> A collection of records, traces, materials, stories, and artifacts that preserve memory and make knowledge accessible. In this thesis, the archive is not only institutional. It is also lived, visual, and material.</w:t>
      </w:r>
    </w:p>
    <w:p>
      <w:r>
        <w:rPr>
          <w:b/>
        </w:rPr>
        <w:t>Co-design:</w:t>
      </w:r>
      <w:r>
        <w:t xml:space="preserve"> A collaborative design process in which participants help shape references, evaluation, meaning, and decisions.</w:t>
      </w:r>
    </w:p>
    <w:p>
      <w:r>
        <w:rPr>
          <w:b/>
        </w:rPr>
        <w:t>Corridor:</w:t>
      </w:r>
      <w:r>
        <w:t xml:space="preserve"> The London-Sarnia region understood through movement, commuting, labour, roads, community networks, and visual environments.</w:t>
      </w:r>
    </w:p>
    <w:p>
      <w:r>
        <w:rPr>
          <w:b/>
        </w:rPr>
        <w:t>Cliche / printing plate:</w:t>
      </w:r>
      <w:r>
        <w:t xml:space="preserve"> In English letterpress contexts, “cliche” is usually described as a printing plate, relief plate, photopolymer plate, metal plate, or printing block.</w:t>
      </w:r>
    </w:p>
    <w:p>
      <w:r>
        <w:rPr>
          <w:b/>
        </w:rPr>
        <w:t>Ethical visibility:</w:t>
      </w:r>
      <w:r>
        <w:t xml:space="preserve"> A form of representation that considers consent, agency, naming, anonymity, circulation, and possible harm.</w:t>
      </w:r>
    </w:p>
    <w:p>
      <w:r>
        <w:rPr>
          <w:b/>
        </w:rPr>
        <w:t>Heidelberg Windmill Platen Press:</w:t>
      </w:r>
      <w:r>
        <w:t xml:space="preserve"> A fully automatic platen press used in letterpress printing. In this thesis, it is treated as a supervised printmaking tool and research method.</w:t>
      </w:r>
    </w:p>
    <w:p>
      <w:r>
        <w:rPr>
          <w:b/>
        </w:rPr>
        <w:t>Multilingual reading:</w:t>
      </w:r>
      <w:r>
        <w:t xml:space="preserve"> Reading across languages, accents, scripts, punctuation systems, and hybrid language practices.</w:t>
      </w:r>
    </w:p>
    <w:p>
      <w:r>
        <w:rPr>
          <w:b/>
        </w:rPr>
        <w:t>Research-creation:</w:t>
      </w:r>
      <w:r>
        <w:t xml:space="preserve"> A mode of inquiry where creative practice produces knowledge together with writing, theory, and analysis.</w:t>
      </w:r>
    </w:p>
    <w:p>
      <w:r>
        <w:rPr>
          <w:b/>
        </w:rPr>
        <w:t>Visual ecology:</w:t>
      </w:r>
      <w:r>
        <w:t xml:space="preserve"> A way of understanding visual culture as part of a lived environment shaped by surfaces, movement, objects, signs, bodies, and memory.</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Expanded thesis proposal | Daniel Achig-Aranha | May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Typographic Archives of Latino Life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2222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111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