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 w:after="360"/>
        <w:jc w:val="center"/>
      </w:pPr>
      <w:r>
        <w:rPr>
          <w:rFonts w:ascii="Calibri" w:hAnsi="Calibri"/>
          <w:b/>
          <w:color w:val="C93F28"/>
          <w:sz w:val="20"/>
        </w:rPr>
        <w:t>END-TO-END RELEASE ASSESSMENT</w:t>
      </w:r>
    </w:p>
    <w:p>
      <w:pPr>
        <w:widowControl/>
        <w:spacing w:after="140"/>
        <w:jc w:val="center"/>
      </w:pPr>
      <w:r>
        <w:rPr>
          <w:rFonts w:ascii="Calibri" w:hAnsi="Calibri"/>
          <w:b/>
          <w:color w:val="1C1726"/>
          <w:sz w:val="60"/>
        </w:rPr>
        <w:t>AdPilot OS V7</w:t>
      </w:r>
    </w:p>
    <w:p>
      <w:pPr>
        <w:widowControl/>
        <w:spacing w:after="480"/>
        <w:jc w:val="center"/>
      </w:pPr>
      <w:r>
        <w:rPr>
          <w:rFonts w:ascii="Calibri" w:hAnsi="Calibri"/>
          <w:color w:val="6B6478"/>
          <w:sz w:val="28"/>
        </w:rPr>
        <w:t>Explainable operations, guarded automation and a release-ready interface</w:t>
      </w:r>
    </w:p>
    <w:p>
      <w:pPr>
        <w:widowControl/>
        <w:spacing w:after="1440"/>
        <w:jc w:val="center"/>
      </w:pPr>
      <w:r>
        <w:rPr>
          <w:rFonts w:ascii="Calibri" w:hAnsi="Calibri"/>
          <w:b/>
          <w:color w:val="942A19"/>
          <w:sz w:val="21"/>
        </w:rPr>
        <w:t>Research  /  implementation  /  verification  /  launch handover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3EF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942A19"/>
                <w:sz w:val="18"/>
              </w:rPr>
              <w:t>SAFE RELEASE BOUNDARY</w:t>
              <w:br/>
            </w:r>
            <w:r>
              <w:rPr>
                <w:rFonts w:ascii="Calibri" w:hAnsi="Calibri"/>
                <w:b/>
                <w:color w:val="1C1726"/>
                <w:sz w:val="22"/>
              </w:rPr>
              <w:t>AdPilot can automate collection, analysis, explanation and draft preparation. Live paid-ad spend changes remain human-controlled.</w:t>
            </w:r>
          </w:p>
        </w:tc>
      </w:tr>
    </w:tbl>
    <w:p>
      <w:pPr>
        <w:widowControl/>
        <w:spacing w:before="920"/>
        <w:jc w:val="center"/>
      </w:pPr>
      <w:r>
        <w:rPr>
          <w:rFonts w:ascii="Calibri" w:hAnsi="Calibri"/>
          <w:color w:val="6B6478"/>
          <w:sz w:val="20"/>
        </w:rPr>
        <w:t>Release 7.0.0  |  Australia  |  22 July 2026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pBdr>
          <w:bottom w:val="single" w:sz="18" w:space="1" w:color="C93F28"/>
        </w:pBdr>
      </w:pPr>
      <w:r>
        <w:t>Executive outcome</w:t>
      </w:r>
    </w:p>
    <w:p>
      <w:pPr>
        <w:widowControl/>
      </w:pPr>
      <w:r>
        <w:rPr>
          <w:rFonts w:ascii="Calibri" w:hAnsi="Calibri"/>
          <w:color w:val="1C1726"/>
        </w:rPr>
        <w:t>AdPilot has been rebuilt from a crowded collection of tools into one understandable operating loop:</w:t>
      </w:r>
    </w:p>
    <w:p>
      <w:pPr>
        <w:widowControl/>
        <w:numPr>
          <w:ilvl w:val="0"/>
          <w:numId w:val="5100"/>
        </w:numPr>
      </w:pPr>
      <w:r>
        <w:rPr>
          <w:rFonts w:ascii="Calibri" w:hAnsi="Calibri"/>
          <w:b/>
          <w:color w:val="1C1726"/>
        </w:rPr>
        <w:t>Today</w:t>
      </w:r>
      <w:r>
        <w:rPr>
          <w:rFonts w:ascii="Calibri" w:hAnsi="Calibri"/>
          <w:color w:val="1C1726"/>
        </w:rPr>
        <w:t xml:space="preserve"> says what changed and what needs attention.</w:t>
      </w:r>
    </w:p>
    <w:p>
      <w:pPr>
        <w:widowControl/>
        <w:numPr>
          <w:ilvl w:val="0"/>
          <w:numId w:val="5100"/>
        </w:numPr>
      </w:pPr>
      <w:r>
        <w:rPr>
          <w:rFonts w:ascii="Calibri" w:hAnsi="Calibri"/>
          <w:b/>
          <w:color w:val="1C1726"/>
        </w:rPr>
        <w:t>Fixes</w:t>
      </w:r>
      <w:r>
        <w:rPr>
          <w:rFonts w:ascii="Calibri" w:hAnsi="Calibri"/>
          <w:color w:val="1C1726"/>
        </w:rPr>
        <w:t xml:space="preserve"> explains the evidence and prepares safe action drafts.</w:t>
      </w:r>
    </w:p>
    <w:p>
      <w:pPr>
        <w:widowControl/>
        <w:numPr>
          <w:ilvl w:val="0"/>
          <w:numId w:val="5100"/>
        </w:numPr>
      </w:pPr>
      <w:r>
        <w:rPr>
          <w:rFonts w:ascii="Calibri" w:hAnsi="Calibri"/>
          <w:b/>
          <w:color w:val="1C1726"/>
        </w:rPr>
        <w:t>Create</w:t>
      </w:r>
      <w:r>
        <w:rPr>
          <w:rFonts w:ascii="Calibri" w:hAnsi="Calibri"/>
          <w:color w:val="1C1726"/>
        </w:rPr>
        <w:t xml:space="preserve"> turns insight into content and creative work.</w:t>
      </w:r>
    </w:p>
    <w:p>
      <w:pPr>
        <w:widowControl/>
        <w:numPr>
          <w:ilvl w:val="0"/>
          <w:numId w:val="5100"/>
        </w:numPr>
      </w:pPr>
      <w:r>
        <w:rPr>
          <w:rFonts w:ascii="Calibri" w:hAnsi="Calibri"/>
          <w:b/>
          <w:color w:val="1C1726"/>
        </w:rPr>
        <w:t>Automate</w:t>
      </w:r>
      <w:r>
        <w:rPr>
          <w:rFonts w:ascii="Calibri" w:hAnsi="Calibri"/>
          <w:color w:val="1C1726"/>
        </w:rPr>
        <w:t xml:space="preserve"> runs repeatable analysis, alerts, reports and draft preparation.</w:t>
      </w:r>
    </w:p>
    <w:p>
      <w:pPr>
        <w:widowControl/>
        <w:numPr>
          <w:ilvl w:val="0"/>
          <w:numId w:val="5100"/>
        </w:numPr>
      </w:pPr>
      <w:r>
        <w:rPr>
          <w:rFonts w:ascii="Calibri" w:hAnsi="Calibri"/>
          <w:b/>
          <w:color w:val="1C1726"/>
        </w:rPr>
        <w:t>Reports</w:t>
      </w:r>
      <w:r>
        <w:rPr>
          <w:rFonts w:ascii="Calibri" w:hAnsi="Calibri"/>
          <w:color w:val="1C1726"/>
        </w:rPr>
        <w:t xml:space="preserve"> communicates outcomes without inventing numbers.</w:t>
      </w:r>
    </w:p>
    <w:p>
      <w:pPr>
        <w:widowControl/>
        <w:numPr>
          <w:ilvl w:val="0"/>
          <w:numId w:val="5100"/>
        </w:numPr>
      </w:pPr>
      <w:r>
        <w:rPr>
          <w:rFonts w:ascii="Calibri" w:hAnsi="Calibri"/>
          <w:b/>
          <w:color w:val="1C1726"/>
        </w:rPr>
        <w:t>Connect</w:t>
      </w:r>
      <w:r>
        <w:rPr>
          <w:rFonts w:ascii="Calibri" w:hAnsi="Calibri"/>
          <w:color w:val="1C1726"/>
        </w:rPr>
        <w:t xml:space="preserve"> makes account access, data freshness and credential health visible.</w:t>
      </w:r>
    </w:p>
    <w:p>
      <w:pPr>
        <w:widowControl/>
      </w:pPr>
      <w:r>
        <w:rPr>
          <w:rFonts w:ascii="Calibri" w:hAnsi="Calibri"/>
          <w:color w:val="1C1726"/>
        </w:rPr>
        <w:t xml:space="preserve">The V7 interface now works for two audiences without splitting the product. </w:t>
      </w:r>
      <w:r>
        <w:rPr>
          <w:rFonts w:ascii="Calibri" w:hAnsi="Calibri"/>
          <w:b/>
          <w:color w:val="1C1726"/>
        </w:rPr>
        <w:t>Simple</w:t>
      </w:r>
      <w:r>
        <w:rPr>
          <w:rFonts w:ascii="Calibri" w:hAnsi="Calibri"/>
          <w:color w:val="1C1726"/>
        </w:rPr>
        <w:t xml:space="preserve"> view gives an everyday operator a clear next step. </w:t>
      </w:r>
      <w:r>
        <w:rPr>
          <w:rFonts w:ascii="Calibri" w:hAnsi="Calibri"/>
          <w:b/>
          <w:color w:val="1C1726"/>
        </w:rPr>
        <w:t>Advanced</w:t>
      </w:r>
      <w:r>
        <w:rPr>
          <w:rFonts w:ascii="Calibri" w:hAnsi="Calibri"/>
          <w:color w:val="1C1726"/>
        </w:rPr>
        <w:t xml:space="preserve"> view exposes thresholds, rules, evidence, portfolio controls and specialist tools. The chosen view persists between visits.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1" name="Picture 1" descr="AdPilot V7 landing page showing the daily brief, account health, open fixes and safety boundary." title="AdPilot OS V7 inte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-desktop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V7 preview: the operating state, evidence and human safety boundary are visible before sign-in.</w:t>
      </w:r>
    </w:p>
    <w:p>
      <w:pPr>
        <w:widowControl/>
      </w:pPr>
      <w:r>
        <w:rPr>
          <w:rFonts w:ascii="Calibri" w:hAnsi="Calibri"/>
          <w:color w:val="1C1726"/>
        </w:rPr>
        <w:t xml:space="preserve">The most important engineering decision is explicit: </w:t>
      </w:r>
      <w:r>
        <w:rPr>
          <w:rFonts w:ascii="Calibri" w:hAnsi="Calibri"/>
          <w:b/>
          <w:color w:val="1C1726"/>
        </w:rPr>
        <w:t>V7 cannot write to a live paid-ad account.</w:t>
      </w:r>
      <w:r>
        <w:rPr>
          <w:rFonts w:ascii="Calibri" w:hAnsi="Calibri"/>
          <w:color w:val="1C1726"/>
        </w:rPr>
        <w:t xml:space="preserve"> It can synchronise read-only data, score it, detect anomalies, prepare recommendations and create approval-ready drafts. Budgets, bids, paid launches and paid-ad pauses remain human actions inside Meta or TikTok. This boundary is visible in the interface, enforced in API code and covered by tests.</w:t>
      </w:r>
    </w:p>
    <w:p>
      <w:pPr>
        <w:pStyle w:val="Heading1"/>
        <w:keepNext/>
        <w:widowControl/>
      </w:pPr>
      <w:r>
        <w:t>Assessment scorecard</w:t>
      </w:r>
    </w:p>
    <w:p>
      <w:pPr>
        <w:widowControl/>
      </w:pPr>
      <w:r>
        <w:rPr>
          <w:rFonts w:ascii="Calibri" w:hAnsi="Calibri"/>
          <w:color w:val="1C1726"/>
        </w:rPr>
        <w:t>Scores are product-release assessments, not marketing claims. "After" scores combine implemented behaviour, automated coverage and browser verification.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00"/>
        <w:gridCol w:w="850"/>
        <w:gridCol w:w="850"/>
        <w:gridCol w:w="56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172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Product area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172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172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V7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172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Information architecture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4.5/10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9.4/10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Six core destinations; grouped advanced tools; command palette; mobile bottom navigation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Daily decision experience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7.0/10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9.3/10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Plain-language daily brief, readiness checklist, health, freshness, open fixes and safety state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Authentication and recovery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5.0/10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9.2/10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Sign-in/sign-up modes, consent state, password visibility, reset guidance, recovery-session validation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Connections and credentials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4.5/10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9.2/10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Provider health cards, masked identifiers, read-only scope explanation, reconnect/sync/remove paths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Automation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5.0/10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9.1/10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Persistent rule library, dry-run preview, saved-rule evaluator, stale-event resolution, guardrails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Recommendations and approvals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5.5/10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9.4/10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Evidence, window and next step; save/not-now/undo; no misleading one-click execution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Content and creative workflow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5.0/10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9.1/10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Compose, assist, preview, queue, policy check, deliberate schedule/publish confirmations, archiving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Reporting and notifications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6.0/10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9.0/10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Clear summary, freshness and evidence language, quieter notification hierarchy, AUD formatting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Mobile and responsive UI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5.0/10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9.4/10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True 390 px interaction checks; zero page overflow; compact navigation and touch-sized controls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Accessibility and clarity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6.0/10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9.6/10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Lighthouse accessibility 100; corrected contrast, descriptive links, focus and reduced-motion support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Security and permissions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7.0/10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9.4/10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Role-aware mutations, least privilege, nonce CSP fix, protected health detail, no live writer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C1726"/>
                <w:sz w:val="17"/>
              </w:rPr>
              <w:t>Reliability and release engineering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7.0/10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9.2/10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7F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C1726"/>
                <w:sz w:val="17"/>
              </w:rPr>
              <w:t>757 tests, type/lint/build gates, dependency overrides, error/loading/404 states, deployment runbook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t>What changed</w:t>
      </w:r>
    </w:p>
    <w:p>
      <w:pPr>
        <w:pStyle w:val="Heading2"/>
        <w:keepNext/>
        <w:widowControl/>
      </w:pPr>
      <w:r>
        <w:t>1. Navigation and interface system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Replaced the broad, difficult-to-scan navigation with six outcome-based destinations.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a global command palette (</w:t>
      </w:r>
      <w:r>
        <w:rPr>
          <w:rFonts w:ascii="Consolas" w:hAnsi="Consolas"/>
          <w:color w:val="1C1726"/>
          <w:sz w:val="21"/>
        </w:rPr>
        <w:t>Ctrl/Command + K</w:t>
      </w:r>
      <w:r>
        <w:rPr>
          <w:rFonts w:ascii="Calibri" w:hAnsi="Calibri"/>
          <w:color w:val="1C1726"/>
        </w:rPr>
        <w:t>) for fast access by advanced users.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Added persistent </w:t>
      </w:r>
      <w:r>
        <w:rPr>
          <w:rFonts w:ascii="Calibri" w:hAnsi="Calibri"/>
          <w:b/>
          <w:color w:val="1C1726"/>
        </w:rPr>
        <w:t>Simple / Advanced</w:t>
      </w:r>
      <w:r>
        <w:rPr>
          <w:rFonts w:ascii="Calibri" w:hAnsi="Calibri"/>
          <w:color w:val="1C1726"/>
        </w:rPr>
        <w:t xml:space="preserve"> controls using local storage and a cookie.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Grouped specialist tools instead of showing every capability at the same visual weight.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a mobile bottom navigation and compact top bar.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a persistent operations drawer showing connection state, open fixes, last synchronisation and the paid-ad safety boundary.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Standardised page width, cards, loading, empty, error and not-found states.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Replaced inconsistent visual emphasis with one semantic colour system: action, good, warning, bad and information.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Darkened the action coral to meet WCAG contrast requirements while retaining the warm visual identity.</w:t>
      </w:r>
    </w:p>
    <w:p>
      <w:pPr>
        <w:pStyle w:val="Heading2"/>
        <w:keepNext/>
        <w:widowControl/>
      </w:pPr>
      <w:r>
        <w:t>2. Today command centre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Reframed the dashboard around four questions: </w:t>
      </w:r>
      <w:r>
        <w:rPr>
          <w:rFonts w:ascii="Calibri" w:hAnsi="Calibri"/>
          <w:b/>
          <w:color w:val="1C1726"/>
        </w:rPr>
        <w:t>what changed, why it matters, what needs me, what happens next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a daily brief with a named issue and evidence instead of a generic "review campaigns" message.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readiness progress so incomplete setup is visible and actionable.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data-freshness language, open-fix count, spend context and watch-rule state.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deeper cockpit diagnostics behind Advanced view so everyday operators do not have to decode them.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Made the human decision boundary visible beside operational state, inspired by the calm preflight controls used in Kraken Guardian.</w:t>
      </w:r>
    </w:p>
    <w:p>
      <w:pPr>
        <w:pStyle w:val="Heading2"/>
        <w:keepNext/>
        <w:widowControl/>
      </w:pPr>
      <w:r>
        <w:t>3. Authentication, sign-up and password reset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Rebuilt the authentication page with clear </w:t>
      </w:r>
      <w:r>
        <w:rPr>
          <w:rFonts w:ascii="Calibri" w:hAnsi="Calibri"/>
          <w:b/>
          <w:color w:val="1C1726"/>
        </w:rPr>
        <w:t>Sign in</w:t>
      </w:r>
      <w:r>
        <w:rPr>
          <w:rFonts w:ascii="Calibri" w:hAnsi="Calibri"/>
          <w:color w:val="1C1726"/>
        </w:rPr>
        <w:t xml:space="preserve"> and </w:t>
      </w:r>
      <w:r>
        <w:rPr>
          <w:rFonts w:ascii="Calibri" w:hAnsi="Calibri"/>
          <w:b/>
          <w:color w:val="1C1726"/>
        </w:rPr>
        <w:t>Create account</w:t>
      </w:r>
      <w:r>
        <w:rPr>
          <w:rFonts w:ascii="Calibri" w:hAnsi="Calibri"/>
          <w:color w:val="1C1726"/>
        </w:rPr>
        <w:t xml:space="preserve"> tabs.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show/hide password controls and meaningful field labels.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legal-consent enforcement to account creation.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a complete forgot-password state with a clear "send a new reset link" action.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Normalised email input and clarified that only the newest reset email should be used.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Rebuilt the update-password page to detect a missing or expired recovery session and direct the user back to request a fresh link.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Fixed a production-blocking Content Security Policy fault. The previous nonce policy allowed HTML to render but blocked Next.js hydration scripts, so sign-up and reset controls could appear while not responding. The root layout now renders dynamically so each response receives the nonce required by the policy.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Verified sign-up and forgot-password state changes in a real browser at desktop and phone sizes.</w:t>
      </w:r>
    </w:p>
    <w:p>
      <w:pPr>
        <w:pStyle w:val="Heading2"/>
        <w:keepNext/>
        <w:widowControl/>
      </w:pPr>
      <w:r>
        <w:t>4. Connections and credential handling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Rebuilt Connect as an integration hub rather than a token form.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Meta, TikTok, CSV and supporting-provider cards with connection health, data freshness and next actions.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masked account identifiers and plain-language credential explanations.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reconnect, synchronise and remove controls with explicit consequences.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CSV import available on Free.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Enforced least privilege: Meta manual tokens containing </w:t>
      </w:r>
      <w:r>
        <w:rPr>
          <w:rFonts w:ascii="Consolas" w:hAnsi="Consolas"/>
          <w:color w:val="1C1726"/>
          <w:sz w:val="21"/>
        </w:rPr>
        <w:t>ads_management</w:t>
      </w:r>
      <w:r>
        <w:rPr>
          <w:rFonts w:ascii="Calibri" w:hAnsi="Calibri"/>
          <w:color w:val="1C1726"/>
        </w:rPr>
        <w:t xml:space="preserve"> are rejected and users are directed to use read-only </w:t>
      </w:r>
      <w:r>
        <w:rPr>
          <w:rFonts w:ascii="Consolas" w:hAnsi="Consolas"/>
          <w:color w:val="1C1726"/>
          <w:sz w:val="21"/>
        </w:rPr>
        <w:t>ads_read</w:t>
      </w:r>
      <w:r>
        <w:rPr>
          <w:rFonts w:ascii="Calibri" w:hAnsi="Calibri"/>
          <w:color w:val="1C1726"/>
        </w:rPr>
        <w:t xml:space="preserve"> and </w:t>
      </w:r>
      <w:r>
        <w:rPr>
          <w:rFonts w:ascii="Consolas" w:hAnsi="Consolas"/>
          <w:color w:val="1C1726"/>
          <w:sz w:val="21"/>
        </w:rPr>
        <w:t>read_insights</w:t>
      </w:r>
      <w:r>
        <w:rPr>
          <w:rFonts w:ascii="Calibri" w:hAnsi="Calibri"/>
          <w:color w:val="1C1726"/>
        </w:rPr>
        <w:t xml:space="preserve"> permissions.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Removed the paid-ad write-token enrolment endpoint and interface.</w:t>
      </w:r>
    </w:p>
    <w:p>
      <w:pPr>
        <w:pStyle w:val="Heading2"/>
        <w:keepNext/>
        <w:widowControl/>
      </w:pPr>
      <w:r>
        <w:t>5. Automation Studio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Added a dedicated </w:t>
      </w:r>
      <w:r>
        <w:rPr>
          <w:rFonts w:ascii="Consolas" w:hAnsi="Consolas"/>
          <w:color w:val="1C1726"/>
          <w:sz w:val="21"/>
        </w:rPr>
        <w:t>/automate</w:t>
      </w:r>
      <w:r>
        <w:rPr>
          <w:rFonts w:ascii="Calibri" w:hAnsi="Calibri"/>
          <w:color w:val="1C1726"/>
        </w:rPr>
        <w:t xml:space="preserve"> workspace and </w:t>
      </w:r>
      <w:r>
        <w:rPr>
          <w:rFonts w:ascii="Consolas" w:hAnsi="Consolas"/>
          <w:color w:val="1C1726"/>
          <w:sz w:val="21"/>
        </w:rPr>
        <w:t>/api/automation/rules</w:t>
      </w:r>
      <w:r>
        <w:rPr>
          <w:rFonts w:ascii="Calibri" w:hAnsi="Calibri"/>
          <w:color w:val="1C1726"/>
        </w:rPr>
        <w:t xml:space="preserve"> API.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Introduced three understandable automation classes: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Observe automatically:</w:t>
      </w:r>
      <w:r>
        <w:rPr>
          <w:rFonts w:ascii="Calibri" w:hAnsi="Calibri"/>
          <w:color w:val="1C1726"/>
        </w:rPr>
        <w:t xml:space="preserve"> synchronisation, scoring, anomaly and fatigue detection.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Prepare automatically:</w:t>
      </w:r>
      <w:r>
        <w:rPr>
          <w:rFonts w:ascii="Calibri" w:hAnsi="Calibri"/>
          <w:color w:val="1C1726"/>
        </w:rPr>
        <w:t xml:space="preserve"> alerts, reports, creative briefs and approval-ready drafts.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Spend is human-only:</w:t>
      </w:r>
      <w:r>
        <w:rPr>
          <w:rFonts w:ascii="Calibri" w:hAnsi="Calibri"/>
          <w:color w:val="1C1726"/>
        </w:rPr>
        <w:t xml:space="preserve"> live paid-ad changes stay in the advertising platform.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rule templates, custom rules, enable/disable controls, installation and a dry-run preview.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visible guardrails and plan-aware capability descriptions.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Wired saved database rules into the scheduled scoring job. Previously, users could configure rules in the interface while the scheduled job continued to use a separate hard-coded set.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central persistence mapping with a safe preset fallback if the saved-rule table is unavailable.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recurrence handling, stale-event resolution and database upserts.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Prevented duplicate warning and critical events for the same entity/metric by retaining the higher severity.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Made </w:t>
      </w:r>
      <w:r>
        <w:rPr>
          <w:rFonts w:ascii="Consolas" w:hAnsi="Consolas"/>
          <w:color w:val="1C1726"/>
          <w:sz w:val="21"/>
        </w:rPr>
        <w:t>window_days</w:t>
      </w:r>
      <w:r>
        <w:rPr>
          <w:rFonts w:ascii="Calibri" w:hAnsi="Calibri"/>
          <w:color w:val="1C1726"/>
        </w:rPr>
        <w:t xml:space="preserve"> affect the statistical baseline used by z-score rules.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Escaped organisation and event text before email HTML rendering.</w:t>
      </w:r>
    </w:p>
    <w:p>
      <w:pPr>
        <w:pStyle w:val="Heading2"/>
        <w:keepNext/>
        <w:widowControl/>
      </w:pPr>
      <w:r>
        <w:t>6. Recommendations and paid-ad safety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Rewrote recommendation cards to include metric, observed value, comparison baseline, time window, confidence/data caveat and next step.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Replaced "approve" language that implied execution with </w:t>
      </w:r>
      <w:r>
        <w:rPr>
          <w:rFonts w:ascii="Calibri" w:hAnsi="Calibri"/>
          <w:b/>
          <w:color w:val="1C1726"/>
        </w:rPr>
        <w:t>Save as planned</w:t>
      </w:r>
      <w:r>
        <w:rPr>
          <w:rFonts w:ascii="Calibri" w:hAnsi="Calibri"/>
          <w:color w:val="1C1726"/>
        </w:rPr>
        <w:t xml:space="preserve">, </w:t>
      </w:r>
      <w:r>
        <w:rPr>
          <w:rFonts w:ascii="Calibri" w:hAnsi="Calibri"/>
          <w:b/>
          <w:color w:val="1C1726"/>
        </w:rPr>
        <w:t>Not now</w:t>
      </w:r>
      <w:r>
        <w:rPr>
          <w:rFonts w:ascii="Calibri" w:hAnsi="Calibri"/>
          <w:color w:val="1C1726"/>
        </w:rPr>
        <w:t xml:space="preserve"> and undo.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Removed the dormant Meta execution implementation, execution console and write-access setup.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Changed the action API to fail closed for live execution and preserve approval-ready drafts.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manager-level gating to paid-action mutation endpoints.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archive/cancel handling instead of deletion.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the product commercially useful on premium plans through richer automation and approval-ready change preparation without silently mutating spend.</w:t>
      </w:r>
    </w:p>
    <w:p>
      <w:pPr>
        <w:pStyle w:val="Heading2"/>
        <w:keepNext/>
        <w:widowControl/>
      </w:pPr>
      <w:r>
        <w:t>7. Create, content and creative operations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Rebuilt Create around </w:t>
      </w:r>
      <w:r>
        <w:rPr>
          <w:rFonts w:ascii="Calibri" w:hAnsi="Calibri"/>
          <w:b/>
          <w:color w:val="1C1726"/>
        </w:rPr>
        <w:t>Compose, AI Assist and Queue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platform selection, media URL support, character feedback and a platform-style preview.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AI caption assistance, policy checking, image-concept support and status guidance.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Made the workflow explicit: draft -&gt; approve -&gt; schedule/publish.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deliberate confirmation for schedule, publish and removal actions.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Replaced destructive deletion with archiving so history is preserved.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Prevented published content from being archived through the draft endpoint.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Added migration </w:t>
      </w:r>
      <w:r>
        <w:rPr>
          <w:rFonts w:ascii="Consolas" w:hAnsi="Consolas"/>
          <w:color w:val="1C1726"/>
          <w:sz w:val="21"/>
        </w:rPr>
        <w:t>0032_content_archiving.sql</w:t>
      </w:r>
      <w:r>
        <w:rPr>
          <w:rFonts w:ascii="Calibri" w:hAnsi="Calibri"/>
          <w:color w:val="1C1726"/>
        </w:rPr>
        <w:t xml:space="preserve"> for </w:t>
      </w:r>
      <w:r>
        <w:rPr>
          <w:rFonts w:ascii="Consolas" w:hAnsi="Consolas"/>
          <w:color w:val="1C1726"/>
          <w:sz w:val="21"/>
        </w:rPr>
        <w:t>archived_at</w:t>
      </w:r>
      <w:r>
        <w:rPr>
          <w:rFonts w:ascii="Calibri" w:hAnsi="Calibri"/>
          <w:color w:val="1C1726"/>
        </w:rPr>
        <w:t>, the archived content state and cancelled action-draft state.</w:t>
      </w:r>
    </w:p>
    <w:p>
      <w:pPr>
        <w:pStyle w:val="Heading2"/>
        <w:keepNext/>
        <w:widowControl/>
      </w:pPr>
      <w:r>
        <w:t>8. Reports, notifications and economics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Simplified Reports around what happened, what it means and what to do next.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numbers grounded in saved analysis; no fabricated benchmarks or outcome promises.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Standardised AUD presentation and evidence/safety language.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Reduced notification noise and gave urgent, review and informational states clear hierarchy.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Rebuilt Settings around break-even CPA, ROAS and CPL, including plainly labelled model inputs.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validation for percentages, budgets and reporting cadence.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modelled decision lines explicitly separate from forecasts.</w:t>
      </w:r>
    </w:p>
    <w:p>
      <w:pPr>
        <w:pStyle w:val="Heading2"/>
        <w:keepNext/>
        <w:widowControl/>
      </w:pPr>
      <w:r>
        <w:t>9. Permissions and organisation access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Added reusable access checks for </w:t>
      </w:r>
      <w:r>
        <w:rPr>
          <w:rFonts w:ascii="Calibri" w:hAnsi="Calibri"/>
          <w:b/>
          <w:color w:val="1C1726"/>
        </w:rPr>
        <w:t>viewer, editor and manager</w:t>
      </w:r>
      <w:r>
        <w:rPr>
          <w:rFonts w:ascii="Calibri" w:hAnsi="Calibri"/>
          <w:color w:val="1C1726"/>
        </w:rPr>
        <w:t xml:space="preserve"> requirements.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Viewers retain read access; members can perform editor mutations; owners/admins control manager-level settings.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Applied editor or manager checks to organisation settings, notifications, content, recommendations, automation, AI, audiences, audits, creative operations, ingest, leads, policy checks, sync and white-label mutations.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Standardised unauthorised mutation responses as HTTP 403.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dedicated access-matrix tests.</w:t>
      </w:r>
    </w:p>
    <w:p>
      <w:pPr>
        <w:pStyle w:val="Heading2"/>
        <w:keepNext/>
        <w:widowControl/>
      </w:pPr>
      <w:r>
        <w:t>10. Security headers and application hardening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a nonce-based Content Security Policy and corrected it to work with dynamic Next.js rendering.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Added </w:t>
      </w:r>
      <w:r>
        <w:rPr>
          <w:rFonts w:ascii="Consolas" w:hAnsi="Consolas"/>
          <w:color w:val="1C1726"/>
          <w:sz w:val="21"/>
        </w:rPr>
        <w:t>strict-dynamic</w:t>
      </w:r>
      <w:r>
        <w:rPr>
          <w:rFonts w:ascii="Calibri" w:hAnsi="Calibri"/>
          <w:color w:val="1C1726"/>
        </w:rPr>
        <w:t xml:space="preserve">, explicit font sources and </w:t>
      </w:r>
      <w:r>
        <w:rPr>
          <w:rFonts w:ascii="Consolas" w:hAnsi="Consolas"/>
          <w:color w:val="1C1726"/>
          <w:sz w:val="21"/>
        </w:rPr>
        <w:t>form-action</w:t>
      </w:r>
      <w:r>
        <w:rPr>
          <w:rFonts w:ascii="Calibri" w:hAnsi="Calibri"/>
          <w:color w:val="1C1726"/>
        </w:rPr>
        <w:t xml:space="preserve"> control; development-only evaluation is not enabled in production.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Protected detailed health/configuration fields behind the existing operator bearer secret. Public health responses expose only service state and version.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token encryption-key validation boolean-only; no key or secret value is returned.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Removed write-related environment configuration and documentation.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Updated Next.js to 16.2.11 and React/React DOM to 19.2.8.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Overrode Next.js transitive dependencies to patched </w:t>
      </w:r>
      <w:r>
        <w:rPr>
          <w:rFonts w:ascii="Consolas" w:hAnsi="Consolas"/>
          <w:color w:val="1C1726"/>
          <w:sz w:val="21"/>
        </w:rPr>
        <w:t>postcss</w:t>
      </w:r>
      <w:r>
        <w:rPr>
          <w:rFonts w:ascii="Calibri" w:hAnsi="Calibri"/>
          <w:color w:val="1C1726"/>
        </w:rPr>
        <w:t xml:space="preserve"> 8.5.21 and </w:t>
      </w:r>
      <w:r>
        <w:rPr>
          <w:rFonts w:ascii="Consolas" w:hAnsi="Consolas"/>
          <w:color w:val="1C1726"/>
          <w:sz w:val="21"/>
        </w:rPr>
        <w:t>sharp</w:t>
      </w:r>
      <w:r>
        <w:rPr>
          <w:rFonts w:ascii="Calibri" w:hAnsi="Calibri"/>
          <w:color w:val="1C1726"/>
        </w:rPr>
        <w:t xml:space="preserve"> 0.35.3. A clean install audit reports </w:t>
      </w:r>
      <w:r>
        <w:rPr>
          <w:rFonts w:ascii="Calibri" w:hAnsi="Calibri"/>
          <w:b/>
          <w:color w:val="1C1726"/>
        </w:rPr>
        <w:t>zero known production vulnerabilities</w:t>
      </w:r>
      <w:r>
        <w:rPr>
          <w:rFonts w:ascii="Calibri" w:hAnsi="Calibri"/>
          <w:color w:val="1C1726"/>
        </w:rPr>
        <w:t xml:space="preserve"> as of 22 July 2026.</w:t>
      </w:r>
    </w:p>
    <w:p>
      <w:pPr>
        <w:pStyle w:val="Heading2"/>
        <w:keepNext/>
        <w:widowControl/>
      </w:pPr>
      <w:r>
        <w:t>11. Failure and recovery experience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branded application error, loading and not-found states.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useful retry and return paths rather than exposing generic framework screens.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credential and sync failure messages actionable without exposing tokens.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Added clear recovery states for expired password-reset sessions.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Updated deployment, release and rollback documentation for V7 and the no-live-writer boundary.</w:t>
      </w:r>
    </w:p>
    <w:p>
      <w:pPr>
        <w:pStyle w:val="Heading2"/>
        <w:keepNext/>
        <w:widowControl/>
      </w:pPr>
      <w:r>
        <w:t>12. Version and product truthfulness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Updated the application and health endpoint to 7.0.0.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Rewrote landing and product explanation pages around the actual V7 behaviour.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Removed claims that an approval executes a paid-ad change.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Kept "no results guarantees" and human control of spend visible.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Preserved the core evidence-first rule: when data is missing or insufficient, AdPilot says so.</w:t>
      </w:r>
    </w:p>
    <w:p>
      <w:pPr>
        <w:pStyle w:val="Heading1"/>
        <w:keepNext/>
        <w:widowControl/>
      </w:pPr>
      <w:r>
        <w:t>Research translated into the product</w:t>
      </w:r>
    </w:p>
    <w:p>
      <w:pPr>
        <w:widowControl/>
      </w:pPr>
      <w:r>
        <w:rPr>
          <w:rFonts w:ascii="Calibri" w:hAnsi="Calibri"/>
          <w:color w:val="1C1726"/>
        </w:rPr>
        <w:t>The research was used as a pattern library, not as a visual copy exercise.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Google Ads:</w:t>
      </w:r>
      <w:r>
        <w:rPr>
          <w:rFonts w:ascii="Calibri" w:hAnsi="Calibri"/>
          <w:color w:val="1C1726"/>
        </w:rPr>
        <w:t xml:space="preserve"> prioritised explanations, diagnostic insight, change context and conversion-lag awareness. Official references: </w:t>
      </w:r>
      <w:hyperlink r:id="rId12">
        <w:r>
          <w:rPr>
            <w:rFonts w:ascii="Calibri" w:hAnsi="Calibri"/>
            <w:color w:val="942A19"/>
            <w:u w:val="single"/>
          </w:rPr>
          <w:t>Insights</w:t>
        </w:r>
      </w:hyperlink>
      <w:r>
        <w:rPr>
          <w:rFonts w:ascii="Calibri" w:hAnsi="Calibri"/>
          <w:color w:val="1C1726"/>
        </w:rPr>
        <w:t xml:space="preserve">, </w:t>
      </w:r>
      <w:hyperlink r:id="rId13">
        <w:r>
          <w:rPr>
            <w:rFonts w:ascii="Calibri" w:hAnsi="Calibri"/>
            <w:color w:val="942A19"/>
            <w:u w:val="single"/>
          </w:rPr>
          <w:t>optimisation score</w:t>
        </w:r>
      </w:hyperlink>
      <w:r>
        <w:rPr>
          <w:rFonts w:ascii="Calibri" w:hAnsi="Calibri"/>
          <w:color w:val="1C1726"/>
        </w:rPr>
        <w:t xml:space="preserve">, </w:t>
      </w:r>
      <w:hyperlink r:id="rId14">
        <w:r>
          <w:rPr>
            <w:rFonts w:ascii="Calibri" w:hAnsi="Calibri"/>
            <w:color w:val="942A19"/>
            <w:u w:val="single"/>
          </w:rPr>
          <w:t>diagnostics</w:t>
        </w:r>
      </w:hyperlink>
      <w:r>
        <w:rPr>
          <w:rFonts w:ascii="Calibri" w:hAnsi="Calibri"/>
          <w:color w:val="1C1726"/>
        </w:rPr>
        <w:t xml:space="preserve"> and </w:t>
      </w:r>
      <w:hyperlink r:id="rId15">
        <w:r>
          <w:rPr>
            <w:rFonts w:ascii="Calibri" w:hAnsi="Calibri"/>
            <w:color w:val="942A19"/>
            <w:u w:val="single"/>
          </w:rPr>
          <w:t>channel/asset reporting</w:t>
        </w:r>
      </w:hyperlink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Meta and TikTok:</w:t>
      </w:r>
      <w:r>
        <w:rPr>
          <w:rFonts w:ascii="Calibri" w:hAnsi="Calibri"/>
          <w:color w:val="1C1726"/>
        </w:rPr>
        <w:t xml:space="preserve"> separated automated campaign assistance from the operator's decision boundary. Official references: </w:t>
      </w:r>
      <w:hyperlink r:id="rId16">
        <w:r>
          <w:rPr>
            <w:rFonts w:ascii="Calibri" w:hAnsi="Calibri"/>
            <w:color w:val="942A19"/>
            <w:u w:val="single"/>
          </w:rPr>
          <w:t>Meta opportunity score</w:t>
        </w:r>
      </w:hyperlink>
      <w:r>
        <w:rPr>
          <w:rFonts w:ascii="Calibri" w:hAnsi="Calibri"/>
          <w:color w:val="1C1726"/>
        </w:rPr>
        <w:t xml:space="preserve"> and </w:t>
      </w:r>
      <w:hyperlink r:id="rId17">
        <w:r>
          <w:rPr>
            <w:rFonts w:ascii="Calibri" w:hAnsi="Calibri"/>
            <w:color w:val="942A19"/>
            <w:u w:val="single"/>
          </w:rPr>
          <w:t>TikTok Smart+ updates</w:t>
        </w:r>
      </w:hyperlink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Stripe Workbench:</w:t>
      </w:r>
      <w:r>
        <w:rPr>
          <w:rFonts w:ascii="Calibri" w:hAnsi="Calibri"/>
          <w:color w:val="1C1726"/>
        </w:rPr>
        <w:t xml:space="preserve"> adapted the pattern of one operational surface for events, logs, configuration and recovery: </w:t>
      </w:r>
      <w:hyperlink r:id="rId18">
        <w:r>
          <w:rPr>
            <w:rFonts w:ascii="Calibri" w:hAnsi="Calibri"/>
            <w:color w:val="942A19"/>
            <w:u w:val="single"/>
          </w:rPr>
          <w:t>Workbench overview</w:t>
        </w:r>
      </w:hyperlink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Vercel:</w:t>
      </w:r>
      <w:r>
        <w:rPr>
          <w:rFonts w:ascii="Calibri" w:hAnsi="Calibri"/>
          <w:color w:val="1C1726"/>
        </w:rPr>
        <w:t xml:space="preserve"> adapted visible health, logs and alerting as release-operability requirements: </w:t>
      </w:r>
      <w:hyperlink r:id="rId19">
        <w:r>
          <w:rPr>
            <w:rFonts w:ascii="Calibri" w:hAnsi="Calibri"/>
            <w:color w:val="942A19"/>
            <w:u w:val="single"/>
          </w:rPr>
          <w:t>Observability</w:t>
        </w:r>
      </w:hyperlink>
      <w:r>
        <w:rPr>
          <w:rFonts w:ascii="Calibri" w:hAnsi="Calibri"/>
          <w:color w:val="1C1726"/>
        </w:rPr>
        <w:t xml:space="preserve">, </w:t>
      </w:r>
      <w:hyperlink r:id="rId20">
        <w:r>
          <w:rPr>
            <w:rFonts w:ascii="Calibri" w:hAnsi="Calibri"/>
            <w:color w:val="942A19"/>
            <w:u w:val="single"/>
          </w:rPr>
          <w:t>logs</w:t>
        </w:r>
      </w:hyperlink>
      <w:r>
        <w:rPr>
          <w:rFonts w:ascii="Calibri" w:hAnsi="Calibri"/>
          <w:color w:val="1C1726"/>
        </w:rPr>
        <w:t xml:space="preserve"> and </w:t>
      </w:r>
      <w:hyperlink r:id="rId21">
        <w:r>
          <w:rPr>
            <w:rFonts w:ascii="Calibri" w:hAnsi="Calibri"/>
            <w:color w:val="942A19"/>
            <w:u w:val="single"/>
          </w:rPr>
          <w:t>alerts</w:t>
        </w:r>
      </w:hyperlink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Linear:</w:t>
      </w:r>
      <w:r>
        <w:rPr>
          <w:rFonts w:ascii="Calibri" w:hAnsi="Calibri"/>
          <w:color w:val="1C1726"/>
        </w:rPr>
        <w:t xml:space="preserve"> adapted compact saved views, current-cycle focus and a digestible activity pulse: </w:t>
      </w:r>
      <w:hyperlink r:id="rId22">
        <w:r>
          <w:rPr>
            <w:rFonts w:ascii="Calibri" w:hAnsi="Calibri"/>
            <w:color w:val="942A19"/>
            <w:u w:val="single"/>
          </w:rPr>
          <w:t>Cycles</w:t>
        </w:r>
      </w:hyperlink>
      <w:r>
        <w:rPr>
          <w:rFonts w:ascii="Calibri" w:hAnsi="Calibri"/>
          <w:color w:val="1C1726"/>
        </w:rPr>
        <w:t xml:space="preserve">, </w:t>
      </w:r>
      <w:hyperlink r:id="rId23">
        <w:r>
          <w:rPr>
            <w:rFonts w:ascii="Calibri" w:hAnsi="Calibri"/>
            <w:color w:val="942A19"/>
            <w:u w:val="single"/>
          </w:rPr>
          <w:t>display options</w:t>
        </w:r>
      </w:hyperlink>
      <w:r>
        <w:rPr>
          <w:rFonts w:ascii="Calibri" w:hAnsi="Calibri"/>
          <w:color w:val="1C1726"/>
        </w:rPr>
        <w:t xml:space="preserve"> and </w:t>
      </w:r>
      <w:hyperlink r:id="rId24">
        <w:r>
          <w:rPr>
            <w:rFonts w:ascii="Calibri" w:hAnsi="Calibri"/>
            <w:color w:val="942A19"/>
            <w:u w:val="single"/>
          </w:rPr>
          <w:t>Pulse</w:t>
        </w:r>
      </w:hyperlink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HubSpot:</w:t>
      </w:r>
      <w:r>
        <w:rPr>
          <w:rFonts w:ascii="Calibri" w:hAnsi="Calibri"/>
          <w:color w:val="1C1726"/>
        </w:rPr>
        <w:t xml:space="preserve"> adapted checklist-led onboarding and template-based workflow automation: </w:t>
      </w:r>
      <w:hyperlink r:id="rId25">
        <w:r>
          <w:rPr>
            <w:rFonts w:ascii="Calibri" w:hAnsi="Calibri"/>
            <w:color w:val="942A19"/>
            <w:u w:val="single"/>
          </w:rPr>
          <w:t>workflow automation</w:t>
        </w:r>
      </w:hyperlink>
      <w:r>
        <w:rPr>
          <w:rFonts w:ascii="Calibri" w:hAnsi="Calibri"/>
          <w:color w:val="1C1726"/>
        </w:rPr>
        <w:t xml:space="preserve"> and </w:t>
      </w:r>
      <w:hyperlink r:id="rId26">
        <w:r>
          <w:rPr>
            <w:rFonts w:ascii="Calibri" w:hAnsi="Calibri"/>
            <w:color w:val="942A19"/>
            <w:u w:val="single"/>
          </w:rPr>
          <w:t>onboarding checklists</w:t>
        </w:r>
      </w:hyperlink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Smartly, Motion and Madgicx:</w:t>
      </w:r>
      <w:r>
        <w:rPr>
          <w:rFonts w:ascii="Calibri" w:hAnsi="Calibri"/>
          <w:color w:val="1C1726"/>
        </w:rPr>
        <w:t xml:space="preserve"> compared creative workflow, cross-channel operations and rule automation. References: </w:t>
      </w:r>
      <w:hyperlink r:id="rId27">
        <w:r>
          <w:rPr>
            <w:rFonts w:ascii="Calibri" w:hAnsi="Calibri"/>
            <w:color w:val="942A19"/>
            <w:u w:val="single"/>
          </w:rPr>
          <w:t>Smartly introduction</w:t>
        </w:r>
      </w:hyperlink>
      <w:r>
        <w:rPr>
          <w:rFonts w:ascii="Calibri" w:hAnsi="Calibri"/>
          <w:color w:val="1C1726"/>
        </w:rPr>
        <w:t xml:space="preserve">, </w:t>
      </w:r>
      <w:hyperlink r:id="rId28">
        <w:r>
          <w:rPr>
            <w:rFonts w:ascii="Calibri" w:hAnsi="Calibri"/>
            <w:color w:val="942A19"/>
            <w:u w:val="single"/>
          </w:rPr>
          <w:t>Motion solutions</w:t>
        </w:r>
      </w:hyperlink>
      <w:r>
        <w:rPr>
          <w:rFonts w:ascii="Calibri" w:hAnsi="Calibri"/>
          <w:color w:val="1C1726"/>
        </w:rPr>
        <w:t xml:space="preserve"> and </w:t>
      </w:r>
      <w:hyperlink r:id="rId29">
        <w:r>
          <w:rPr>
            <w:rFonts w:ascii="Calibri" w:hAnsi="Calibri"/>
            <w:color w:val="942A19"/>
            <w:u w:val="single"/>
          </w:rPr>
          <w:t>Madgicx overview</w:t>
        </w:r>
      </w:hyperlink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Kraken Guardian:</w:t>
      </w:r>
      <w:r>
        <w:rPr>
          <w:rFonts w:ascii="Calibri" w:hAnsi="Calibri"/>
          <w:color w:val="1C1726"/>
        </w:rPr>
        <w:t xml:space="preserve"> adapted the strongest internal pattern: calm system state, visible limits, preflight checks, auditability and explicit human control over consequential actions.</w:t>
      </w:r>
    </w:p>
    <w:p>
      <w:pPr>
        <w:pStyle w:val="Heading1"/>
        <w:keepNext/>
        <w:pageBreakBefore/>
        <w:widowControl/>
      </w:pPr>
      <w:r>
        <w:t>Verification record</w:t>
      </w:r>
    </w:p>
    <w:p>
      <w:pPr>
        <w:widowControl/>
      </w:pPr>
      <w:r>
        <w:rPr>
          <w:rFonts w:ascii="Calibri" w:hAnsi="Calibri"/>
          <w:color w:val="1C1726"/>
        </w:rPr>
        <w:t>The release candidate passed: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TypeScript:</w:t>
      </w:r>
      <w:r>
        <w:rPr>
          <w:rFonts w:ascii="Calibri" w:hAnsi="Calibri"/>
          <w:color w:val="1C1726"/>
        </w:rPr>
        <w:t xml:space="preserve"> zero errors.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ESLint:</w:t>
      </w:r>
      <w:r>
        <w:rPr>
          <w:rFonts w:ascii="Calibri" w:hAnsi="Calibri"/>
          <w:color w:val="1C1726"/>
        </w:rPr>
        <w:t xml:space="preserve"> zero errors.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Automated tests:</w:t>
      </w:r>
      <w:r>
        <w:rPr>
          <w:rFonts w:ascii="Calibri" w:hAnsi="Calibri"/>
          <w:color w:val="1C1726"/>
        </w:rPr>
        <w:t xml:space="preserve"> 85 files, </w:t>
      </w:r>
      <w:r>
        <w:rPr>
          <w:rFonts w:ascii="Calibri" w:hAnsi="Calibri"/>
          <w:b/>
          <w:color w:val="1C1726"/>
        </w:rPr>
        <w:t>757 tests passed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Production build:</w:t>
      </w:r>
      <w:r>
        <w:rPr>
          <w:rFonts w:ascii="Calibri" w:hAnsi="Calibri"/>
          <w:color w:val="1C1726"/>
        </w:rPr>
        <w:t xml:space="preserve"> successful on Next.js 16.2.11; 52 static-generation tasks completed and all application/API routes compiled.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Dependency audit:</w:t>
      </w:r>
      <w:r>
        <w:rPr>
          <w:rFonts w:ascii="Calibri" w:hAnsi="Calibri"/>
          <w:color w:val="1C1726"/>
        </w:rPr>
        <w:t xml:space="preserve"> clean install, production scope, </w:t>
      </w:r>
      <w:r>
        <w:rPr>
          <w:rFonts w:ascii="Calibri" w:hAnsi="Calibri"/>
          <w:b/>
          <w:color w:val="1C1726"/>
        </w:rPr>
        <w:t>zero known vulnerabilities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Real-browser console:</w:t>
      </w:r>
      <w:r>
        <w:rPr>
          <w:rFonts w:ascii="Calibri" w:hAnsi="Calibri"/>
          <w:color w:val="1C1726"/>
        </w:rPr>
        <w:t xml:space="preserve"> zero errors across landing, sign-in, sign-up and password-update pages.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Responsive browser checks:</w:t>
      </w:r>
      <w:r>
        <w:rPr>
          <w:rFonts w:ascii="Calibri" w:hAnsi="Calibri"/>
          <w:color w:val="1C1726"/>
        </w:rPr>
        <w:t xml:space="preserve"> no horizontal overflow at 1,440 px or a true 390 x 844 phone viewport.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Authentication interaction checks:</w:t>
      </w:r>
      <w:r>
        <w:rPr>
          <w:rFonts w:ascii="Calibri" w:hAnsi="Calibri"/>
          <w:color w:val="1C1726"/>
        </w:rPr>
        <w:t xml:space="preserve"> forgot-password transition passed; sign-up consent gating passed.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Lighthouse mobile:</w:t>
      </w:r>
      <w:r>
        <w:rPr>
          <w:rFonts w:ascii="Calibri" w:hAnsi="Calibri"/>
          <w:color w:val="1C1726"/>
        </w:rPr>
        <w:t xml:space="preserve"> Performance </w:t>
      </w:r>
      <w:r>
        <w:rPr>
          <w:rFonts w:ascii="Calibri" w:hAnsi="Calibri"/>
          <w:b/>
          <w:color w:val="1C1726"/>
        </w:rPr>
        <w:t>98</w:t>
      </w:r>
      <w:r>
        <w:rPr>
          <w:rFonts w:ascii="Calibri" w:hAnsi="Calibri"/>
          <w:color w:val="1C1726"/>
        </w:rPr>
        <w:t xml:space="preserve">, Accessibility </w:t>
      </w:r>
      <w:r>
        <w:rPr>
          <w:rFonts w:ascii="Calibri" w:hAnsi="Calibri"/>
          <w:b/>
          <w:color w:val="1C1726"/>
        </w:rPr>
        <w:t>100</w:t>
      </w:r>
      <w:r>
        <w:rPr>
          <w:rFonts w:ascii="Calibri" w:hAnsi="Calibri"/>
          <w:color w:val="1C1726"/>
        </w:rPr>
        <w:t xml:space="preserve">, Best Practices </w:t>
      </w:r>
      <w:r>
        <w:rPr>
          <w:rFonts w:ascii="Calibri" w:hAnsi="Calibri"/>
          <w:b/>
          <w:color w:val="1C1726"/>
        </w:rPr>
        <w:t>100</w:t>
      </w:r>
      <w:r>
        <w:rPr>
          <w:rFonts w:ascii="Calibri" w:hAnsi="Calibri"/>
          <w:color w:val="1C1726"/>
        </w:rPr>
        <w:t xml:space="preserve">, SEO </w:t>
      </w:r>
      <w:r>
        <w:rPr>
          <w:rFonts w:ascii="Calibri" w:hAnsi="Calibri"/>
          <w:b/>
          <w:color w:val="1C1726"/>
        </w:rPr>
        <w:t>100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b/>
          <w:color w:val="1C1726"/>
        </w:rPr>
        <w:t>Diff hygiene:</w:t>
      </w:r>
      <w:r>
        <w:rPr>
          <w:rFonts w:ascii="Calibri" w:hAnsi="Calibri"/>
          <w:color w:val="1C1726"/>
        </w:rPr>
        <w:t xml:space="preserve"> no whitespace errors and no secret file included in the tracked change set.</w:t>
      </w:r>
    </w:p>
    <w:p>
      <w:pPr>
        <w:widowControl/>
      </w:pPr>
      <w:r>
        <w:rPr>
          <w:rFonts w:ascii="Calibri" w:hAnsi="Calibri"/>
          <w:color w:val="1C1726"/>
        </w:rPr>
        <w:t>The local browser check used non-production placeholder Supabase values only. No customer credential or API secret was copied into the repository.</w:t>
      </w:r>
    </w:p>
    <w:p>
      <w:pPr>
        <w:pStyle w:val="Heading1"/>
        <w:keepNext/>
        <w:widowControl/>
      </w:pPr>
      <w:r>
        <w:t>Sign-in and recovery guide</w:t>
      </w:r>
    </w:p>
    <w:p>
      <w:pPr>
        <w:widowControl/>
        <w:numPr>
          <w:ilvl w:val="0"/>
          <w:numId w:val="5101"/>
        </w:numPr>
      </w:pPr>
      <w:r>
        <w:rPr>
          <w:rFonts w:ascii="Calibri" w:hAnsi="Calibri"/>
          <w:color w:val="1C1726"/>
        </w:rPr>
        <w:t xml:space="preserve">Open the hosted AdPilot URL and choose </w:t>
      </w:r>
      <w:r>
        <w:rPr>
          <w:rFonts w:ascii="Calibri" w:hAnsi="Calibri"/>
          <w:b/>
          <w:color w:val="1C1726"/>
        </w:rPr>
        <w:t>Sign in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101"/>
        </w:numPr>
      </w:pPr>
      <w:r>
        <w:rPr>
          <w:rFonts w:ascii="Calibri" w:hAnsi="Calibri"/>
          <w:color w:val="1C1726"/>
        </w:rPr>
        <w:t>Enter the email used for the account and its password.</w:t>
      </w:r>
    </w:p>
    <w:p>
      <w:pPr>
        <w:widowControl/>
        <w:numPr>
          <w:ilvl w:val="0"/>
          <w:numId w:val="5101"/>
        </w:numPr>
      </w:pPr>
      <w:r>
        <w:rPr>
          <w:rFonts w:ascii="Calibri" w:hAnsi="Calibri"/>
          <w:color w:val="1C1726"/>
        </w:rPr>
        <w:t xml:space="preserve">If the password is unknown, choose </w:t>
      </w:r>
      <w:r>
        <w:rPr>
          <w:rFonts w:ascii="Calibri" w:hAnsi="Calibri"/>
          <w:b/>
          <w:color w:val="1C1726"/>
        </w:rPr>
        <w:t>Forgot password?</w:t>
      </w:r>
      <w:r>
        <w:rPr>
          <w:rFonts w:ascii="Calibri" w:hAnsi="Calibri"/>
          <w:color w:val="1C1726"/>
        </w:rPr>
        <w:t xml:space="preserve">, enter the same email and select </w:t>
      </w:r>
      <w:r>
        <w:rPr>
          <w:rFonts w:ascii="Calibri" w:hAnsi="Calibri"/>
          <w:b/>
          <w:color w:val="1C1726"/>
        </w:rPr>
        <w:t>Send a new reset link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101"/>
        </w:numPr>
      </w:pPr>
      <w:r>
        <w:rPr>
          <w:rFonts w:ascii="Calibri" w:hAnsi="Calibri"/>
          <w:color w:val="1C1726"/>
        </w:rPr>
        <w:t>Use only the newest reset email. Older Supabase recovery links may be invalid after a newer one is requested.</w:t>
      </w:r>
    </w:p>
    <w:p>
      <w:pPr>
        <w:widowControl/>
        <w:numPr>
          <w:ilvl w:val="0"/>
          <w:numId w:val="5101"/>
        </w:numPr>
      </w:pPr>
      <w:r>
        <w:rPr>
          <w:rFonts w:ascii="Calibri" w:hAnsi="Calibri"/>
          <w:color w:val="1C1726"/>
        </w:rPr>
        <w:t xml:space="preserve">The link opens </w:t>
      </w:r>
      <w:r>
        <w:rPr>
          <w:rFonts w:ascii="Calibri" w:hAnsi="Calibri"/>
          <w:b/>
          <w:color w:val="1C1726"/>
        </w:rPr>
        <w:t>Choose a new password</w:t>
      </w:r>
      <w:r>
        <w:rPr>
          <w:rFonts w:ascii="Calibri" w:hAnsi="Calibri"/>
          <w:color w:val="1C1726"/>
        </w:rPr>
        <w:t>. If AdPilot reports that the recovery session is missing or expired, return to Sign in and request one fresh link.</w:t>
      </w:r>
    </w:p>
    <w:p>
      <w:pPr>
        <w:widowControl/>
        <w:numPr>
          <w:ilvl w:val="0"/>
          <w:numId w:val="5101"/>
        </w:numPr>
      </w:pPr>
      <w:r>
        <w:rPr>
          <w:rFonts w:ascii="Calibri" w:hAnsi="Calibri"/>
          <w:color w:val="1C1726"/>
        </w:rPr>
        <w:t xml:space="preserve">For a new workspace, choose </w:t>
      </w:r>
      <w:r>
        <w:rPr>
          <w:rFonts w:ascii="Calibri" w:hAnsi="Calibri"/>
          <w:b/>
          <w:color w:val="1C1726"/>
        </w:rPr>
        <w:t>Create account</w:t>
      </w:r>
      <w:r>
        <w:rPr>
          <w:rFonts w:ascii="Calibri" w:hAnsi="Calibri"/>
          <w:color w:val="1C1726"/>
        </w:rPr>
        <w:t>, complete the fields, accept the legal terms and submit.</w:t>
      </w:r>
    </w:p>
    <w:p>
      <w:pPr>
        <w:widowControl/>
      </w:pPr>
      <w:r>
        <w:rPr>
          <w:rFonts w:ascii="Calibri" w:hAnsi="Calibri"/>
          <w:color w:val="1C1726"/>
        </w:rPr>
        <w:t>Production email delivery still depends on the project's configured Supabase custom SMTP provider, authorised sending domain and redirect URL allow-list.</w:t>
      </w:r>
    </w:p>
    <w:p>
      <w:pPr>
        <w:pStyle w:val="Heading1"/>
        <w:keepNext/>
        <w:pageBreakBefore/>
        <w:widowControl/>
      </w:pPr>
      <w:r>
        <w:t>Release operations</w:t>
      </w:r>
    </w:p>
    <w:p>
      <w:pPr>
        <w:pStyle w:val="Heading2"/>
        <w:keepNext/>
        <w:widowControl/>
      </w:pPr>
      <w:r>
        <w:t>Database</w:t>
      </w:r>
    </w:p>
    <w:p>
      <w:pPr>
        <w:widowControl/>
      </w:pPr>
      <w:r>
        <w:rPr>
          <w:rFonts w:ascii="Calibri" w:hAnsi="Calibri"/>
          <w:color w:val="1C1726"/>
        </w:rPr>
        <w:t xml:space="preserve">Apply migrations in order through </w:t>
      </w:r>
      <w:r>
        <w:rPr>
          <w:rFonts w:ascii="Consolas" w:hAnsi="Consolas"/>
          <w:color w:val="1C1726"/>
          <w:sz w:val="21"/>
        </w:rPr>
        <w:t>0032_content_archiving.sql</w:t>
      </w:r>
      <w:r>
        <w:rPr>
          <w:rFonts w:ascii="Calibri" w:hAnsi="Calibri"/>
          <w:color w:val="1C1726"/>
        </w:rPr>
        <w:t xml:space="preserve"> before exercising archive/cancel controls in production. The application is backward-tolerant for saved automation-rule loading, but content archiving requires the new column and status constraint.</w:t>
      </w:r>
    </w:p>
    <w:p>
      <w:pPr>
        <w:pStyle w:val="Heading2"/>
        <w:keepNext/>
        <w:widowControl/>
      </w:pPr>
      <w:r>
        <w:t>Required production configuration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Supabase URL, anon key and service-role key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Valid 32-byte token-encryption key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Canonical application URL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Cron secret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Custom SMTP and approved recovery redirect URLs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Resend for digests/notifications if email automation is enabled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Stripe secret, webhook secret and confirmed price IDs if billing is enabled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Read-only Meta/TikTok application credentials and approved scopes</w:t>
      </w:r>
    </w:p>
    <w:p>
      <w:pPr>
        <w:pStyle w:val="Heading2"/>
        <w:keepNext/>
        <w:widowControl/>
      </w:pPr>
      <w:r>
        <w:t>Human acceptance checks after deployment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 xml:space="preserve">Health endpoint returns version 7.0.0 and </w:t>
      </w:r>
      <w:r>
        <w:rPr>
          <w:rFonts w:ascii="Consolas" w:hAnsi="Consolas"/>
          <w:color w:val="1C1726"/>
          <w:sz w:val="21"/>
        </w:rPr>
        <w:t>status: ok</w:t>
      </w:r>
      <w:r>
        <w:rPr>
          <w:rFonts w:ascii="Calibri" w:hAnsi="Calibri"/>
          <w:color w:val="1C1726"/>
        </w:rPr>
        <w:t>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Create-account page changes mode and accepts consent.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One password-reset email arrives and its newest link opens the update page.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Existing account signs in and reaches Today.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Simple/Advanced selection persists after refresh.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Connected account shows masked identifier and freshness.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Manual sync completes and updates freshness.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Automation rule dry run returns explained matches.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A content draft can be archived without losing history.</w:t>
      </w:r>
    </w:p>
    <w:p>
      <w:pPr>
        <w:widowControl/>
        <w:numPr>
          <w:ilvl w:val="0"/>
          <w:numId w:val="5102"/>
        </w:numPr>
      </w:pPr>
      <w:r>
        <w:rPr>
          <w:rFonts w:ascii="Calibri" w:hAnsi="Calibri"/>
          <w:color w:val="1C1726"/>
        </w:rPr>
        <w:t>A recommendation can be saved as planned but cannot execute a live paid-ad change.</w:t>
      </w:r>
    </w:p>
    <w:p>
      <w:pPr>
        <w:pStyle w:val="Heading1"/>
        <w:keepNext/>
        <w:widowControl/>
      </w:pPr>
      <w:r>
        <w:t>Remaining owner-gated decisions</w:t>
      </w:r>
    </w:p>
    <w:p>
      <w:pPr>
        <w:widowControl/>
      </w:pPr>
      <w:r>
        <w:rPr>
          <w:rFonts w:ascii="Calibri" w:hAnsi="Calibri"/>
          <w:color w:val="1C1726"/>
        </w:rPr>
        <w:t>These are not code defects and cannot be truthfully completed with invented credentials or legal/commercial choices: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Confirm the final recurring AUD prices and map the correct Stripe production price IDs.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Have Australian counsel approve Terms, Privacy and Limitations text.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Confirm Supabase custom SMTP, sender-domain authentication and redirect allow-list.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 xml:space="preserve">Complete Meta/TikTok provider app review for the required </w:t>
      </w:r>
      <w:r>
        <w:rPr>
          <w:rFonts w:ascii="Calibri" w:hAnsi="Calibri"/>
          <w:b/>
          <w:color w:val="1C1726"/>
        </w:rPr>
        <w:t>read-only</w:t>
      </w:r>
      <w:r>
        <w:rPr>
          <w:rFonts w:ascii="Calibri" w:hAnsi="Calibri"/>
          <w:color w:val="1C1726"/>
        </w:rPr>
        <w:t xml:space="preserve"> scopes.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Confirm the Vercel plan supports the configured cron frequency and review first-week usage/alerts.</w:t>
      </w:r>
    </w:p>
    <w:p>
      <w:pPr>
        <w:widowControl/>
        <w:numPr>
          <w:ilvl w:val="0"/>
          <w:numId w:val="5000"/>
        </w:numPr>
      </w:pPr>
      <w:r>
        <w:rPr>
          <w:rFonts w:ascii="Calibri" w:hAnsi="Calibri"/>
          <w:color w:val="1C1726"/>
        </w:rPr>
        <w:t>Decide whether content publishing tokens should be enabled; this is separate from paid-ad write access.</w:t>
      </w:r>
    </w:p>
    <w:p>
      <w:pPr>
        <w:pStyle w:val="Heading1"/>
        <w:keepNext/>
        <w:pageBreakBefore/>
        <w:widowControl/>
      </w:pPr>
      <w:r>
        <w:t>Recommended next release</w:t>
      </w:r>
    </w:p>
    <w:p>
      <w:pPr>
        <w:widowControl/>
      </w:pPr>
      <w:r>
        <w:rPr>
          <w:rFonts w:ascii="Calibri" w:hAnsi="Calibri"/>
          <w:color w:val="1C1726"/>
        </w:rPr>
        <w:t>V7 should gather real usage before adding breadth. The strongest V7.1 priorities are:</w:t>
      </w:r>
    </w:p>
    <w:p>
      <w:pPr>
        <w:widowControl/>
        <w:numPr>
          <w:ilvl w:val="0"/>
          <w:numId w:val="5103"/>
        </w:numPr>
      </w:pPr>
      <w:r>
        <w:rPr>
          <w:rFonts w:ascii="Calibri" w:hAnsi="Calibri"/>
          <w:color w:val="1C1726"/>
        </w:rPr>
        <w:t>Saved filters/views for multi-client operators.</w:t>
      </w:r>
    </w:p>
    <w:p>
      <w:pPr>
        <w:widowControl/>
        <w:numPr>
          <w:ilvl w:val="0"/>
          <w:numId w:val="5103"/>
        </w:numPr>
      </w:pPr>
      <w:r>
        <w:rPr>
          <w:rFonts w:ascii="Calibri" w:hAnsi="Calibri"/>
          <w:color w:val="1C1726"/>
        </w:rPr>
        <w:t>A unified audit timeline for syncs, rule matches, drafts, approvals and archives.</w:t>
      </w:r>
    </w:p>
    <w:p>
      <w:pPr>
        <w:widowControl/>
        <w:numPr>
          <w:ilvl w:val="0"/>
          <w:numId w:val="5103"/>
        </w:numPr>
      </w:pPr>
      <w:r>
        <w:rPr>
          <w:rFonts w:ascii="Calibri" w:hAnsi="Calibri"/>
          <w:color w:val="1C1726"/>
        </w:rPr>
        <w:t>Creative-fatigue gallery with thumbnails and comparison cohorts.</w:t>
      </w:r>
    </w:p>
    <w:p>
      <w:pPr>
        <w:widowControl/>
        <w:numPr>
          <w:ilvl w:val="0"/>
          <w:numId w:val="5103"/>
        </w:numPr>
      </w:pPr>
      <w:r>
        <w:rPr>
          <w:rFonts w:ascii="Calibri" w:hAnsi="Calibri"/>
          <w:color w:val="1C1726"/>
        </w:rPr>
        <w:t>Conversion-lag and attribution-quality explanations beside short-window verdicts.</w:t>
      </w:r>
    </w:p>
    <w:p>
      <w:pPr>
        <w:widowControl/>
        <w:numPr>
          <w:ilvl w:val="0"/>
          <w:numId w:val="5103"/>
        </w:numPr>
      </w:pPr>
      <w:r>
        <w:rPr>
          <w:rFonts w:ascii="Calibri" w:hAnsi="Calibri"/>
          <w:color w:val="1C1726"/>
        </w:rPr>
        <w:t>Guided provider onboarding with a test connection before credentials are saved.</w:t>
      </w:r>
    </w:p>
    <w:p>
      <w:pPr>
        <w:widowControl/>
        <w:numPr>
          <w:ilvl w:val="0"/>
          <w:numId w:val="5103"/>
        </w:numPr>
      </w:pPr>
      <w:r>
        <w:rPr>
          <w:rFonts w:ascii="Calibri" w:hAnsi="Calibri"/>
          <w:color w:val="1C1726"/>
        </w:rPr>
        <w:t>Error-budget and incident view using Vercel/Supabase operational events.</w:t>
      </w:r>
    </w:p>
    <w:p>
      <w:pPr>
        <w:widowControl/>
        <w:numPr>
          <w:ilvl w:val="0"/>
          <w:numId w:val="5103"/>
        </w:numPr>
      </w:pPr>
      <w:r>
        <w:rPr>
          <w:rFonts w:ascii="Calibri" w:hAnsi="Calibri"/>
          <w:color w:val="1C1726"/>
        </w:rPr>
        <w:t>Passkeys or magic-link sign-in after SMTP reliability is proven.</w:t>
      </w:r>
    </w:p>
    <w:p>
      <w:pPr>
        <w:widowControl/>
      </w:pPr>
      <w:r>
        <w:rPr>
          <w:rFonts w:ascii="Calibri" w:hAnsi="Calibri"/>
          <w:color w:val="1C1726"/>
        </w:rPr>
        <w:t>Live paid-ad execution should remain out of scope until a separate, reviewed control plane exists with per-account caps, typed confirmation, two-person approval for large moves, complete audit logging, provider sandboxes and tested rollback. That work must not be smuggled into ordinary automation.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67A55"/>
                <w:sz w:val="18"/>
              </w:rPr>
              <w:t xml:space="preserve">RELEASE PRINCIPLE  </w:t>
            </w:r>
            <w:r>
              <w:rPr>
                <w:rFonts w:ascii="Calibri" w:hAnsi="Calibri"/>
                <w:color w:val="1C1726"/>
                <w:sz w:val="21"/>
              </w:rPr>
              <w:t>automate collection, analysis, explanation and preparation; keep irreversible or spend-changing decisions visible, reviewable and human-controlled.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Calibri" w:hAnsi="Calibri"/>
        <w:b/>
        <w:color w:val="6B6478"/>
        <w:sz w:val="17"/>
      </w:rPr>
      <w:t>22 JULY 2026</w:t>
    </w:r>
    <w:r>
      <w:rPr>
        <w:rFonts w:ascii="Calibri" w:hAnsi="Calibri"/>
        <w:color w:val="6B6478"/>
        <w:sz w:val="17"/>
      </w:rPr>
      <w:tab/>
      <w:t xml:space="preserve">PAGE </w:t>
    </w:r>
    <w:r>
      <w:rPr>
        <w:rFonts w:ascii="Calibri" w:hAnsi="Calibri"/>
        <w:color w:val="6B647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6478"/>
        <w:sz w:val="17"/>
      </w:rPr>
      <w:t>ADPILOT OS V7  /  RELEASE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00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C93F28"/>
      </w:rPr>
    </w:lvl>
  </w:abstractNum>
  <w:abstractNum w:abstractNumId="500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C1726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5000">
    <w:abstractNumId w:val="5000"/>
  </w:num>
  <w:num w:numId="5001">
    <w:abstractNumId w:val="5001"/>
  </w:num>
  <w:num w:numId="5100">
    <w:abstractNumId w:val="5001"/>
    <w:lvlOverride w:ilvl="0">
      <w:startOverride w:val="1"/>
    </w:lvlOverride>
  </w:num>
  <w:num w:numId="5101">
    <w:abstractNumId w:val="5001"/>
    <w:lvlOverride w:ilvl="0">
      <w:startOverride w:val="1"/>
    </w:lvlOverride>
  </w:num>
  <w:num w:numId="5102">
    <w:abstractNumId w:val="5001"/>
    <w:lvlOverride w:ilvl="0">
      <w:startOverride w:val="1"/>
    </w:lvlOverride>
  </w:num>
  <w:num w:numId="5103">
    <w:abstractNumId w:val="50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17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942A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C93F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C17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before="80" w:after="200"/>
    </w:pPr>
    <w:rPr>
      <w:rFonts w:ascii="Calibri" w:hAnsi="Calibri"/>
      <w:i/>
      <w:color w:val="6B64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upport.google.com/google-ads/answer/16279166?hl=en" TargetMode="External"/><Relationship Id="rId13" Type="http://schemas.openxmlformats.org/officeDocument/2006/relationships/hyperlink" Target="https://support.google.com/google-ads/answer/12994751?hl=en" TargetMode="External"/><Relationship Id="rId14" Type="http://schemas.openxmlformats.org/officeDocument/2006/relationships/hyperlink" Target="https://support.google.com/google-ads/answer/10256472?hl=en" TargetMode="External"/><Relationship Id="rId15" Type="http://schemas.openxmlformats.org/officeDocument/2006/relationships/hyperlink" Target="https://support.google.com/google-ads/answer/16451273?hl=en" TargetMode="External"/><Relationship Id="rId16" Type="http://schemas.openxmlformats.org/officeDocument/2006/relationships/hyperlink" Target="https://www.facebook.com/help/messenger-app/175741192481247/" TargetMode="External"/><Relationship Id="rId17" Type="http://schemas.openxmlformats.org/officeDocument/2006/relationships/hyperlink" Target="https://ads.tiktok.com/help/article/about-updates-to-smart-plus" TargetMode="External"/><Relationship Id="rId18" Type="http://schemas.openxmlformats.org/officeDocument/2006/relationships/hyperlink" Target="https://docs.stripe.com/workbench/overview?locale=en-GB" TargetMode="External"/><Relationship Id="rId19" Type="http://schemas.openxmlformats.org/officeDocument/2006/relationships/hyperlink" Target="https://vercel.com/products/observability" TargetMode="External"/><Relationship Id="rId20" Type="http://schemas.openxmlformats.org/officeDocument/2006/relationships/hyperlink" Target="https://vercel.com/docs/logs" TargetMode="External"/><Relationship Id="rId21" Type="http://schemas.openxmlformats.org/officeDocument/2006/relationships/hyperlink" Target="https://vercel.com/docs/alerts" TargetMode="External"/><Relationship Id="rId22" Type="http://schemas.openxmlformats.org/officeDocument/2006/relationships/hyperlink" Target="https://linear.app/docs/use-cycles" TargetMode="External"/><Relationship Id="rId23" Type="http://schemas.openxmlformats.org/officeDocument/2006/relationships/hyperlink" Target="https://linear.app/docs/display-options" TargetMode="External"/><Relationship Id="rId24" Type="http://schemas.openxmlformats.org/officeDocument/2006/relationships/hyperlink" Target="https://linear.app/docs/pulse" TargetMode="External"/><Relationship Id="rId25" Type="http://schemas.openxmlformats.org/officeDocument/2006/relationships/hyperlink" Target="https://www.hubspot.com/products/workflow-automation" TargetMode="External"/><Relationship Id="rId26" Type="http://schemas.openxmlformats.org/officeDocument/2006/relationships/hyperlink" Target="https://knowledge.hubspot.com/help-and-resources/manage-onboarding-to-do-lists-with-checklists" TargetMode="External"/><Relationship Id="rId27" Type="http://schemas.openxmlformats.org/officeDocument/2006/relationships/hyperlink" Target="https://docs.smartly.io/docs/introduction-to-smartly" TargetMode="External"/><Relationship Id="rId28" Type="http://schemas.openxmlformats.org/officeDocument/2006/relationships/hyperlink" Target="https://motionapp.com/solutions" TargetMode="External"/><Relationship Id="rId29" Type="http://schemas.openxmlformats.org/officeDocument/2006/relationships/hyperlink" Target="https://academy.madgicx.com/lessons/what-is-madgi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AdPilot OS V7 - End-to-End Release Assessment</dc:title>
  <dc:subject>Research, implementation, verification and launch handover</dc:subject>
  <dc:creator>AdPilot OS</dc:creator>
  <cp:keywords>AdPilot, V7, release, advertising operations, automation, safety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