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50"/>
        <w:jc w:val="center"/>
      </w:pPr>
      <w:r>
        <w:rPr>
          <w:b/>
          <w:bCs/>
          <w:color w:val="1F3864"/>
          <w:sz w:val="48"/>
          <w:szCs w:val="48"/>
        </w:rPr>
        <w:t xml:space="preserve">Résolution du démarrage RabbitMQ</w:t>
      </w:r>
    </w:p>
    <w:p>
      <w:pPr>
        <w:spacing w:after="400"/>
        <w:jc w:val="center"/>
      </w:pPr>
      <w:r>
        <w:rPr>
          <w:b/>
          <w:bCs/>
          <w:color w:val="2E74B5"/>
          <w:sz w:val="30"/>
          <w:szCs w:val="30"/>
        </w:rPr>
        <w:t xml:space="preserve">Staging Xray 3.137 — installation neuve mono-nœud</w:t>
      </w:r>
    </w:p>
    <w:p>
      <w:pPr>
        <w:spacing w:after="100"/>
        <w:jc w:val="center"/>
      </w:pPr>
      <w:r>
        <w:rPr>
          <w:i/>
          <w:iCs/>
          <w:sz w:val="24"/>
          <w:szCs w:val="24"/>
        </w:rPr>
        <w:t xml:space="preserve">Procédures recommandées de diagnostic et de remise en route</w:t>
      </w:r>
    </w:p>
    <w:p>
      <w:pPr>
        <w:spacing w:after="600"/>
        <w:jc w:val="center"/>
      </w:pPr>
      <w:r>
        <w:rPr>
          <w:i/>
          <w:iCs/>
          <w:sz w:val="24"/>
          <w:szCs w:val="24"/>
        </w:rPr>
        <w:t xml:space="preserve">Base de données PostgreSQL 15 (base existante 3.88)</w:t>
      </w:r>
    </w:p>
    <w:p>
      <w:pPr>
        <w:jc w:val="center"/>
      </w:pPr>
      <w:r>
        <w:rPr>
          <w:color w:val="666666"/>
          <w:sz w:val="20"/>
          <w:szCs w:val="20"/>
        </w:rPr>
        <w:t xml:space="preserve">Document technique — équipe Ops / Administration Xray</w:t>
      </w:r>
    </w:p>
    <w:p>
      <w:r>
        <w:br w:type="page"/>
      </w:r>
    </w:p>
    <w:p>
      <w:pPr>
        <w:pStyle w:val="Heading1"/>
        <w:spacing w:after="150" w:before="3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Contexte de l'incident</w:t>
      </w:r>
    </w:p>
    <w:p>
      <w:pPr>
        <w:spacing w:after="120"/>
      </w:pPr>
      <w:r>
        <w:t xml:space="preserve">L'instance de production, installée en 3.137 sur son serveur d'origine et connectée à la base de données existante, fonctionne correctement. L'environnement de staging, en revanche, repose sur de nouveaux serveurs avec une installation neuve de Xray 3.137 ; un seul nœud est installé pour l'instant, et son service RabbitMQ ne démarre pas.</w:t>
      </w:r>
    </w:p>
    <w:p>
      <w:pPr>
        <w:spacing w:after="120"/>
      </w:pPr>
      <w:r>
        <w:t xml:space="preserve">Éléments de configuration copiés depuis l'ancienne installation vers le serveur de staging : system.yaml, le répertoire etc/security et le répertoire etc/info. Le répertoire var/ complet n'a pas été copié.</w:t>
      </w:r>
    </w:p>
    <w:p>
      <w:pPr>
        <w:pBdr>
          <w:left w:val="single" w:color="C00000" w:sz="24" w:space="8"/>
        </w:pBdr>
        <w:spacing w:after="200" w:before="100"/>
        <w:ind w:left="100"/>
      </w:pPr>
      <w:r>
        <w:rPr>
          <w:b/>
          <w:bCs/>
          <w:color w:val="C00000"/>
        </w:rPr>
        <w:t xml:space="preserve">⚠ Cause racine la plus probable : la copie partielle de fichiers depuis l'ancienne installation a introduit un état RabbitMQ incohérent (cookie Erlang hérité sans le répertoire mnesia correspondant, ou system.yaml obsolète pointant vers l'ancien serveur). Sur une installation neuve, RabbitMQ doit régénérer localement son cookie et son mnesia.</w:t>
      </w:r>
    </w:p>
    <w:p>
      <w:pPr>
        <w:pStyle w:val="Heading1"/>
        <w:spacing w:after="150" w:before="300"/>
      </w:pPr>
      <w:r>
        <w:t xml:space="preserve">2. Nature exacte du problème</w:t>
      </w:r>
    </w:p>
    <w:p>
      <w:pPr>
        <w:spacing w:after="120"/>
      </w:pPr>
      <w:r>
        <w:t xml:space="preserve">Le nœud unique de staging ne forme aucun cluster : les causes classiques de clustering (cookie divergent entre nœuds, migration Quorum, feature flags multi-nœuds) ne s'appliquent donc pas ici. Le broker démarre en mono-nœud, exactement comme l'instance de production qui fonctionne.</w:t>
      </w:r>
    </w:p>
    <w:p>
      <w:pPr>
        <w:spacing w:after="120"/>
      </w:pPr>
      <w:r>
        <w:t xml:space="preserve">La question pertinente est donc : pourquoi un RabbitMQ mono-nœud neuf ne démarre-t-il pas, alors que celui de production tourne ? La différence tient à ce que la greffe partielle de fichiers a laissé dans un état incohérent.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600"/>
        <w:gridCol w:w="5500"/>
      </w:tblGrid>
      <w:tr>
        <w:trPr>
          <w:tblHeader/>
        </w:trPr>
        <w:tc>
          <w:tcPr>
            <w:tcW w:type="dxa" w:w="4600"/>
            <w:shd w:fill="1F3864" w:val="clear"/>
            <w:tcMar>
              <w:top w:type="dxa" w:w="60"/>
              <w:left w:type="dxa" w:w="100"/>
              <w:bottom w:type="dxa" w:w="60"/>
              <w:right w:type="dxa" w:w="100"/>
            </w:tcMar>
          </w:tcPr>
          <w:p>
            <w:r>
              <w:rPr>
                <w:b/>
                <w:bCs/>
                <w:color w:val="FFFFFF"/>
              </w:rPr>
              <w:t xml:space="preserve">Hypothèse écartée</w:t>
            </w:r>
          </w:p>
        </w:tc>
        <w:tc>
          <w:tcPr>
            <w:tcW w:type="dxa" w:w="5500"/>
            <w:shd w:fill="1F3864" w:val="clear"/>
            <w:tcMar>
              <w:top w:type="dxa" w:w="60"/>
              <w:left w:type="dxa" w:w="100"/>
              <w:bottom w:type="dxa" w:w="60"/>
              <w:right w:type="dxa" w:w="100"/>
            </w:tcMar>
          </w:tcPr>
          <w:p>
            <w:r>
              <w:rPr>
                <w:b/>
                <w:bCs/>
                <w:color w:val="FFFFFF"/>
              </w:rPr>
              <w:t xml:space="preserve">Raison</w:t>
            </w:r>
          </w:p>
        </w:tc>
      </w:tr>
      <w:tr>
        <w:tc>
          <w:tcPr>
            <w:tcW w:type="dxa" w:w="4600"/>
            <w:tcMar>
              <w:top w:type="dxa" w:w="60"/>
              <w:left w:type="dxa" w:w="100"/>
              <w:bottom w:type="dxa" w:w="60"/>
              <w:right w:type="dxa" w:w="100"/>
            </w:tcMar>
          </w:tcPr>
          <w:p>
            <w:r>
              <w:rPr>
                <w:b w:val="false"/>
                <w:bCs w:val="false"/>
              </w:rPr>
              <w:t xml:space="preserve">Cookie Erlang divergent entre nœuds</w:t>
            </w:r>
          </w:p>
        </w:tc>
        <w:tc>
          <w:tcPr>
            <w:tcW w:type="dxa" w:w="5500"/>
            <w:tcMar>
              <w:top w:type="dxa" w:w="60"/>
              <w:left w:type="dxa" w:w="100"/>
              <w:bottom w:type="dxa" w:w="60"/>
              <w:right w:type="dxa" w:w="100"/>
            </w:tcMar>
          </w:tcPr>
          <w:p>
            <w:r>
              <w:rPr>
                <w:b w:val="false"/>
                <w:bCs w:val="false"/>
              </w:rPr>
              <w:t xml:space="preserve">Un seul nœud installé : pas de clustering</w:t>
            </w:r>
          </w:p>
        </w:tc>
      </w:tr>
      <w:tr>
        <w:tc>
          <w:tcPr>
            <w:tcW w:type="dxa" w:w="4600"/>
            <w:shd w:fill="F2F2F2" w:val="clear"/>
            <w:tcMar>
              <w:top w:type="dxa" w:w="60"/>
              <w:left w:type="dxa" w:w="100"/>
              <w:bottom w:type="dxa" w:w="60"/>
              <w:right w:type="dxa" w:w="100"/>
            </w:tcMar>
          </w:tcPr>
          <w:p>
            <w:r>
              <w:rPr>
                <w:b w:val="false"/>
                <w:bCs w:val="false"/>
              </w:rPr>
              <w:t xml:space="preserve">Feature flags non activés sur tous les nœuds</w:t>
            </w:r>
          </w:p>
        </w:tc>
        <w:tc>
          <w:tcPr>
            <w:tcW w:type="dxa" w:w="5500"/>
            <w:shd w:fill="F2F2F2" w:val="clear"/>
            <w:tcMar>
              <w:top w:type="dxa" w:w="60"/>
              <w:left w:type="dxa" w:w="100"/>
              <w:bottom w:type="dxa" w:w="60"/>
              <w:right w:type="dxa" w:w="100"/>
            </w:tcMar>
          </w:tcPr>
          <w:p>
            <w:r>
              <w:rPr>
                <w:b w:val="false"/>
                <w:bCs w:val="false"/>
              </w:rPr>
              <w:t xml:space="preserve">Installation neuve : flags déjà à jour, pas de cluster</w:t>
            </w:r>
          </w:p>
        </w:tc>
      </w:tr>
      <w:tr>
        <w:tc>
          <w:tcPr>
            <w:tcW w:type="dxa" w:w="4600"/>
            <w:tcMar>
              <w:top w:type="dxa" w:w="60"/>
              <w:left w:type="dxa" w:w="100"/>
              <w:bottom w:type="dxa" w:w="60"/>
              <w:right w:type="dxa" w:w="100"/>
            </w:tcMar>
          </w:tcPr>
          <w:p>
            <w:r>
              <w:rPr>
                <w:b w:val="false"/>
                <w:bCs w:val="false"/>
              </w:rPr>
              <w:t xml:space="preserve">Migration Classic → Quorum bloquante</w:t>
            </w:r>
          </w:p>
        </w:tc>
        <w:tc>
          <w:tcPr>
            <w:tcW w:type="dxa" w:w="5500"/>
            <w:tcMar>
              <w:top w:type="dxa" w:w="60"/>
              <w:left w:type="dxa" w:w="100"/>
              <w:bottom w:type="dxa" w:w="60"/>
              <w:right w:type="dxa" w:w="100"/>
            </w:tcMar>
          </w:tcPr>
          <w:p>
            <w:r>
              <w:rPr>
                <w:b w:val="false"/>
                <w:bCs w:val="false"/>
              </w:rPr>
              <w:t xml:space="preserve">Ne se déclenche qu'en cluster multi-nœuds</w:t>
            </w:r>
          </w:p>
        </w:tc>
      </w:tr>
      <w:tr>
        <w:tc>
          <w:tcPr>
            <w:tcW w:type="dxa" w:w="4600"/>
            <w:shd w:fill="F2F2F2" w:val="clear"/>
            <w:tcMar>
              <w:top w:type="dxa" w:w="60"/>
              <w:left w:type="dxa" w:w="100"/>
              <w:bottom w:type="dxa" w:w="60"/>
              <w:right w:type="dxa" w:w="100"/>
            </w:tcMar>
          </w:tcPr>
          <w:p>
            <w:r>
              <w:rPr>
                <w:b w:val="false"/>
                <w:bCs w:val="false"/>
              </w:rPr>
              <w:t xml:space="preserve">Schéma PostgreSQL non migré</w:t>
            </w:r>
          </w:p>
        </w:tc>
        <w:tc>
          <w:tcPr>
            <w:tcW w:type="dxa" w:w="5500"/>
            <w:shd w:fill="F2F2F2" w:val="clear"/>
            <w:tcMar>
              <w:top w:type="dxa" w:w="60"/>
              <w:left w:type="dxa" w:w="100"/>
              <w:bottom w:type="dxa" w:w="60"/>
              <w:right w:type="dxa" w:w="100"/>
            </w:tcMar>
          </w:tcPr>
          <w:p>
            <w:r>
              <w:rPr>
                <w:b w:val="false"/>
                <w:bCs w:val="false"/>
              </w:rPr>
              <w:t xml:space="preserve">La production fonctionne sur la même version : migration réussie</w:t>
            </w:r>
          </w:p>
        </w:tc>
      </w:tr>
    </w:tbl>
    <w:p>
      <w:pPr>
        <w:pStyle w:val="Heading1"/>
        <w:spacing w:after="150" w:before="300"/>
      </w:pPr>
      <w:r>
        <w:t xml:space="preserve">3. État de la base de données</w:t>
      </w:r>
    </w:p>
    <w:p>
      <w:pPr>
        <w:spacing w:after="120"/>
      </w:pPr>
      <w:r>
        <w:t xml:space="preserve">La migration de schéma de la base est exécutée automatiquement par le service Xray server au démarrage. Le premier nœud qui se connecte avec succès à une base migre son schéma vers la nouvelle version.</w:t>
      </w:r>
    </w:p>
    <w:p>
      <w:pPr>
        <w:pBdr>
          <w:left w:val="single" w:color="2E7D32" w:sz="24" w:space="8"/>
        </w:pBdr>
        <w:spacing w:after="200" w:before="100"/>
        <w:ind w:left="100"/>
      </w:pPr>
      <w:r>
        <w:rPr>
          <w:b/>
          <w:bCs/>
          <w:color w:val="2E7D32"/>
        </w:rPr>
        <w:t xml:space="preserve">✓ L'instance de production fonctionnant en 3.137 sur la base d'origine, la migration de schéma 3.88 vers 3.137 a été réalisée avec succès sur cette base.</w:t>
      </w:r>
    </w:p>
    <w:p>
      <w:pPr>
        <w:spacing w:after="120"/>
      </w:pPr>
      <w:r>
        <w:t xml:space="preserve">La conséquence pour staging dépend de la base qu'il utilise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900"/>
      </w:tblGrid>
      <w:tr>
        <w:trPr>
          <w:tblHeader/>
        </w:trPr>
        <w:tc>
          <w:tcPr>
            <w:tcW w:type="dxa" w:w="3800"/>
            <w:shd w:fill="1F3864" w:val="clear"/>
            <w:tcMar>
              <w:top w:type="dxa" w:w="60"/>
              <w:left w:type="dxa" w:w="100"/>
              <w:bottom w:type="dxa" w:w="60"/>
              <w:right w:type="dxa" w:w="100"/>
            </w:tcMar>
          </w:tcPr>
          <w:p>
            <w:r>
              <w:rPr>
                <w:b/>
                <w:bCs/>
                <w:color w:val="FFFFFF"/>
              </w:rPr>
              <w:t xml:space="preserve">Cas</w:t>
            </w:r>
          </w:p>
        </w:tc>
        <w:tc>
          <w:tcPr>
            <w:tcW w:type="dxa" w:w="2400"/>
            <w:shd w:fill="1F3864" w:val="clear"/>
            <w:tcMar>
              <w:top w:type="dxa" w:w="60"/>
              <w:left w:type="dxa" w:w="100"/>
              <w:bottom w:type="dxa" w:w="60"/>
              <w:right w:type="dxa" w:w="100"/>
            </w:tcMar>
          </w:tcPr>
          <w:p>
            <w:r>
              <w:rPr>
                <w:b/>
                <w:bCs/>
                <w:color w:val="FFFFFF"/>
              </w:rPr>
              <w:t xml:space="preserve">État de la base</w:t>
            </w:r>
          </w:p>
        </w:tc>
        <w:tc>
          <w:tcPr>
            <w:tcW w:type="dxa" w:w="3900"/>
            <w:shd w:fill="1F3864" w:val="clear"/>
            <w:tcMar>
              <w:top w:type="dxa" w:w="60"/>
              <w:left w:type="dxa" w:w="100"/>
              <w:bottom w:type="dxa" w:w="60"/>
              <w:right w:type="dxa" w:w="100"/>
            </w:tcMar>
          </w:tcPr>
          <w:p>
            <w:r>
              <w:rPr>
                <w:b/>
                <w:bCs/>
                <w:color w:val="FFFFFF"/>
              </w:rPr>
              <w:t xml:space="preserve">Implication pour staging</w:t>
            </w:r>
          </w:p>
        </w:tc>
      </w:tr>
      <w:tr>
        <w:tc>
          <w:tcPr>
            <w:tcW w:type="dxa" w:w="3800"/>
            <w:tcMar>
              <w:top w:type="dxa" w:w="60"/>
              <w:left w:type="dxa" w:w="100"/>
              <w:bottom w:type="dxa" w:w="60"/>
              <w:right w:type="dxa" w:w="100"/>
            </w:tcMar>
          </w:tcPr>
          <w:p>
            <w:r>
              <w:rPr>
                <w:b w:val="false"/>
                <w:bCs w:val="false"/>
              </w:rPr>
              <w:t xml:space="preserve">Staging utilise la MÊME base que la production</w:t>
            </w:r>
          </w:p>
        </w:tc>
        <w:tc>
          <w:tcPr>
            <w:tcW w:type="dxa" w:w="2400"/>
            <w:tcMar>
              <w:top w:type="dxa" w:w="60"/>
              <w:left w:type="dxa" w:w="100"/>
              <w:bottom w:type="dxa" w:w="60"/>
              <w:right w:type="dxa" w:w="100"/>
            </w:tcMar>
          </w:tcPr>
          <w:p>
            <w:r>
              <w:rPr>
                <w:b w:val="false"/>
                <w:bCs w:val="false"/>
              </w:rPr>
              <w:t xml:space="preserve">Déjà migrée</w:t>
            </w:r>
          </w:p>
        </w:tc>
        <w:tc>
          <w:tcPr>
            <w:tcW w:type="dxa" w:w="3900"/>
            <w:tcMar>
              <w:top w:type="dxa" w:w="60"/>
              <w:left w:type="dxa" w:w="100"/>
              <w:bottom w:type="dxa" w:w="60"/>
              <w:right w:type="dxa" w:w="100"/>
            </w:tcMar>
          </w:tcPr>
          <w:p>
            <w:r>
              <w:rPr>
                <w:b w:val="false"/>
                <w:bCs w:val="false"/>
              </w:rPr>
              <w:t xml:space="preserve">Problème purement RabbitMQ, aucune composante base de données</w:t>
            </w:r>
          </w:p>
        </w:tc>
      </w:tr>
      <w:tr>
        <w:tc>
          <w:tcPr>
            <w:tcW w:type="dxa" w:w="3800"/>
            <w:shd w:fill="F2F2F2" w:val="clear"/>
            <w:tcMar>
              <w:top w:type="dxa" w:w="60"/>
              <w:left w:type="dxa" w:w="100"/>
              <w:bottom w:type="dxa" w:w="60"/>
              <w:right w:type="dxa" w:w="100"/>
            </w:tcMar>
          </w:tcPr>
          <w:p>
            <w:r>
              <w:rPr>
                <w:b w:val="false"/>
                <w:bCs w:val="false"/>
              </w:rPr>
              <w:t xml:space="preserve">Staging utilise une base DISTINCTE</w:t>
            </w:r>
          </w:p>
        </w:tc>
        <w:tc>
          <w:tcPr>
            <w:tcW w:type="dxa" w:w="2400"/>
            <w:shd w:fill="F2F2F2" w:val="clear"/>
            <w:tcMar>
              <w:top w:type="dxa" w:w="60"/>
              <w:left w:type="dxa" w:w="100"/>
              <w:bottom w:type="dxa" w:w="60"/>
              <w:right w:type="dxa" w:w="100"/>
            </w:tcMar>
          </w:tcPr>
          <w:p>
            <w:r>
              <w:rPr>
                <w:b w:val="false"/>
                <w:bCs w:val="false"/>
              </w:rPr>
              <w:t xml:space="preserve">Migration possiblement incomplète</w:t>
            </w:r>
          </w:p>
        </w:tc>
        <w:tc>
          <w:tcPr>
            <w:tcW w:type="dxa" w:w="3900"/>
            <w:shd w:fill="F2F2F2" w:val="clear"/>
            <w:tcMar>
              <w:top w:type="dxa" w:w="60"/>
              <w:left w:type="dxa" w:w="100"/>
              <w:bottom w:type="dxa" w:w="60"/>
              <w:right w:type="dxa" w:w="100"/>
            </w:tcMar>
          </w:tcPr>
          <w:p>
            <w:r>
              <w:rPr>
                <w:b w:val="false"/>
                <w:bCs w:val="false"/>
              </w:rPr>
              <w:t xml:space="preserve">RabbitMQ ne démarrant pas, le service Xray server peut ne pas avoir exécuté la migration</w:t>
            </w:r>
          </w:p>
        </w:tc>
      </w:tr>
    </w:tbl>
    <w:p>
      <w:pPr>
        <w:spacing w:after="120"/>
      </w:pPr>
    </w:p>
    <w:p>
      <w:pPr>
        <w:spacing w:after="120"/>
      </w:pPr>
      <w:r>
        <w:t xml:space="preserve">Vérifications à effectuer :</w:t>
      </w:r>
    </w:p>
    <w:p>
      <w:pPr>
        <w:shd w:fill="F4F4F4" w:val="clear"/>
        <w:spacing w:after="0" w:before="100"/>
        <w:ind w:left="300"/>
      </w:pPr>
      <w:r>
        <w:rPr>
          <w:rFonts w:ascii="Consolas" w:cs="Consolas" w:eastAsia="Consolas" w:hAnsi="Consolas"/>
          <w:sz w:val="18"/>
          <w:szCs w:val="18"/>
        </w:rPr>
        <w:t xml:space="preserve"># Version active sur le nœud qui fonctionne</w:t>
      </w:r>
    </w:p>
    <w:p>
      <w:pPr>
        <w:shd w:fill="F4F4F4" w:val="clear"/>
        <w:spacing w:after="0" w:before="0"/>
        <w:ind w:left="300"/>
      </w:pPr>
      <w:r>
        <w:rPr>
          <w:rFonts w:ascii="Consolas" w:cs="Consolas" w:eastAsia="Consolas" w:hAnsi="Consolas"/>
          <w:sz w:val="18"/>
          <w:szCs w:val="18"/>
        </w:rPr>
        <w:t xml:space="preserve">curl -u &lt;user&gt;:&lt;pwd&gt; http://&lt;url&gt;/xray/api/v1/system/version</w:t>
      </w:r>
    </w:p>
    <w:p>
      <w:pPr>
        <w:shd w:fill="F4F4F4" w:val="clear"/>
        <w:spacing w:after="0" w:before="0"/>
        <w:ind w:left="300"/>
      </w:pPr>
      <w:r>
        <w:rPr>
          <w:rFonts w:ascii="Consolas" w:cs="Consolas" w:eastAsia="Consolas" w:hAnsi="Consolas"/>
          <w:sz w:val="18"/>
          <w:szCs w:val="18"/>
        </w:rPr>
        <w:t xml:space="preserve"> </w:t>
      </w:r>
    </w:p>
    <w:p>
      <w:pPr>
        <w:shd w:fill="F4F4F4" w:val="clear"/>
        <w:spacing w:after="0" w:before="0"/>
        <w:ind w:left="300"/>
      </w:pPr>
      <w:r>
        <w:rPr>
          <w:rFonts w:ascii="Consolas" w:cs="Consolas" w:eastAsia="Consolas" w:hAnsi="Consolas"/>
          <w:sz w:val="18"/>
          <w:szCs w:val="18"/>
        </w:rPr>
        <w:t xml:space="preserve"># Trace de migration dans les logs applicatifs</w:t>
      </w:r>
    </w:p>
    <w:p>
      <w:pPr>
        <w:shd w:fill="F4F4F4" w:val="clear"/>
        <w:spacing w:after="0" w:before="0"/>
        <w:ind w:left="300"/>
      </w:pPr>
      <w:r>
        <w:rPr>
          <w:rFonts w:ascii="Consolas" w:cs="Consolas" w:eastAsia="Consolas" w:hAnsi="Consolas"/>
          <w:sz w:val="18"/>
          <w:szCs w:val="18"/>
        </w:rPr>
        <w:t xml:space="preserve">grep -iE "migration|schema|upgrade.*complet" \</w:t>
      </w:r>
    </w:p>
    <w:p>
      <w:pPr>
        <w:shd w:fill="F4F4F4" w:val="clear"/>
        <w:spacing w:after="160" w:before="0"/>
        <w:ind w:left="300"/>
      </w:pPr>
      <w:r>
        <w:rPr>
          <w:rFonts w:ascii="Consolas" w:cs="Consolas" w:eastAsia="Consolas" w:hAnsi="Consolas"/>
          <w:sz w:val="18"/>
          <w:szCs w:val="18"/>
        </w:rPr>
        <w:t xml:space="preserve">  $JFROG_HOME/xray/var/log/xray-server.log | tail -20</w:t>
      </w:r>
    </w:p>
    <w:p>
      <w:pPr>
        <w:pBdr>
          <w:left w:val="single" w:color="C00000" w:sz="24" w:space="8"/>
        </w:pBdr>
        <w:spacing w:after="200" w:before="100"/>
        <w:ind w:left="100"/>
      </w:pPr>
      <w:r>
        <w:rPr>
          <w:b/>
          <w:bCs/>
          <w:color w:val="C00000"/>
        </w:rPr>
        <w:t xml:space="preserve">⚠ Point à clarifier : staging utilise-t-il la même base PostgreSQL que la production, ou une base distincte ? Cette réponse détermine si la migration de schéma est un sujet à traiter ou non.</w:t>
      </w:r>
    </w:p>
    <w:p>
      <w:r>
        <w:br w:type="page"/>
      </w:r>
    </w:p>
    <w:p>
      <w:pPr>
        <w:pStyle w:val="Heading1"/>
        <w:spacing w:after="150" w:before="300"/>
      </w:pPr>
      <w:r>
        <w:t xml:space="preserve">4. Procédure de remise en route du mono-nœud</w:t>
      </w:r>
    </w:p>
    <w:p>
      <w:pPr>
        <w:pStyle w:val="Heading2"/>
        <w:spacing w:after="100" w:before="200"/>
      </w:pPr>
      <w:r>
        <w:t xml:space="preserve">4.1 Repartir d'un system.yaml propre</w:t>
      </w:r>
    </w:p>
    <w:p>
      <w:pPr>
        <w:spacing w:after="120"/>
      </w:pPr>
      <w:r>
        <w:t xml:space="preserve">Remplacer le system.yaml copié depuis la 3.88 par un fichier neuf généré par l'installeur 3.137. N'y réinjecter que : connexion PostgreSQL, jfrogUrl et joinKey. Le bloc RabbitMQ doit rester minimal en mono-nœud :</w:t>
      </w:r>
    </w:p>
    <w:p>
      <w:pPr>
        <w:shd w:fill="F4F4F4" w:val="clear"/>
        <w:spacing w:after="0" w:before="100"/>
        <w:ind w:left="300"/>
      </w:pPr>
      <w:r>
        <w:rPr>
          <w:rFonts w:ascii="Consolas" w:cs="Consolas" w:eastAsia="Consolas" w:hAnsi="Consolas"/>
          <w:sz w:val="18"/>
          <w:szCs w:val="18"/>
        </w:rPr>
        <w:t xml:space="preserve">shared:</w:t>
      </w:r>
    </w:p>
    <w:p>
      <w:pPr>
        <w:shd w:fill="F4F4F4" w:val="clear"/>
        <w:spacing w:after="0" w:before="0"/>
        <w:ind w:left="300"/>
      </w:pPr>
      <w:r>
        <w:rPr>
          <w:rFonts w:ascii="Consolas" w:cs="Consolas" w:eastAsia="Consolas" w:hAnsi="Consolas"/>
          <w:sz w:val="18"/>
          <w:szCs w:val="18"/>
        </w:rPr>
        <w:t xml:space="preserve">  rabbitMq:</w:t>
      </w:r>
    </w:p>
    <w:p>
      <w:pPr>
        <w:shd w:fill="F4F4F4" w:val="clear"/>
        <w:spacing w:after="0" w:before="0"/>
        <w:ind w:left="300"/>
      </w:pPr>
      <w:r>
        <w:rPr>
          <w:rFonts w:ascii="Consolas" w:cs="Consolas" w:eastAsia="Consolas" w:hAnsi="Consolas"/>
          <w:sz w:val="18"/>
          <w:szCs w:val="18"/>
        </w:rPr>
        <w:t xml:space="preserve">    autoStop: true</w:t>
      </w:r>
    </w:p>
    <w:p>
      <w:pPr>
        <w:shd w:fill="F4F4F4" w:val="clear"/>
        <w:spacing w:after="160" w:before="0"/>
        <w:ind w:left="300"/>
      </w:pPr>
      <w:r>
        <w:rPr>
          <w:rFonts w:ascii="Consolas" w:cs="Consolas" w:eastAsia="Consolas" w:hAnsi="Consolas"/>
          <w:sz w:val="18"/>
          <w:szCs w:val="18"/>
        </w:rPr>
        <w:t xml:space="preserve">    url: "amqp://localhost:5672/"</w:t>
      </w:r>
    </w:p>
    <w:p>
      <w:pPr>
        <w:pBdr>
          <w:left w:val="single" w:color="C00000" w:sz="24" w:space="8"/>
        </w:pBdr>
        <w:spacing w:after="200" w:before="100"/>
        <w:ind w:left="100"/>
      </w:pPr>
      <w:r>
        <w:rPr>
          <w:b/>
          <w:bCs/>
          <w:color w:val="C00000"/>
        </w:rPr>
        <w:t xml:space="preserve">⚠ Ne pas renseigner active.node.name ni erlangCookie tant qu'il n'y a qu'un seul nœud. Ces paramètres ne servent qu'au clustering et peuvent bloquer le démarrage en mono-nœud.</w:t>
      </w:r>
    </w:p>
    <w:p>
      <w:pPr>
        <w:pStyle w:val="Heading2"/>
        <w:spacing w:after="100" w:before="200"/>
      </w:pPr>
      <w:r>
        <w:t xml:space="preserve">4.2 Ne conserver que la master key de l'ancienne installation</w:t>
      </w:r>
    </w:p>
    <w:p>
      <w:pPr>
        <w:spacing w:after="120"/>
      </w:pPr>
      <w:r>
        <w:t xml:space="preserve">La master key est le seul élément réellement nécessaire pour déchiffrer les données de la base d'origine.</w:t>
      </w:r>
    </w:p>
    <w:p>
      <w:pPr>
        <w:shd w:fill="F4F4F4" w:val="clear"/>
        <w:spacing w:after="0" w:before="100"/>
        <w:ind w:left="300"/>
      </w:pPr>
      <w:r>
        <w:rPr>
          <w:rFonts w:ascii="Consolas" w:cs="Consolas" w:eastAsia="Consolas" w:hAnsi="Consolas"/>
          <w:sz w:val="18"/>
          <w:szCs w:val="18"/>
        </w:rPr>
        <w:t xml:space="preserve">ls -l $JFROG_HOME/xray/var/etc/security/master.key</w:t>
      </w:r>
    </w:p>
    <w:p>
      <w:pPr>
        <w:shd w:fill="F4F4F4" w:val="clear"/>
        <w:spacing w:after="0" w:before="0"/>
        <w:ind w:left="300"/>
      </w:pPr>
      <w:r>
        <w:rPr>
          <w:rFonts w:ascii="Consolas" w:cs="Consolas" w:eastAsia="Consolas" w:hAnsi="Consolas"/>
          <w:sz w:val="18"/>
          <w:szCs w:val="18"/>
        </w:rPr>
        <w:t xml:space="preserve">chown xray:xray $JFROG_HOME/xray/var/etc/security/master.key</w:t>
      </w:r>
    </w:p>
    <w:p>
      <w:pPr>
        <w:shd w:fill="F4F4F4" w:val="clear"/>
        <w:spacing w:after="160" w:before="0"/>
        <w:ind w:left="300"/>
      </w:pPr>
      <w:r>
        <w:rPr>
          <w:rFonts w:ascii="Consolas" w:cs="Consolas" w:eastAsia="Consolas" w:hAnsi="Consolas"/>
          <w:sz w:val="18"/>
          <w:szCs w:val="18"/>
        </w:rPr>
        <w:t xml:space="preserve">chmod 600 $JFROG_HOME/xray/var/etc/security/master.key</w:t>
      </w:r>
    </w:p>
    <w:p>
      <w:pPr>
        <w:pStyle w:val="Heading2"/>
        <w:spacing w:after="100" w:before="200"/>
      </w:pPr>
      <w:r>
        <w:t xml:space="preserve">4.3 Laisser RabbitMQ se régénérer</w:t>
      </w:r>
    </w:p>
    <w:p>
      <w:pPr>
        <w:spacing w:after="120"/>
      </w:pPr>
      <w:r>
        <w:t xml:space="preserve">Si un état RabbitMQ incohérent a été introduit (cookie hérité sans mnesia correspondant), on repart d'un état propre :</w:t>
      </w:r>
    </w:p>
    <w:p>
      <w:pPr>
        <w:shd w:fill="F4F4F4" w:val="clear"/>
        <w:spacing w:after="0" w:before="100"/>
        <w:ind w:left="300"/>
      </w:pPr>
      <w:r>
        <w:rPr>
          <w:rFonts w:ascii="Consolas" w:cs="Consolas" w:eastAsia="Consolas" w:hAnsi="Consolas"/>
          <w:sz w:val="18"/>
          <w:szCs w:val="18"/>
        </w:rPr>
        <w:t xml:space="preserve"># Arrêter Xray</w:t>
      </w:r>
    </w:p>
    <w:p>
      <w:pPr>
        <w:shd w:fill="F4F4F4" w:val="clear"/>
        <w:spacing w:after="0" w:before="0"/>
        <w:ind w:left="300"/>
      </w:pPr>
      <w:r>
        <w:rPr>
          <w:rFonts w:ascii="Consolas" w:cs="Consolas" w:eastAsia="Consolas" w:hAnsi="Consolas"/>
          <w:sz w:val="18"/>
          <w:szCs w:val="18"/>
        </w:rPr>
        <w:t xml:space="preserve">systemctl stop xray.service</w:t>
      </w:r>
    </w:p>
    <w:p>
      <w:pPr>
        <w:shd w:fill="F4F4F4" w:val="clear"/>
        <w:spacing w:after="0" w:before="0"/>
        <w:ind w:left="300"/>
      </w:pPr>
      <w:r>
        <w:rPr>
          <w:rFonts w:ascii="Consolas" w:cs="Consolas" w:eastAsia="Consolas" w:hAnsi="Consolas"/>
          <w:sz w:val="18"/>
          <w:szCs w:val="18"/>
        </w:rPr>
        <w:t xml:space="preserve"> </w:t>
      </w:r>
    </w:p>
    <w:p>
      <w:pPr>
        <w:shd w:fill="F4F4F4" w:val="clear"/>
        <w:spacing w:after="0" w:before="0"/>
        <w:ind w:left="300"/>
      </w:pPr>
      <w:r>
        <w:rPr>
          <w:rFonts w:ascii="Consolas" w:cs="Consolas" w:eastAsia="Consolas" w:hAnsi="Consolas"/>
          <w:sz w:val="18"/>
          <w:szCs w:val="18"/>
        </w:rPr>
        <w:t xml:space="preserve"># Tuer les process résiduels de l'utilisateur xray (port 25672 bloqué)</w:t>
      </w:r>
    </w:p>
    <w:p>
      <w:pPr>
        <w:shd w:fill="F4F4F4" w:val="clear"/>
        <w:spacing w:after="0" w:before="0"/>
        <w:ind w:left="300"/>
      </w:pPr>
      <w:r>
        <w:rPr>
          <w:rFonts w:ascii="Consolas" w:cs="Consolas" w:eastAsia="Consolas" w:hAnsi="Consolas"/>
          <w:sz w:val="18"/>
          <w:szCs w:val="18"/>
        </w:rPr>
        <w:t xml:space="preserve">pkill -u xray beam.smp 2&gt;/dev/null || true</w:t>
      </w:r>
    </w:p>
    <w:p>
      <w:pPr>
        <w:shd w:fill="F4F4F4" w:val="clear"/>
        <w:spacing w:after="0" w:before="0"/>
        <w:ind w:left="300"/>
      </w:pPr>
      <w:r>
        <w:rPr>
          <w:rFonts w:ascii="Consolas" w:cs="Consolas" w:eastAsia="Consolas" w:hAnsi="Consolas"/>
          <w:sz w:val="18"/>
          <w:szCs w:val="18"/>
        </w:rPr>
        <w:t xml:space="preserve">pkill -u xray epmd 2&gt;/dev/null || true</w:t>
      </w:r>
    </w:p>
    <w:p>
      <w:pPr>
        <w:shd w:fill="F4F4F4" w:val="clear"/>
        <w:spacing w:after="0" w:before="0"/>
        <w:ind w:left="300"/>
      </w:pPr>
      <w:r>
        <w:rPr>
          <w:rFonts w:ascii="Consolas" w:cs="Consolas" w:eastAsia="Consolas" w:hAnsi="Consolas"/>
          <w:sz w:val="18"/>
          <w:szCs w:val="18"/>
        </w:rPr>
        <w:t xml:space="preserve"> </w:t>
      </w:r>
    </w:p>
    <w:p>
      <w:pPr>
        <w:shd w:fill="F4F4F4" w:val="clear"/>
        <w:spacing w:after="0" w:before="0"/>
        <w:ind w:left="300"/>
      </w:pPr>
      <w:r>
        <w:rPr>
          <w:rFonts w:ascii="Consolas" w:cs="Consolas" w:eastAsia="Consolas" w:hAnsi="Consolas"/>
          <w:sz w:val="18"/>
          <w:szCs w:val="18"/>
        </w:rPr>
        <w:t xml:space="preserve"># Sauvegarder puis repartir d'un mnesia neuf</w:t>
      </w:r>
    </w:p>
    <w:p>
      <w:pPr>
        <w:shd w:fill="F4F4F4" w:val="clear"/>
        <w:spacing w:after="0" w:before="0"/>
        <w:ind w:left="300"/>
      </w:pPr>
      <w:r>
        <w:rPr>
          <w:rFonts w:ascii="Consolas" w:cs="Consolas" w:eastAsia="Consolas" w:hAnsi="Consolas"/>
          <w:sz w:val="18"/>
          <w:szCs w:val="18"/>
        </w:rPr>
        <w:t xml:space="preserve">mv $JFROG_HOME/xray/var/data/rabbitmq/mnesia \</w:t>
      </w:r>
    </w:p>
    <w:p>
      <w:pPr>
        <w:shd w:fill="F4F4F4" w:val="clear"/>
        <w:spacing w:after="0" w:before="0"/>
        <w:ind w:left="300"/>
      </w:pPr>
      <w:r>
        <w:rPr>
          <w:rFonts w:ascii="Consolas" w:cs="Consolas" w:eastAsia="Consolas" w:hAnsi="Consolas"/>
          <w:sz w:val="18"/>
          <w:szCs w:val="18"/>
        </w:rPr>
        <w:t xml:space="preserve">   $JFROG_HOME/xray/var/data/rabbitmq/mnesia.bak.$(date +%F) \</w:t>
      </w:r>
    </w:p>
    <w:p>
      <w:pPr>
        <w:shd w:fill="F4F4F4" w:val="clear"/>
        <w:spacing w:after="0" w:before="0"/>
        <w:ind w:left="300"/>
      </w:pPr>
      <w:r>
        <w:rPr>
          <w:rFonts w:ascii="Consolas" w:cs="Consolas" w:eastAsia="Consolas" w:hAnsi="Consolas"/>
          <w:sz w:val="18"/>
          <w:szCs w:val="18"/>
        </w:rPr>
        <w:t xml:space="preserve">   2&gt;/dev/null || true</w:t>
      </w:r>
    </w:p>
    <w:p>
      <w:pPr>
        <w:shd w:fill="F4F4F4" w:val="clear"/>
        <w:spacing w:after="0" w:before="0"/>
        <w:ind w:left="300"/>
      </w:pPr>
      <w:r>
        <w:rPr>
          <w:rFonts w:ascii="Consolas" w:cs="Consolas" w:eastAsia="Consolas" w:hAnsi="Consolas"/>
          <w:sz w:val="18"/>
          <w:szCs w:val="18"/>
        </w:rPr>
        <w:t xml:space="preserve"> </w:t>
      </w:r>
    </w:p>
    <w:p>
      <w:pPr>
        <w:shd w:fill="F4F4F4" w:val="clear"/>
        <w:spacing w:after="0" w:before="0"/>
        <w:ind w:left="300"/>
      </w:pPr>
      <w:r>
        <w:rPr>
          <w:rFonts w:ascii="Consolas" w:cs="Consolas" w:eastAsia="Consolas" w:hAnsi="Consolas"/>
          <w:sz w:val="18"/>
          <w:szCs w:val="18"/>
        </w:rPr>
        <w:t xml:space="preserve"># Redémarrer</w:t>
      </w:r>
    </w:p>
    <w:p>
      <w:pPr>
        <w:shd w:fill="F4F4F4" w:val="clear"/>
        <w:spacing w:after="160" w:before="0"/>
        <w:ind w:left="300"/>
      </w:pPr>
      <w:r>
        <w:rPr>
          <w:rFonts w:ascii="Consolas" w:cs="Consolas" w:eastAsia="Consolas" w:hAnsi="Consolas"/>
          <w:sz w:val="18"/>
          <w:szCs w:val="18"/>
        </w:rPr>
        <w:t xml:space="preserve">systemctl start xray.service</w:t>
      </w:r>
    </w:p>
    <w:p>
      <w:pPr>
        <w:pBdr>
          <w:left w:val="single" w:color="C00000" w:sz="24" w:space="8"/>
        </w:pBdr>
        <w:spacing w:after="200" w:before="100"/>
        <w:ind w:left="100"/>
      </w:pPr>
      <w:r>
        <w:rPr>
          <w:b/>
          <w:bCs/>
          <w:color w:val="C00000"/>
        </w:rPr>
        <w:t xml:space="preserve">⚠ Conserver la sauvegarde mnesia.bak jusqu'à validation complète du démarrage.</w:t>
      </w:r>
    </w:p>
    <w:p>
      <w:pPr>
        <w:pStyle w:val="Heading2"/>
        <w:spacing w:after="100" w:before="200"/>
      </w:pPr>
      <w:r>
        <w:t xml:space="preserve">4.4 Vérifier le démarrage</w:t>
      </w:r>
    </w:p>
    <w:p>
      <w:pPr>
        <w:shd w:fill="F4F4F4" w:val="clear"/>
        <w:spacing w:after="0" w:before="100"/>
        <w:ind w:left="300"/>
      </w:pPr>
      <w:r>
        <w:rPr>
          <w:rFonts w:ascii="Consolas" w:cs="Consolas" w:eastAsia="Consolas" w:hAnsi="Consolas"/>
          <w:sz w:val="18"/>
          <w:szCs w:val="18"/>
        </w:rPr>
        <w:t xml:space="preserve"># Log RabbitMQ</w:t>
      </w:r>
    </w:p>
    <w:p>
      <w:pPr>
        <w:shd w:fill="F4F4F4" w:val="clear"/>
        <w:spacing w:after="0" w:before="0"/>
        <w:ind w:left="300"/>
      </w:pPr>
      <w:r>
        <w:rPr>
          <w:rFonts w:ascii="Consolas" w:cs="Consolas" w:eastAsia="Consolas" w:hAnsi="Consolas"/>
          <w:sz w:val="18"/>
          <w:szCs w:val="18"/>
        </w:rPr>
        <w:t xml:space="preserve">tail -f $JFROG_HOME/xray/var/log/rabbitmq/*.log</w:t>
      </w:r>
    </w:p>
    <w:p>
      <w:pPr>
        <w:shd w:fill="F4F4F4" w:val="clear"/>
        <w:spacing w:after="0" w:before="0"/>
        <w:ind w:left="300"/>
      </w:pPr>
      <w:r>
        <w:rPr>
          <w:rFonts w:ascii="Consolas" w:cs="Consolas" w:eastAsia="Consolas" w:hAnsi="Consolas"/>
          <w:sz w:val="18"/>
          <w:szCs w:val="18"/>
        </w:rPr>
        <w:t xml:space="preserve"> </w:t>
      </w:r>
    </w:p>
    <w:p>
      <w:pPr>
        <w:shd w:fill="F4F4F4" w:val="clear"/>
        <w:spacing w:after="0" w:before="0"/>
        <w:ind w:left="300"/>
      </w:pPr>
      <w:r>
        <w:rPr>
          <w:rFonts w:ascii="Consolas" w:cs="Consolas" w:eastAsia="Consolas" w:hAnsi="Consolas"/>
          <w:sz w:val="18"/>
          <w:szCs w:val="18"/>
        </w:rPr>
        <w:t xml:space="preserve"># Statut du broker (toujours en tant qu'utilisateur xray)</w:t>
      </w:r>
    </w:p>
    <w:p>
      <w:pPr>
        <w:shd w:fill="F4F4F4" w:val="clear"/>
        <w:spacing w:after="0" w:before="0"/>
        <w:ind w:left="300"/>
      </w:pPr>
      <w:r>
        <w:rPr>
          <w:rFonts w:ascii="Consolas" w:cs="Consolas" w:eastAsia="Consolas" w:hAnsi="Consolas"/>
          <w:sz w:val="18"/>
          <w:szCs w:val="18"/>
        </w:rPr>
        <w:t xml:space="preserve">sudo -u xray $JFROG_HOME/xray/app/third-party/rabbitmq/\</w:t>
      </w:r>
    </w:p>
    <w:p>
      <w:pPr>
        <w:shd w:fill="F4F4F4" w:val="clear"/>
        <w:spacing w:after="0" w:before="0"/>
        <w:ind w:left="300"/>
      </w:pPr>
      <w:r>
        <w:rPr>
          <w:rFonts w:ascii="Consolas" w:cs="Consolas" w:eastAsia="Consolas" w:hAnsi="Consolas"/>
          <w:sz w:val="18"/>
          <w:szCs w:val="18"/>
        </w:rPr>
        <w:t xml:space="preserve">  sbin/rabbitmqctl status</w:t>
      </w:r>
    </w:p>
    <w:p>
      <w:pPr>
        <w:shd w:fill="F4F4F4" w:val="clear"/>
        <w:spacing w:after="0" w:before="0"/>
        <w:ind w:left="300"/>
      </w:pPr>
      <w:r>
        <w:rPr>
          <w:rFonts w:ascii="Consolas" w:cs="Consolas" w:eastAsia="Consolas" w:hAnsi="Consolas"/>
          <w:sz w:val="18"/>
          <w:szCs w:val="18"/>
        </w:rPr>
        <w:t xml:space="preserve"> </w:t>
      </w:r>
    </w:p>
    <w:p>
      <w:pPr>
        <w:shd w:fill="F4F4F4" w:val="clear"/>
        <w:spacing w:after="0" w:before="0"/>
        <w:ind w:left="300"/>
      </w:pPr>
      <w:r>
        <w:rPr>
          <w:rFonts w:ascii="Consolas" w:cs="Consolas" w:eastAsia="Consolas" w:hAnsi="Consolas"/>
          <w:sz w:val="18"/>
          <w:szCs w:val="18"/>
        </w:rPr>
        <w:t xml:space="preserve"># Log applicatif Xray</w:t>
      </w:r>
    </w:p>
    <w:p>
      <w:pPr>
        <w:shd w:fill="F4F4F4" w:val="clear"/>
        <w:spacing w:after="160" w:before="0"/>
        <w:ind w:left="300"/>
      </w:pPr>
      <w:r>
        <w:rPr>
          <w:rFonts w:ascii="Consolas" w:cs="Consolas" w:eastAsia="Consolas" w:hAnsi="Consolas"/>
          <w:sz w:val="18"/>
          <w:szCs w:val="18"/>
        </w:rPr>
        <w:t xml:space="preserve">tail -f $JFROG_HOME/xray/var/log/xray-server.log</w:t>
      </w:r>
    </w:p>
    <w:p>
      <w:pPr>
        <w:pStyle w:val="Heading1"/>
        <w:spacing w:after="150" w:before="300"/>
      </w:pPr>
      <w:r>
        <w:t xml:space="preserve">5. Diagnostic express par message de log</w:t>
      </w:r>
    </w:p>
    <w:p>
      <w:pPr>
        <w:spacing w:after="120"/>
      </w:pPr>
      <w:r>
        <w:t xml:space="preserve">Commande de diagnostic à exécuter sur le log RabbitMQ de staging :</w:t>
      </w:r>
    </w:p>
    <w:p>
      <w:pPr>
        <w:shd w:fill="F4F4F4" w:val="clear"/>
        <w:spacing w:after="0" w:before="100"/>
        <w:ind w:left="300"/>
      </w:pPr>
      <w:r>
        <w:rPr>
          <w:rFonts w:ascii="Consolas" w:cs="Consolas" w:eastAsia="Consolas" w:hAnsi="Consolas"/>
          <w:sz w:val="18"/>
          <w:szCs w:val="18"/>
        </w:rPr>
        <w:t xml:space="preserve">grep -iE "BOOT FAILED|disabled_required_feature_flag|cookie|\</w:t>
      </w:r>
    </w:p>
    <w:p>
      <w:pPr>
        <w:shd w:fill="F4F4F4" w:val="clear"/>
        <w:spacing w:after="0" w:before="0"/>
        <w:ind w:left="300"/>
      </w:pPr>
      <w:r>
        <w:rPr>
          <w:rFonts w:ascii="Consolas" w:cs="Consolas" w:eastAsia="Consolas" w:hAnsi="Consolas"/>
          <w:sz w:val="18"/>
          <w:szCs w:val="18"/>
        </w:rPr>
        <w:t xml:space="preserve">auth|mnesia|inconsistent|25672|erlang" \</w:t>
      </w:r>
    </w:p>
    <w:p>
      <w:pPr>
        <w:shd w:fill="F4F4F4" w:val="clear"/>
        <w:spacing w:after="160" w:before="0"/>
        <w:ind w:left="300"/>
      </w:pPr>
      <w:r>
        <w:rPr>
          <w:rFonts w:ascii="Consolas" w:cs="Consolas" w:eastAsia="Consolas" w:hAnsi="Consolas"/>
          <w:sz w:val="18"/>
          <w:szCs w:val="18"/>
        </w:rPr>
        <w:t xml:space="preserve">  $JFROG_HOME/xray/var/log/rabbitmq/*.log | tail -20</w:t>
      </w:r>
    </w:p>
    <w:p>
      <w:pPr>
        <w:spacing w:after="12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600"/>
      </w:tblGrid>
      <w:tr>
        <w:trPr>
          <w:tblHeader/>
        </w:trPr>
        <w:tc>
          <w:tcPr>
            <w:tcW w:type="dxa" w:w="3400"/>
            <w:shd w:fill="1F3864" w:val="clear"/>
            <w:tcMar>
              <w:top w:type="dxa" w:w="60"/>
              <w:left w:type="dxa" w:w="100"/>
              <w:bottom w:type="dxa" w:w="60"/>
              <w:right w:type="dxa" w:w="100"/>
            </w:tcMar>
          </w:tcPr>
          <w:p>
            <w:r>
              <w:rPr>
                <w:b/>
                <w:bCs/>
                <w:color w:val="FFFFFF"/>
              </w:rPr>
              <w:t xml:space="preserve">Message dans le log</w:t>
            </w:r>
          </w:p>
        </w:tc>
        <w:tc>
          <w:tcPr>
            <w:tcW w:type="dxa" w:w="3100"/>
            <w:shd w:fill="1F3864" w:val="clear"/>
            <w:tcMar>
              <w:top w:type="dxa" w:w="60"/>
              <w:left w:type="dxa" w:w="100"/>
              <w:bottom w:type="dxa" w:w="60"/>
              <w:right w:type="dxa" w:w="100"/>
            </w:tcMar>
          </w:tcPr>
          <w:p>
            <w:r>
              <w:rPr>
                <w:b/>
                <w:bCs/>
                <w:color w:val="FFFFFF"/>
              </w:rPr>
              <w:t xml:space="preserve">Cause</w:t>
            </w:r>
          </w:p>
        </w:tc>
        <w:tc>
          <w:tcPr>
            <w:tcW w:type="dxa" w:w="3600"/>
            <w:shd w:fill="1F3864" w:val="clear"/>
            <w:tcMar>
              <w:top w:type="dxa" w:w="60"/>
              <w:left w:type="dxa" w:w="100"/>
              <w:bottom w:type="dxa" w:w="60"/>
              <w:right w:type="dxa" w:w="100"/>
            </w:tcMar>
          </w:tcPr>
          <w:p>
            <w:r>
              <w:rPr>
                <w:b/>
                <w:bCs/>
                <w:color w:val="FFFFFF"/>
              </w:rPr>
              <w:t xml:space="preserve">Action corrective</w:t>
            </w:r>
          </w:p>
        </w:tc>
      </w:tr>
      <w:tr>
        <w:tc>
          <w:tcPr>
            <w:tcW w:type="dxa" w:w="3400"/>
            <w:tcMar>
              <w:top w:type="dxa" w:w="60"/>
              <w:left w:type="dxa" w:w="100"/>
              <w:bottom w:type="dxa" w:w="60"/>
              <w:right w:type="dxa" w:w="100"/>
            </w:tcMar>
          </w:tcPr>
          <w:p>
            <w:r>
              <w:rPr>
                <w:b w:val="false"/>
                <w:bCs w:val="false"/>
              </w:rPr>
              <w:t xml:space="preserve">Could not auth / cookie</w:t>
            </w:r>
          </w:p>
        </w:tc>
        <w:tc>
          <w:tcPr>
            <w:tcW w:type="dxa" w:w="3100"/>
            <w:tcMar>
              <w:top w:type="dxa" w:w="60"/>
              <w:left w:type="dxa" w:w="100"/>
              <w:bottom w:type="dxa" w:w="60"/>
              <w:right w:type="dxa" w:w="100"/>
            </w:tcMar>
          </w:tcPr>
          <w:p>
            <w:r>
              <w:rPr>
                <w:b w:val="false"/>
                <w:bCs w:val="false"/>
              </w:rPr>
              <w:t xml:space="preserve">Cookie Erlang incohérent</w:t>
            </w:r>
          </w:p>
        </w:tc>
        <w:tc>
          <w:tcPr>
            <w:tcW w:type="dxa" w:w="3600"/>
            <w:tcMar>
              <w:top w:type="dxa" w:w="60"/>
              <w:left w:type="dxa" w:w="100"/>
              <w:bottom w:type="dxa" w:w="60"/>
              <w:right w:type="dxa" w:w="100"/>
            </w:tcMar>
          </w:tcPr>
          <w:p>
            <w:r>
              <w:rPr>
                <w:b w:val="false"/>
                <w:bCs w:val="false"/>
              </w:rPr>
              <w:t xml:space="preserve">Laisser régénérer (section 4.3)</w:t>
            </w:r>
          </w:p>
        </w:tc>
      </w:tr>
      <w:tr>
        <w:tc>
          <w:tcPr>
            <w:tcW w:type="dxa" w:w="3400"/>
            <w:shd w:fill="F2F2F2" w:val="clear"/>
            <w:tcMar>
              <w:top w:type="dxa" w:w="60"/>
              <w:left w:type="dxa" w:w="100"/>
              <w:bottom w:type="dxa" w:w="60"/>
              <w:right w:type="dxa" w:w="100"/>
            </w:tcMar>
          </w:tcPr>
          <w:p>
            <w:r>
              <w:rPr>
                <w:b w:val="false"/>
                <w:bCs w:val="false"/>
              </w:rPr>
              <w:t xml:space="preserve">inconsistent / mnesia</w:t>
            </w:r>
          </w:p>
        </w:tc>
        <w:tc>
          <w:tcPr>
            <w:tcW w:type="dxa" w:w="3100"/>
            <w:shd w:fill="F2F2F2" w:val="clear"/>
            <w:tcMar>
              <w:top w:type="dxa" w:w="60"/>
              <w:left w:type="dxa" w:w="100"/>
              <w:bottom w:type="dxa" w:w="60"/>
              <w:right w:type="dxa" w:w="100"/>
            </w:tcMar>
          </w:tcPr>
          <w:p>
            <w:r>
              <w:rPr>
                <w:b w:val="false"/>
                <w:bCs w:val="false"/>
              </w:rPr>
              <w:t xml:space="preserve">État mnesia hérité</w:t>
            </w:r>
          </w:p>
        </w:tc>
        <w:tc>
          <w:tcPr>
            <w:tcW w:type="dxa" w:w="3600"/>
            <w:shd w:fill="F2F2F2" w:val="clear"/>
            <w:tcMar>
              <w:top w:type="dxa" w:w="60"/>
              <w:left w:type="dxa" w:w="100"/>
              <w:bottom w:type="dxa" w:w="60"/>
              <w:right w:type="dxa" w:w="100"/>
            </w:tcMar>
          </w:tcPr>
          <w:p>
            <w:r>
              <w:rPr>
                <w:b w:val="false"/>
                <w:bCs w:val="false"/>
              </w:rPr>
              <w:t xml:space="preserve">Purger le mnesia (section 4.3)</w:t>
            </w:r>
          </w:p>
        </w:tc>
      </w:tr>
      <w:tr>
        <w:tc>
          <w:tcPr>
            <w:tcW w:type="dxa" w:w="3400"/>
            <w:tcMar>
              <w:top w:type="dxa" w:w="60"/>
              <w:left w:type="dxa" w:w="100"/>
              <w:bottom w:type="dxa" w:w="60"/>
              <w:right w:type="dxa" w:w="100"/>
            </w:tcMar>
          </w:tcPr>
          <w:p>
            <w:r>
              <w:rPr>
                <w:b w:val="false"/>
                <w:bCs w:val="false"/>
              </w:rPr>
              <w:t xml:space="preserve">25672 / port in use</w:t>
            </w:r>
          </w:p>
        </w:tc>
        <w:tc>
          <w:tcPr>
            <w:tcW w:type="dxa" w:w="3100"/>
            <w:tcMar>
              <w:top w:type="dxa" w:w="60"/>
              <w:left w:type="dxa" w:w="100"/>
              <w:bottom w:type="dxa" w:w="60"/>
              <w:right w:type="dxa" w:w="100"/>
            </w:tcMar>
          </w:tcPr>
          <w:p>
            <w:r>
              <w:rPr>
                <w:b w:val="false"/>
                <w:bCs w:val="false"/>
              </w:rPr>
              <w:t xml:space="preserve">Process RabbitMQ résiduel</w:t>
            </w:r>
          </w:p>
        </w:tc>
        <w:tc>
          <w:tcPr>
            <w:tcW w:type="dxa" w:w="3600"/>
            <w:tcMar>
              <w:top w:type="dxa" w:w="60"/>
              <w:left w:type="dxa" w:w="100"/>
              <w:bottom w:type="dxa" w:w="60"/>
              <w:right w:type="dxa" w:w="100"/>
            </w:tcMar>
          </w:tcPr>
          <w:p>
            <w:r>
              <w:rPr>
                <w:b w:val="false"/>
                <w:bCs w:val="false"/>
              </w:rPr>
              <w:t xml:space="preserve">Tuer les process (section 4.3)</w:t>
            </w:r>
          </w:p>
        </w:tc>
      </w:tr>
      <w:tr>
        <w:tc>
          <w:tcPr>
            <w:tcW w:type="dxa" w:w="3400"/>
            <w:shd w:fill="F2F2F2" w:val="clear"/>
            <w:tcMar>
              <w:top w:type="dxa" w:w="60"/>
              <w:left w:type="dxa" w:w="100"/>
              <w:bottom w:type="dxa" w:w="60"/>
              <w:right w:type="dxa" w:w="100"/>
            </w:tcMar>
          </w:tcPr>
          <w:p>
            <w:r>
              <w:rPr>
                <w:b w:val="false"/>
                <w:bCs w:val="false"/>
              </w:rPr>
              <w:t xml:space="preserve">Erreur de parsing / IP invalide</w:t>
            </w:r>
          </w:p>
        </w:tc>
        <w:tc>
          <w:tcPr>
            <w:tcW w:type="dxa" w:w="3100"/>
            <w:shd w:fill="F2F2F2" w:val="clear"/>
            <w:tcMar>
              <w:top w:type="dxa" w:w="60"/>
              <w:left w:type="dxa" w:w="100"/>
              <w:bottom w:type="dxa" w:w="60"/>
              <w:right w:type="dxa" w:w="100"/>
            </w:tcMar>
          </w:tcPr>
          <w:p>
            <w:r>
              <w:rPr>
                <w:b w:val="false"/>
                <w:bCs w:val="false"/>
              </w:rPr>
              <w:t xml:space="preserve">system.yaml hérité de la 3.88</w:t>
            </w:r>
          </w:p>
        </w:tc>
        <w:tc>
          <w:tcPr>
            <w:tcW w:type="dxa" w:w="3600"/>
            <w:shd w:fill="F2F2F2" w:val="clear"/>
            <w:tcMar>
              <w:top w:type="dxa" w:w="60"/>
              <w:left w:type="dxa" w:w="100"/>
              <w:bottom w:type="dxa" w:w="60"/>
              <w:right w:type="dxa" w:w="100"/>
            </w:tcMar>
          </w:tcPr>
          <w:p>
            <w:r>
              <w:rPr>
                <w:b w:val="false"/>
                <w:bCs w:val="false"/>
              </w:rPr>
              <w:t xml:space="preserve">Repartir du fichier propre (section 4.1)</w:t>
            </w:r>
          </w:p>
        </w:tc>
      </w:tr>
      <w:tr>
        <w:tc>
          <w:tcPr>
            <w:tcW w:type="dxa" w:w="3400"/>
            <w:tcMar>
              <w:top w:type="dxa" w:w="60"/>
              <w:left w:type="dxa" w:w="100"/>
              <w:bottom w:type="dxa" w:w="60"/>
              <w:right w:type="dxa" w:w="100"/>
            </w:tcMar>
          </w:tcPr>
          <w:p>
            <w:r>
              <w:rPr>
                <w:b w:val="false"/>
                <w:bCs w:val="false"/>
              </w:rPr>
              <w:t xml:space="preserve">Version Erlang / OTP</w:t>
            </w:r>
          </w:p>
        </w:tc>
        <w:tc>
          <w:tcPr>
            <w:tcW w:type="dxa" w:w="3100"/>
            <w:tcMar>
              <w:top w:type="dxa" w:w="60"/>
              <w:left w:type="dxa" w:w="100"/>
              <w:bottom w:type="dxa" w:w="60"/>
              <w:right w:type="dxa" w:w="100"/>
            </w:tcMar>
          </w:tcPr>
          <w:p>
            <w:r>
              <w:rPr>
                <w:b w:val="false"/>
                <w:bCs w:val="false"/>
              </w:rPr>
              <w:t xml:space="preserve">Package Erlang incomplet</w:t>
            </w:r>
          </w:p>
        </w:tc>
        <w:tc>
          <w:tcPr>
            <w:tcW w:type="dxa" w:w="3600"/>
            <w:tcMar>
              <w:top w:type="dxa" w:w="60"/>
              <w:left w:type="dxa" w:w="100"/>
              <w:bottom w:type="dxa" w:w="60"/>
              <w:right w:type="dxa" w:w="100"/>
            </w:tcMar>
          </w:tcPr>
          <w:p>
            <w:r>
              <w:rPr>
                <w:b w:val="false"/>
                <w:bCs w:val="false"/>
              </w:rPr>
              <w:t xml:space="preserve">Vérifier Erlang 26 sur le serveur</w:t>
            </w:r>
          </w:p>
        </w:tc>
      </w:tr>
    </w:tbl>
    <w:p>
      <w:pPr>
        <w:spacing w:after="120"/>
      </w:pPr>
    </w:p>
    <w:p>
      <w:pPr>
        <w:spacing w:after="120"/>
      </w:pPr>
      <w:r>
        <w:t xml:space="preserve">Vérifier la version d'Erlang du serveur (Xray 3.137 attend Erlang 26) :</w:t>
      </w:r>
    </w:p>
    <w:p>
      <w:pPr>
        <w:shd w:fill="F4F4F4" w:val="clear"/>
        <w:spacing w:after="160" w:before="100"/>
        <w:ind w:left="300"/>
      </w:pPr>
      <w:r>
        <w:rPr>
          <w:rFonts w:ascii="Consolas" w:cs="Consolas" w:eastAsia="Consolas" w:hAnsi="Consolas"/>
          <w:sz w:val="18"/>
          <w:szCs w:val="18"/>
        </w:rPr>
        <w:t xml:space="preserve">erl -version</w:t>
      </w:r>
    </w:p>
    <w:p>
      <w:pPr>
        <w:pStyle w:val="Heading1"/>
        <w:spacing w:after="150" w:before="300"/>
      </w:pPr>
      <w:r>
        <w:t xml:space="preserve">6. La migration Quorum est-elle nécessaire ?</w:t>
      </w:r>
    </w:p>
    <w:p>
      <w:pPr>
        <w:spacing w:after="120"/>
      </w:pPr>
      <w:r>
        <w:t xml:space="preserve">Non. La migration vers les Quorum Queues n'est pas obligatoire pour faire fonctionner Xray 3.137.</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700"/>
        <w:gridCol w:w="5400"/>
      </w:tblGrid>
      <w:tr>
        <w:trPr>
          <w:tblHeader/>
        </w:trPr>
        <w:tc>
          <w:tcPr>
            <w:tcW w:type="dxa" w:w="4700"/>
            <w:shd w:fill="1F3864" w:val="clear"/>
            <w:tcMar>
              <w:top w:type="dxa" w:w="60"/>
              <w:left w:type="dxa" w:w="100"/>
              <w:bottom w:type="dxa" w:w="60"/>
              <w:right w:type="dxa" w:w="100"/>
            </w:tcMar>
          </w:tcPr>
          <w:p>
            <w:r>
              <w:rPr>
                <w:b/>
                <w:bCs/>
                <w:color w:val="FFFFFF"/>
              </w:rPr>
              <w:t xml:space="preserve">Élément</w:t>
            </w:r>
          </w:p>
        </w:tc>
        <w:tc>
          <w:tcPr>
            <w:tcW w:type="dxa" w:w="5400"/>
            <w:shd w:fill="1F3864" w:val="clear"/>
            <w:tcMar>
              <w:top w:type="dxa" w:w="60"/>
              <w:left w:type="dxa" w:w="100"/>
              <w:bottom w:type="dxa" w:w="60"/>
              <w:right w:type="dxa" w:w="100"/>
            </w:tcMar>
          </w:tcPr>
          <w:p>
            <w:r>
              <w:rPr>
                <w:b/>
                <w:bCs/>
                <w:color w:val="FFFFFF"/>
              </w:rPr>
              <w:t xml:space="preserve">Statut en Xray 3.137</w:t>
            </w:r>
          </w:p>
        </w:tc>
      </w:tr>
      <w:tr>
        <w:tc>
          <w:tcPr>
            <w:tcW w:type="dxa" w:w="4700"/>
            <w:tcMar>
              <w:top w:type="dxa" w:w="60"/>
              <w:left w:type="dxa" w:w="100"/>
              <w:bottom w:type="dxa" w:w="60"/>
              <w:right w:type="dxa" w:w="100"/>
            </w:tcMar>
          </w:tcPr>
          <w:p>
            <w:r>
              <w:rPr>
                <w:b w:val="false"/>
                <w:bCs w:val="false"/>
              </w:rPr>
              <w:t xml:space="preserve">Fonctionner en Classic Queues</w:t>
            </w:r>
          </w:p>
        </w:tc>
        <w:tc>
          <w:tcPr>
            <w:tcW w:type="dxa" w:w="5400"/>
            <w:tcMar>
              <w:top w:type="dxa" w:w="60"/>
              <w:left w:type="dxa" w:w="100"/>
              <w:bottom w:type="dxa" w:w="60"/>
              <w:right w:type="dxa" w:w="100"/>
            </w:tcMar>
          </w:tcPr>
          <w:p>
            <w:r>
              <w:rPr>
                <w:b w:val="false"/>
                <w:bCs w:val="false"/>
              </w:rPr>
              <w:t xml:space="preserve">Toujours supporté (comportement par défaut)</w:t>
            </w:r>
          </w:p>
        </w:tc>
      </w:tr>
      <w:tr>
        <w:tc>
          <w:tcPr>
            <w:tcW w:type="dxa" w:w="4700"/>
            <w:shd w:fill="F2F2F2" w:val="clear"/>
            <w:tcMar>
              <w:top w:type="dxa" w:w="60"/>
              <w:left w:type="dxa" w:w="100"/>
              <w:bottom w:type="dxa" w:w="60"/>
              <w:right w:type="dxa" w:w="100"/>
            </w:tcMar>
          </w:tcPr>
          <w:p>
            <w:r>
              <w:rPr>
                <w:b w:val="false"/>
                <w:bCs w:val="false"/>
              </w:rPr>
              <w:t xml:space="preserve">Migrer vers Quorum Queues</w:t>
            </w:r>
          </w:p>
        </w:tc>
        <w:tc>
          <w:tcPr>
            <w:tcW w:type="dxa" w:w="5400"/>
            <w:shd w:fill="F2F2F2" w:val="clear"/>
            <w:tcMar>
              <w:top w:type="dxa" w:w="60"/>
              <w:left w:type="dxa" w:w="100"/>
              <w:bottom w:type="dxa" w:w="60"/>
              <w:right w:type="dxa" w:w="100"/>
            </w:tcMar>
          </w:tcPr>
          <w:p>
            <w:r>
              <w:rPr>
                <w:b w:val="false"/>
                <w:bCs w:val="false"/>
              </w:rPr>
              <w:t xml:space="preserve">Recommandé, non obligatoire</w:t>
            </w:r>
          </w:p>
        </w:tc>
      </w:tr>
      <w:tr>
        <w:tc>
          <w:tcPr>
            <w:tcW w:type="dxa" w:w="4700"/>
            <w:tcMar>
              <w:top w:type="dxa" w:w="60"/>
              <w:left w:type="dxa" w:w="100"/>
              <w:bottom w:type="dxa" w:w="60"/>
              <w:right w:type="dxa" w:w="100"/>
            </w:tcMar>
          </w:tcPr>
          <w:p>
            <w:r>
              <w:rPr>
                <w:b w:val="false"/>
                <w:bCs w:val="false"/>
              </w:rPr>
              <w:t xml:space="preserve">Quorum Queues si passage à RabbitMQ 4.x</w:t>
            </w:r>
          </w:p>
        </w:tc>
        <w:tc>
          <w:tcPr>
            <w:tcW w:type="dxa" w:w="5400"/>
            <w:tcMar>
              <w:top w:type="dxa" w:w="60"/>
              <w:left w:type="dxa" w:w="100"/>
              <w:bottom w:type="dxa" w:w="60"/>
              <w:right w:type="dxa" w:w="100"/>
            </w:tcMar>
          </w:tcPr>
          <w:p>
            <w:r>
              <w:rPr>
                <w:b w:val="false"/>
                <w:bCs w:val="false"/>
              </w:rPr>
              <w:t xml:space="preserve">Obligatoire à ce moment-là uniquement</w:t>
            </w:r>
          </w:p>
        </w:tc>
      </w:tr>
    </w:tbl>
    <w:p>
      <w:pPr>
        <w:spacing w:after="120"/>
      </w:pPr>
    </w:p>
    <w:p>
      <w:pPr>
        <w:pStyle w:val="ListParagraph"/>
        <w:numPr>
          <w:ilvl w:val="0"/>
          <w:numId w:val="2"/>
        </w:numPr>
        <w:spacing w:after="60"/>
      </w:pPr>
      <w:r>
        <w:t xml:space="preserve">En mono-nœud, ni le Classic mirroring ni les Quorum Queues n'apportent quoi que ce soit : il n'y a pas de réplication.</w:t>
      </w:r>
    </w:p>
    <w:p>
      <w:pPr>
        <w:pStyle w:val="ListParagraph"/>
        <w:numPr>
          <w:ilvl w:val="0"/>
          <w:numId w:val="2"/>
        </w:numPr>
        <w:spacing w:after="60"/>
      </w:pPr>
      <w:r>
        <w:t xml:space="preserve">La migration Quorum ne se déclenche même pas en mono-nœud : elle attend que tous les nœuds du cluster soient upgradés.</w:t>
      </w:r>
    </w:p>
    <w:p>
      <w:pPr>
        <w:pStyle w:val="ListParagraph"/>
        <w:numPr>
          <w:ilvl w:val="0"/>
          <w:numId w:val="2"/>
        </w:numPr>
        <w:spacing w:after="60"/>
      </w:pPr>
      <w:r>
        <w:t xml:space="preserve">Le problème de démarrage actuel n'a aucun rapport avec les Quorum Queues : ne pas mêler ce sujet à la résolution de l'incident.</w:t>
      </w:r>
    </w:p>
    <w:p>
      <w:pPr>
        <w:pBdr>
          <w:left w:val="single" w:color="C00000" w:sz="24" w:space="8"/>
        </w:pBdr>
        <w:spacing w:after="200" w:before="100"/>
        <w:ind w:left="100"/>
      </w:pPr>
      <w:r>
        <w:rPr>
          <w:b/>
          <w:bCs/>
          <w:color w:val="C00000"/>
        </w:rPr>
        <w:t xml:space="preserve">⚠ Avant tout futur passage à RabbitMQ 4.x, la migration Quorum devient un prérequis strict : basculer vers RabbitMQ 4.x sans migration préalable entraîne une perte de données et impose une réindexation complète des dépôts.</w:t>
      </w:r>
    </w:p>
    <w:p>
      <w:pPr>
        <w:pStyle w:val="Heading1"/>
        <w:spacing w:after="150" w:before="300"/>
      </w:pPr>
      <w:r>
        <w:t xml:space="preserve">7. Ajout du 2ᵉ nœud (évolution HA ultérieure)</w:t>
      </w:r>
    </w:p>
    <w:p>
      <w:pPr>
        <w:spacing w:after="120"/>
      </w:pPr>
      <w:r>
        <w:t xml:space="preserve">À réaliser uniquement une fois le mono-nœud stable et validé.</w:t>
      </w:r>
    </w:p>
    <w:p>
      <w:pPr>
        <w:pStyle w:val="Heading2"/>
        <w:spacing w:after="100" w:before="200"/>
      </w:pPr>
      <w:r>
        <w:t xml:space="preserve">7.1 Exigences pour le clustering</w:t>
      </w:r>
    </w:p>
    <w:p>
      <w:pPr>
        <w:pStyle w:val="ListParagraph"/>
        <w:numPr>
          <w:ilvl w:val="0"/>
          <w:numId w:val="2"/>
        </w:numPr>
        <w:spacing w:after="60"/>
      </w:pPr>
      <w:r>
        <w:t xml:space="preserve">master.key strictement identique sur les deux nœuds (obligatoire).</w:t>
      </w:r>
    </w:p>
    <w:p>
      <w:pPr>
        <w:pStyle w:val="ListParagraph"/>
        <w:numPr>
          <w:ilvl w:val="0"/>
          <w:numId w:val="2"/>
        </w:numPr>
        <w:spacing w:after="60"/>
      </w:pPr>
      <w:r>
        <w:t xml:space="preserve">Cookie Erlang identique sur les deux nœuds (obligatoire pour l'authentification inter-nœuds).</w:t>
      </w:r>
    </w:p>
    <w:p>
      <w:pPr>
        <w:pStyle w:val="ListParagraph"/>
        <w:numPr>
          <w:ilvl w:val="0"/>
          <w:numId w:val="2"/>
        </w:numPr>
        <w:spacing w:after="60"/>
      </w:pPr>
      <w:r>
        <w:t xml:space="preserve">Même version Xray (3.137) et même version Erlang (26) sur les deux nœuds.</w:t>
      </w:r>
    </w:p>
    <w:p>
      <w:pPr>
        <w:pStyle w:val="ListParagraph"/>
        <w:numPr>
          <w:ilvl w:val="0"/>
          <w:numId w:val="2"/>
        </w:numPr>
        <w:spacing w:after="60"/>
      </w:pPr>
      <w:r>
        <w:t xml:space="preserve">Feature flags activés sur chaque nœud après jonction (rabbitmqctl enable_feature_flag all).</w:t>
      </w:r>
    </w:p>
    <w:p>
      <w:pPr>
        <w:pStyle w:val="ListParagraph"/>
        <w:numPr>
          <w:ilvl w:val="0"/>
          <w:numId w:val="2"/>
        </w:numPr>
        <w:spacing w:after="60"/>
      </w:pPr>
      <w:r>
        <w:t xml:space="preserve">Résolution de hostname fonctionnelle entre les nœuds (short hostname par défaut ; activer le long hostname si FQDN requis).</w:t>
      </w:r>
    </w:p>
    <w:p>
      <w:pPr>
        <w:pStyle w:val="Heading2"/>
        <w:spacing w:after="100" w:before="200"/>
      </w:pPr>
      <w:r>
        <w:t xml:space="preserve">7.2 Configuration du nœud secondaire</w:t>
      </w:r>
    </w:p>
    <w:p>
      <w:pPr>
        <w:shd w:fill="F4F4F4" w:val="clear"/>
        <w:spacing w:after="0" w:before="100"/>
        <w:ind w:left="300"/>
      </w:pPr>
      <w:r>
        <w:rPr>
          <w:rFonts w:ascii="Consolas" w:cs="Consolas" w:eastAsia="Consolas" w:hAnsi="Consolas"/>
          <w:sz w:val="18"/>
          <w:szCs w:val="18"/>
        </w:rPr>
        <w:t xml:space="preserve">shared:</w:t>
      </w:r>
    </w:p>
    <w:p>
      <w:pPr>
        <w:shd w:fill="F4F4F4" w:val="clear"/>
        <w:spacing w:after="0" w:before="0"/>
        <w:ind w:left="300"/>
      </w:pPr>
      <w:r>
        <w:rPr>
          <w:rFonts w:ascii="Consolas" w:cs="Consolas" w:eastAsia="Consolas" w:hAnsi="Consolas"/>
          <w:sz w:val="18"/>
          <w:szCs w:val="18"/>
        </w:rPr>
        <w:t xml:space="preserve">  rabbitMq:</w:t>
      </w:r>
    </w:p>
    <w:p>
      <w:pPr>
        <w:shd w:fill="F4F4F4" w:val="clear"/>
        <w:spacing w:after="0" w:before="0"/>
        <w:ind w:left="300"/>
      </w:pPr>
      <w:r>
        <w:rPr>
          <w:rFonts w:ascii="Consolas" w:cs="Consolas" w:eastAsia="Consolas" w:hAnsi="Consolas"/>
          <w:sz w:val="18"/>
          <w:szCs w:val="18"/>
        </w:rPr>
        <w:t xml:space="preserve">    autoStop: true</w:t>
      </w:r>
    </w:p>
    <w:p>
      <w:pPr>
        <w:shd w:fill="F4F4F4" w:val="clear"/>
        <w:spacing w:after="0" w:before="0"/>
        <w:ind w:left="300"/>
      </w:pPr>
      <w:r>
        <w:rPr>
          <w:rFonts w:ascii="Consolas" w:cs="Consolas" w:eastAsia="Consolas" w:hAnsi="Consolas"/>
          <w:sz w:val="18"/>
          <w:szCs w:val="18"/>
        </w:rPr>
        <w:t xml:space="preserve">    active:</w:t>
      </w:r>
    </w:p>
    <w:p>
      <w:pPr>
        <w:shd w:fill="F4F4F4" w:val="clear"/>
        <w:spacing w:after="0" w:before="0"/>
        <w:ind w:left="300"/>
      </w:pPr>
      <w:r>
        <w:rPr>
          <w:rFonts w:ascii="Consolas" w:cs="Consolas" w:eastAsia="Consolas" w:hAnsi="Consolas"/>
          <w:sz w:val="18"/>
          <w:szCs w:val="18"/>
        </w:rPr>
        <w:t xml:space="preserve">      node:</w:t>
      </w:r>
    </w:p>
    <w:p>
      <w:pPr>
        <w:shd w:fill="F4F4F4" w:val="clear"/>
        <w:spacing w:after="0" w:before="0"/>
        <w:ind w:left="300"/>
      </w:pPr>
      <w:r>
        <w:rPr>
          <w:rFonts w:ascii="Consolas" w:cs="Consolas" w:eastAsia="Consolas" w:hAnsi="Consolas"/>
          <w:sz w:val="18"/>
          <w:szCs w:val="18"/>
        </w:rPr>
        <w:t xml:space="preserve">        name: &lt;hostname-du-noeud-1&gt;   # nœud actif à rejoindre</w:t>
      </w:r>
    </w:p>
    <w:p>
      <w:pPr>
        <w:shd w:fill="F4F4F4" w:val="clear"/>
        <w:spacing w:after="0" w:before="0"/>
        <w:ind w:left="300"/>
      </w:pPr>
      <w:r>
        <w:rPr>
          <w:rFonts w:ascii="Consolas" w:cs="Consolas" w:eastAsia="Consolas" w:hAnsi="Consolas"/>
          <w:sz w:val="18"/>
          <w:szCs w:val="18"/>
        </w:rPr>
        <w:t xml:space="preserve">    erlangCookie:</w:t>
      </w:r>
    </w:p>
    <w:p>
      <w:pPr>
        <w:shd w:fill="F4F4F4" w:val="clear"/>
        <w:spacing w:after="0" w:before="0"/>
        <w:ind w:left="300"/>
      </w:pPr>
      <w:r>
        <w:rPr>
          <w:rFonts w:ascii="Consolas" w:cs="Consolas" w:eastAsia="Consolas" w:hAnsi="Consolas"/>
          <w:sz w:val="18"/>
          <w:szCs w:val="18"/>
        </w:rPr>
        <w:t xml:space="preserve">      value: &lt;MEME_COOKIE_QUE_NOEUD_1&gt;</w:t>
      </w:r>
    </w:p>
    <w:p>
      <w:pPr>
        <w:shd w:fill="F4F4F4" w:val="clear"/>
        <w:spacing w:after="160" w:before="0"/>
        <w:ind w:left="300"/>
      </w:pPr>
      <w:r>
        <w:rPr>
          <w:rFonts w:ascii="Consolas" w:cs="Consolas" w:eastAsia="Consolas" w:hAnsi="Consolas"/>
          <w:sz w:val="18"/>
          <w:szCs w:val="18"/>
        </w:rPr>
        <w:t xml:space="preserve">    url: "amqp://localhost:5672/"</w:t>
      </w:r>
    </w:p>
    <w:p>
      <w:pPr>
        <w:pStyle w:val="Heading2"/>
        <w:spacing w:after="100" w:before="200"/>
      </w:pPr>
      <w:r>
        <w:t xml:space="preserve">7.3 Rappel d'architecture</w:t>
      </w:r>
    </w:p>
    <w:p>
      <w:pPr>
        <w:pBdr>
          <w:left w:val="single" w:color="C00000" w:sz="24" w:space="8"/>
        </w:pBdr>
        <w:spacing w:after="200" w:before="100"/>
        <w:ind w:left="100"/>
      </w:pPr>
      <w:r>
        <w:rPr>
          <w:b/>
          <w:bCs/>
          <w:color w:val="C00000"/>
        </w:rPr>
        <w:t xml:space="preserve">⚠ Un cluster RabbitMQ à 2 nœuds avec Quorum Queues n'offre aucune tolérance de panne (« mode dégradé » selon JFrog). Pour une haute disponibilité réelle, JFrog recommande 3 nœuds RabbitMQ dédiés en mode split. Pour du staging à vocation fonctionnelle, un mono-nœud ou un 2-nœuds de test reste acceptable.</w:t>
      </w:r>
    </w:p>
    <w:p>
      <w:pPr>
        <w:pStyle w:val="Heading1"/>
        <w:spacing w:after="150" w:before="300"/>
      </w:pPr>
      <w:r>
        <w:t xml:space="preserve">8. Bonnes pratiques et points de vigilance</w:t>
      </w:r>
    </w:p>
    <w:p>
      <w:pPr>
        <w:pStyle w:val="ListParagraph"/>
        <w:numPr>
          <w:ilvl w:val="0"/>
          <w:numId w:val="2"/>
        </w:numPr>
        <w:spacing w:after="60"/>
      </w:pPr>
      <w:r>
        <w:t xml:space="preserve">Ne jamais copier l'intégralité du répertoire var/ d'une ancienne installation vers un serveur neuf : cela greffe cookie, mnesia et configuration obsolètes. Copier uniquement master.key.</w:t>
      </w:r>
    </w:p>
    <w:p>
      <w:pPr>
        <w:pStyle w:val="ListParagraph"/>
        <w:numPr>
          <w:ilvl w:val="0"/>
          <w:numId w:val="2"/>
        </w:numPr>
        <w:spacing w:after="60"/>
      </w:pPr>
      <w:r>
        <w:t xml:space="preserve">Toujours exécuter rabbitmqctl en tant qu'utilisateur xray, sinon le cookie CLI ne correspond pas au cookie serveur.</w:t>
      </w:r>
    </w:p>
    <w:p>
      <w:pPr>
        <w:pStyle w:val="ListParagraph"/>
        <w:numPr>
          <w:ilvl w:val="0"/>
          <w:numId w:val="2"/>
        </w:numPr>
        <w:spacing w:after="60"/>
      </w:pPr>
      <w:r>
        <w:t xml:space="preserve">Conserver les sauvegardes (mnesia.bak, ancien system.yaml) jusqu'à validation complète.</w:t>
      </w:r>
    </w:p>
    <w:p>
      <w:pPr>
        <w:pStyle w:val="ListParagraph"/>
        <w:numPr>
          <w:ilvl w:val="0"/>
          <w:numId w:val="2"/>
        </w:numPr>
        <w:spacing w:after="60"/>
      </w:pPr>
      <w:r>
        <w:t xml:space="preserve">Valider le mono-nœud de bout en bout (scans, policies, intégration Artifactory) avant d'ajouter un second nœud.</w:t>
      </w:r>
    </w:p>
    <w:p>
      <w:pPr>
        <w:pStyle w:val="ListParagraph"/>
        <w:numPr>
          <w:ilvl w:val="0"/>
          <w:numId w:val="2"/>
        </w:numPr>
        <w:spacing w:after="60"/>
      </w:pPr>
      <w:r>
        <w:t xml:space="preserve">Documenter la configuration finale retenue (versions, chemins, paramètres RabbitMQ) pour la reproduire en production.</w:t>
      </w:r>
    </w:p>
    <w:p>
      <w:r>
        <w:br w:type="page"/>
      </w:r>
    </w:p>
    <w:p>
      <w:pPr>
        <w:pStyle w:val="Heading1"/>
        <w:spacing w:after="150" w:before="300"/>
      </w:pPr>
      <w:r>
        <w:t xml:space="preserve">Annexe — Références documentaires JFrog</w:t>
      </w:r>
    </w:p>
    <w:p>
      <w:pPr>
        <w:pStyle w:val="ListParagraph"/>
        <w:numPr>
          <w:ilvl w:val="0"/>
          <w:numId w:val="2"/>
        </w:numPr>
        <w:spacing w:after="60"/>
      </w:pPr>
      <w:r>
        <w:t xml:space="preserve">Xray Install and Upgrade Troubleshooting — https://docs.jfrog.com/installation/docs/xray-installupgrade-troubleshooting</w:t>
      </w:r>
    </w:p>
    <w:p>
      <w:pPr>
        <w:pStyle w:val="ListParagraph"/>
        <w:numPr>
          <w:ilvl w:val="0"/>
          <w:numId w:val="2"/>
        </w:numPr>
        <w:spacing w:after="60"/>
      </w:pPr>
      <w:r>
        <w:t xml:space="preserve">Xray System YAML (référence complète) — https://docs.jfrog.com/installation/docs/xray-system-yaml</w:t>
      </w:r>
    </w:p>
    <w:p>
      <w:pPr>
        <w:pStyle w:val="ListParagraph"/>
        <w:numPr>
          <w:ilvl w:val="0"/>
          <w:numId w:val="2"/>
        </w:numPr>
        <w:spacing w:after="60"/>
      </w:pPr>
      <w:r>
        <w:t xml:space="preserve">RabbitMQ (Split) for Xray — https://docs.jfrog.com/installation/docs/rabbitmq-split-for-xray</w:t>
      </w:r>
    </w:p>
    <w:p>
      <w:pPr>
        <w:pStyle w:val="ListParagraph"/>
        <w:numPr>
          <w:ilvl w:val="0"/>
          <w:numId w:val="2"/>
        </w:numPr>
        <w:spacing w:after="60"/>
      </w:pPr>
      <w:r>
        <w:t xml:space="preserve">Xray HA Linux Archive / RPM / Debian Installation — https://docs.jfrog.com/installation/docs/xray-ha-linux-archive-rpm-debian-installation</w:t>
      </w:r>
    </w:p>
    <w:p>
      <w:pPr>
        <w:pStyle w:val="ListParagraph"/>
        <w:numPr>
          <w:ilvl w:val="0"/>
          <w:numId w:val="2"/>
        </w:numPr>
        <w:spacing w:after="60"/>
      </w:pPr>
      <w:r>
        <w:t xml:space="preserve">Migration de Xray vers un autre serveur (même base) — https://jfrog.com/help/r/xray-how-to-migrate-xray-to-another-server-using-the-same-database</w:t>
      </w:r>
    </w:p>
    <w:p>
      <w:pPr>
        <w:pStyle w:val="ListParagraph"/>
        <w:numPr>
          <w:ilvl w:val="0"/>
          <w:numId w:val="2"/>
        </w:numPr>
        <w:spacing w:after="60"/>
      </w:pPr>
      <w:r>
        <w:t xml:space="preserve">Upgrading from Xray Version 3.x to 3.x — https://docs.jfrog.com/installation/docs/upgrading-from-xray-version-3-x-to-3-x</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2026-08-07T20:44:47.819Z</dcterms:created>
  <dcterms:modified xsi:type="dcterms:W3CDTF">2026-08-07T20:44:47.832Z</dcterms:modified>
</cp:coreProperties>
</file>

<file path=docProps/custom.xml><?xml version="1.0" encoding="utf-8"?>
<Properties xmlns="http://schemas.openxmlformats.org/officeDocument/2006/custom-properties" xmlns:vt="http://schemas.openxmlformats.org/officeDocument/2006/docPropsVTypes"/>
</file>