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200"/>
        <w:jc w:val="center"/>
      </w:pPr>
      <w:r>
        <w:rPr>
          <w:b/>
          <w:bCs/>
          <w:color w:val="1F4E3D"/>
          <w:sz w:val="54"/>
          <w:szCs w:val="54"/>
        </w:rPr>
        <w:t xml:space="preserve">DOSSIER DE DÉCISION</w:t>
      </w:r>
    </w:p>
    <w:p>
      <w:pPr>
        <w:spacing w:after="100"/>
        <w:jc w:val="center"/>
      </w:pPr>
      <w:r>
        <w:rPr>
          <w:b/>
          <w:bCs/>
          <w:color w:val="2E8B6E"/>
          <w:sz w:val="34"/>
          <w:szCs w:val="34"/>
        </w:rPr>
        <w:t xml:space="preserve">Choix de l'outil SAST de référence</w:t>
      </w:r>
    </w:p>
    <w:p>
      <w:pPr>
        <w:spacing w:after="700"/>
        <w:jc w:val="center"/>
      </w:pPr>
      <w:r>
        <w:rPr>
          <w:i/>
          <w:iCs/>
          <w:sz w:val="24"/>
          <w:szCs w:val="24"/>
        </w:rPr>
        <w:t xml:space="preserve">SonarQube Data Center  •  GitLab Ultimate (Advanced SAST)  •  OpenText Fortify</w:t>
      </w:r>
    </w:p>
    <w:p>
      <w:pPr>
        <w:spacing w:after="80"/>
        <w:jc w:val="center"/>
      </w:pPr>
      <w:r>
        <w:rPr>
          <w:color w:val="555555"/>
          <w:sz w:val="22"/>
          <w:szCs w:val="22"/>
        </w:rPr>
        <w:t xml:space="preserve">Contexte : grande organisation, environnement centré développeurs</w:t>
      </w:r>
    </w:p>
    <w:p>
      <w:pPr>
        <w:spacing w:after="80"/>
        <w:jc w:val="center"/>
      </w:pPr>
      <w:r>
        <w:rPr>
          <w:color w:val="555555"/>
          <w:sz w:val="22"/>
          <w:szCs w:val="22"/>
        </w:rPr>
        <w:t xml:space="preserve">Licences détenues : les trois outils sont déjà sous contrat</w:t>
      </w:r>
    </w:p>
    <w:p>
      <w:pPr>
        <w:jc w:val="center"/>
      </w:pPr>
      <w:r>
        <w:rPr>
          <w:color w:val="888888"/>
          <w:sz w:val="20"/>
          <w:szCs w:val="20"/>
        </w:rPr>
        <w:t xml:space="preserve">Juillet 2026 — Document de travail DevSecOps, à valider en comité d'architecture</w:t>
      </w:r>
    </w:p>
    <w:p>
      <w:r>
        <w:br w:type="page"/>
      </w:r>
    </w:p>
    <w:p>
      <w:pPr>
        <w:pStyle w:val="Heading1"/>
        <w:spacing w:after="200" w:before="400"/>
      </w:pPr>
      <w:r>
        <w:t xml:space="preserve">1. Synthèse exécutive</w:t>
      </w:r>
    </w:p>
    <w:p>
      <w:pPr>
        <w:spacing w:after="160"/>
        <w:jc w:val="both"/>
      </w:pPr>
      <w:r>
        <w:t xml:space="preserve">L'organisation détient trois solutions SAST sous licence : SonarQube Data Center Edition, GitLab Ultimate (incluant GitLab Advanced SAST) et OpenText Fortify. La coexistence non gouvernée de trois outils génère des findings dupliqués, une charge de triage éclatée, des référentiels de conformité hétérogènes et un coût de licence dont une partie est probablement évitable. Ce dossier compare les trois solutions sur des critères pondérés adaptés au contexte (grande société, culture développeur) et propose une décision.</w:t>
      </w:r>
    </w:p>
    <w:p>
      <w:pPr>
        <w:spacing w:after="160"/>
        <w:jc w:val="both"/>
      </w:pPr>
      <w:r>
        <w:rPr>
          <w:b/>
          <w:bCs/>
        </w:rPr>
        <w:t xml:space="preserve">Décision proposée : </w:t>
      </w:r>
      <w:r>
        <w:t xml:space="preserve">positionner SonarQube Data Center comme outil SAST de référence de l'organisation, conserver GitLab Advanced SAST comme contrôle complémentaire natif en Merge Request (coût marginal nul, déjà inclus dans Ultimate), et restreindre Fortify aux seuls périmètres où ses capacités sont contractuellement ou techniquement exigées — ou le décommissionner si aucun périmètre de ce type n'existe.</w:t>
      </w:r>
    </w:p>
    <w:p>
      <w:pPr>
        <w:spacing w:after="160"/>
        <w:jc w:val="both"/>
      </w:pPr>
      <w:r>
        <w:t xml:space="preserve">Cette décision maximise l'adoption par les développeurs (facteur n°1 de réussite d'un programme SAST), capitalise sur une plateforme déjà opérée et maîtrisée, et dégage une économie potentielle de 30 000 à 150 000+ $/an sur la licence Fortify si le décommissionnement est validé.</w:t>
      </w:r>
    </w:p>
    <w:p>
      <w:pPr>
        <w:pStyle w:val="Heading1"/>
        <w:spacing w:after="200" w:before="400"/>
      </w:pPr>
      <w:r>
        <w:t xml:space="preserve">2. Contexte et enjeux</w:t>
      </w:r>
    </w:p>
    <w:p>
      <w:pPr>
        <w:pStyle w:val="Heading3"/>
        <w:spacing w:after="100" w:before="200"/>
      </w:pPr>
      <w:r>
        <w:t xml:space="preserve">Situation actuelle</w:t>
      </w:r>
    </w:p>
    <w:p>
      <w:pPr>
        <w:pStyle w:val="ListParagraph"/>
        <w:numPr>
          <w:ilvl w:val="0"/>
          <w:numId w:val="1"/>
        </w:numPr>
        <w:spacing w:after="80"/>
      </w:pPr>
      <w:r>
        <w:t xml:space="preserve">SonarQube Data Center Edition : déployé et opéré en interne par l'équipe DevSecOps ; édition la plus haute de SonarSource (haute disponibilité, taint analysis, rapports de conformité, option Advanced Security).</w:t>
      </w:r>
    </w:p>
    <w:p>
      <w:pPr>
        <w:pStyle w:val="ListParagraph"/>
        <w:numPr>
          <w:ilvl w:val="0"/>
          <w:numId w:val="1"/>
        </w:numPr>
        <w:spacing w:after="80"/>
      </w:pPr>
      <w:r>
        <w:t xml:space="preserve">GitLab Ultimate : plateforme DevOps de l'organisation ; le palier Ultimate inclut sans surcoût GitLab Advanced SAST (taint cross-fichier), le tableau de vulnérabilités, et les fonctions IA GitLab Duo (triage des faux positifs, remédiation agentique).</w:t>
      </w:r>
    </w:p>
    <w:p>
      <w:pPr>
        <w:pStyle w:val="ListParagraph"/>
        <w:numPr>
          <w:ilvl w:val="0"/>
          <w:numId w:val="1"/>
        </w:numPr>
        <w:spacing w:after="80"/>
      </w:pPr>
      <w:r>
        <w:t xml:space="preserve">OpenText Fortify : solution SAST enterprise historique, coût de licence estimé entre 30 000 et 150 000+ $/an selon le périmètre (SCA + ScanCentral + SSC), hors coûts de maintenance et d'administration.</w:t>
      </w:r>
    </w:p>
    <w:p>
      <w:pPr>
        <w:pStyle w:val="Heading3"/>
        <w:spacing w:after="100" w:before="200"/>
      </w:pPr>
      <w:r>
        <w:t xml:space="preserve">Enjeux de la décision</w:t>
      </w:r>
    </w:p>
    <w:p>
      <w:pPr>
        <w:pStyle w:val="ListParagraph"/>
        <w:numPr>
          <w:ilvl w:val="0"/>
          <w:numId w:val="1"/>
        </w:numPr>
        <w:spacing w:after="80"/>
      </w:pPr>
      <w:r>
        <w:t xml:space="preserve">Adoption développeur : dans une organisation centrée développeurs, un outil non adopté ne sécurise rien, quelle que soit sa profondeur d'analyse théorique.</w:t>
      </w:r>
    </w:p>
    <w:p>
      <w:pPr>
        <w:pStyle w:val="ListParagraph"/>
        <w:numPr>
          <w:ilvl w:val="0"/>
          <w:numId w:val="1"/>
        </w:numPr>
        <w:spacing w:after="80"/>
      </w:pPr>
      <w:r>
        <w:t xml:space="preserve">Unicité du référentiel : un seul outil doit faire foi pour les Quality Gates, le reporting de conformité et les indicateurs de sécurité présentés aux directions.</w:t>
      </w:r>
    </w:p>
    <w:p>
      <w:pPr>
        <w:pStyle w:val="ListParagraph"/>
        <w:numPr>
          <w:ilvl w:val="0"/>
          <w:numId w:val="1"/>
        </w:numPr>
        <w:spacing w:after="80"/>
      </w:pPr>
      <w:r>
        <w:t xml:space="preserve">Rationalisation budgétaire : trois licences SAST simultanées pour une même fonction constituent une redondance à justifier ou à résorber.</w:t>
      </w:r>
    </w:p>
    <w:p>
      <w:pPr>
        <w:pStyle w:val="ListParagraph"/>
        <w:numPr>
          <w:ilvl w:val="0"/>
          <w:numId w:val="1"/>
        </w:numPr>
        <w:spacing w:after="80"/>
      </w:pPr>
      <w:r>
        <w:t xml:space="preserve">Continuité opérationnelle : la migration des historiques de findings, des exclusions et des faux positifs marqués a un coût qu'il faut intégrer à la décision.</w:t>
      </w:r>
    </w:p>
    <w:p>
      <w:r>
        <w:br w:type="page"/>
      </w:r>
    </w:p>
    <w:p>
      <w:pPr>
        <w:pStyle w:val="Heading1"/>
        <w:spacing w:after="200" w:before="400"/>
      </w:pPr>
      <w:r>
        <w:t xml:space="preserve">3. Critères d'évaluation et pondération</w:t>
      </w:r>
    </w:p>
    <w:p>
      <w:pPr>
        <w:spacing w:after="160"/>
        <w:jc w:val="both"/>
      </w:pPr>
      <w:r>
        <w:t xml:space="preserve">La pondération reflète le contexte : environnement centré développeurs (adoption et vitesse prépondérantes), grande organisation (gouvernance, conformité et scalabilité indispensables), licences déjà acquises (le coût d'acquisition est neutralisé, seuls comptent les coûts récurrents et de sortie).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200"/>
        <w:gridCol w:w="900"/>
        <w:gridCol w:w="4700"/>
      </w:tblGrid>
      <w:tr>
        <w:trPr>
          <w:tblHeader/>
        </w:trPr>
        <w:tc>
          <w:tcPr>
            <w:tcW w:type="dxa" w:w="4200"/>
            <w:shd w:fill="1F4E3D" w:val="clear"/>
            <w:tcMar>
              <w:top w:type="dxa" w:w="80"/>
              <w:left w:type="dxa" w:w="100"/>
              <w:bottom w:type="dxa" w:w="80"/>
              <w:right w:type="dxa" w:w="100"/>
            </w:tcMar>
          </w:tcPr>
          <w:p>
            <w:pPr>
              <w:jc w:val="center"/>
            </w:pPr>
            <w:r>
              <w:rPr>
                <w:b/>
                <w:bCs/>
                <w:color w:val="FFFFFF"/>
                <w:sz w:val="19"/>
                <w:szCs w:val="19"/>
              </w:rPr>
              <w:t xml:space="preserve">Critère</w:t>
            </w:r>
          </w:p>
        </w:tc>
        <w:tc>
          <w:tcPr>
            <w:tcW w:type="dxa" w:w="900"/>
            <w:shd w:fill="1F4E3D" w:val="clear"/>
            <w:tcMar>
              <w:top w:type="dxa" w:w="80"/>
              <w:left w:type="dxa" w:w="100"/>
              <w:bottom w:type="dxa" w:w="80"/>
              <w:right w:type="dxa" w:w="100"/>
            </w:tcMar>
          </w:tcPr>
          <w:p>
            <w:pPr>
              <w:jc w:val="center"/>
            </w:pPr>
            <w:r>
              <w:rPr>
                <w:b/>
                <w:bCs/>
                <w:color w:val="FFFFFF"/>
                <w:sz w:val="19"/>
                <w:szCs w:val="19"/>
              </w:rPr>
              <w:t xml:space="preserve">Poids</w:t>
            </w:r>
          </w:p>
        </w:tc>
        <w:tc>
          <w:tcPr>
            <w:tcW w:type="dxa" w:w="4700"/>
            <w:shd w:fill="1F4E3D" w:val="clear"/>
            <w:tcMar>
              <w:top w:type="dxa" w:w="80"/>
              <w:left w:type="dxa" w:w="100"/>
              <w:bottom w:type="dxa" w:w="80"/>
              <w:right w:type="dxa" w:w="100"/>
            </w:tcMar>
          </w:tcPr>
          <w:p>
            <w:pPr>
              <w:jc w:val="center"/>
            </w:pPr>
            <w:r>
              <w:rPr>
                <w:b/>
                <w:bCs/>
                <w:color w:val="FFFFFF"/>
                <w:sz w:val="19"/>
                <w:szCs w:val="19"/>
              </w:rPr>
              <w:t xml:space="preserve">Justification du poids</w:t>
            </w:r>
          </w:p>
        </w:tc>
      </w:tr>
      <w:tr>
        <w:tc>
          <w:tcPr>
            <w:tcW w:type="dxa" w:w="4200"/>
            <w:shd w:fill="FFFFFF" w:val="clear"/>
            <w:tcMar>
              <w:top w:type="dxa" w:w="80"/>
              <w:left w:type="dxa" w:w="100"/>
              <w:bottom w:type="dxa" w:w="80"/>
              <w:right w:type="dxa" w:w="100"/>
            </w:tcMar>
          </w:tcPr>
          <w:p>
            <w:pPr>
              <w:jc w:val="left"/>
            </w:pPr>
            <w:r>
              <w:rPr>
                <w:b w:val="false"/>
                <w:bCs w:val="false"/>
                <w:sz w:val="19"/>
                <w:szCs w:val="19"/>
              </w:rPr>
              <w:t xml:space="preserve">Adoption développeur (IDE, feedback en MR, ergonomie)</w:t>
            </w:r>
          </w:p>
        </w:tc>
        <w:tc>
          <w:tcPr>
            <w:tcW w:type="dxa" w:w="900"/>
            <w:shd w:fill="FFFFFF" w:val="clear"/>
            <w:tcMar>
              <w:top w:type="dxa" w:w="80"/>
              <w:left w:type="dxa" w:w="100"/>
              <w:bottom w:type="dxa" w:w="80"/>
              <w:right w:type="dxa" w:w="100"/>
            </w:tcMar>
          </w:tcPr>
          <w:p>
            <w:pPr>
              <w:jc w:val="center"/>
            </w:pPr>
            <w:r>
              <w:rPr>
                <w:b w:val="false"/>
                <w:bCs w:val="false"/>
                <w:sz w:val="19"/>
                <w:szCs w:val="19"/>
              </w:rPr>
              <w:t xml:space="preserve">25 %</w:t>
            </w:r>
          </w:p>
        </w:tc>
        <w:tc>
          <w:tcPr>
            <w:tcW w:type="dxa" w:w="4700"/>
            <w:shd w:fill="FFFFFF" w:val="clear"/>
            <w:tcMar>
              <w:top w:type="dxa" w:w="80"/>
              <w:left w:type="dxa" w:w="100"/>
              <w:bottom w:type="dxa" w:w="80"/>
              <w:right w:type="dxa" w:w="100"/>
            </w:tcMar>
          </w:tcPr>
          <w:p>
            <w:pPr>
              <w:jc w:val="left"/>
            </w:pPr>
            <w:r>
              <w:rPr>
                <w:b w:val="false"/>
                <w:bCs w:val="false"/>
                <w:sz w:val="19"/>
                <w:szCs w:val="19"/>
              </w:rPr>
              <w:t xml:space="preserve">Facteur n°1 de réussite en milieu développeur : un SAST ignoré ne protège rien</w:t>
            </w:r>
          </w:p>
        </w:tc>
      </w:tr>
      <w:tr>
        <w:tc>
          <w:tcPr>
            <w:tcW w:type="dxa" w:w="4200"/>
            <w:shd w:fill="EFF5F2" w:val="clear"/>
            <w:tcMar>
              <w:top w:type="dxa" w:w="80"/>
              <w:left w:type="dxa" w:w="100"/>
              <w:bottom w:type="dxa" w:w="80"/>
              <w:right w:type="dxa" w:w="100"/>
            </w:tcMar>
          </w:tcPr>
          <w:p>
            <w:pPr>
              <w:jc w:val="left"/>
            </w:pPr>
            <w:r>
              <w:rPr>
                <w:b w:val="false"/>
                <w:bCs w:val="false"/>
                <w:sz w:val="19"/>
                <w:szCs w:val="19"/>
              </w:rPr>
              <w:t xml:space="preserve">Profondeur de détection sécurité (taint, couverture CWE)</w:t>
            </w:r>
          </w:p>
        </w:tc>
        <w:tc>
          <w:tcPr>
            <w:tcW w:type="dxa" w:w="900"/>
            <w:shd w:fill="EFF5F2" w:val="clear"/>
            <w:tcMar>
              <w:top w:type="dxa" w:w="80"/>
              <w:left w:type="dxa" w:w="100"/>
              <w:bottom w:type="dxa" w:w="80"/>
              <w:right w:type="dxa" w:w="100"/>
            </w:tcMar>
          </w:tcPr>
          <w:p>
            <w:pPr>
              <w:jc w:val="center"/>
            </w:pPr>
            <w:r>
              <w:rPr>
                <w:b w:val="false"/>
                <w:bCs w:val="false"/>
                <w:sz w:val="19"/>
                <w:szCs w:val="19"/>
              </w:rPr>
              <w:t xml:space="preserve">20 %</w:t>
            </w:r>
          </w:p>
        </w:tc>
        <w:tc>
          <w:tcPr>
            <w:tcW w:type="dxa" w:w="4700"/>
            <w:shd w:fill="EFF5F2" w:val="clear"/>
            <w:tcMar>
              <w:top w:type="dxa" w:w="80"/>
              <w:left w:type="dxa" w:w="100"/>
              <w:bottom w:type="dxa" w:w="80"/>
              <w:right w:type="dxa" w:w="100"/>
            </w:tcMar>
          </w:tcPr>
          <w:p>
            <w:pPr>
              <w:jc w:val="left"/>
            </w:pPr>
            <w:r>
              <w:rPr>
                <w:b w:val="false"/>
                <w:bCs w:val="false"/>
                <w:sz w:val="19"/>
                <w:szCs w:val="19"/>
              </w:rPr>
              <w:t xml:space="preserve">Cœur de la fonction SAST ; doit rester suffisant pour le profil de risque</w:t>
            </w:r>
          </w:p>
        </w:tc>
      </w:tr>
      <w:tr>
        <w:tc>
          <w:tcPr>
            <w:tcW w:type="dxa" w:w="4200"/>
            <w:shd w:fill="FFFFFF" w:val="clear"/>
            <w:tcMar>
              <w:top w:type="dxa" w:w="80"/>
              <w:left w:type="dxa" w:w="100"/>
              <w:bottom w:type="dxa" w:w="80"/>
              <w:right w:type="dxa" w:w="100"/>
            </w:tcMar>
          </w:tcPr>
          <w:p>
            <w:pPr>
              <w:jc w:val="left"/>
            </w:pPr>
            <w:r>
              <w:rPr>
                <w:b w:val="false"/>
                <w:bCs w:val="false"/>
                <w:sz w:val="19"/>
                <w:szCs w:val="19"/>
              </w:rPr>
              <w:t xml:space="preserve">Intégration CI/CD et vitesse de scan</w:t>
            </w:r>
          </w:p>
        </w:tc>
        <w:tc>
          <w:tcPr>
            <w:tcW w:type="dxa" w:w="900"/>
            <w:shd w:fill="FFFFFF" w:val="clear"/>
            <w:tcMar>
              <w:top w:type="dxa" w:w="80"/>
              <w:left w:type="dxa" w:w="100"/>
              <w:bottom w:type="dxa" w:w="80"/>
              <w:right w:type="dxa" w:w="100"/>
            </w:tcMar>
          </w:tcPr>
          <w:p>
            <w:pPr>
              <w:jc w:val="center"/>
            </w:pPr>
            <w:r>
              <w:rPr>
                <w:b w:val="false"/>
                <w:bCs w:val="false"/>
                <w:sz w:val="19"/>
                <w:szCs w:val="19"/>
              </w:rPr>
              <w:t xml:space="preserve">15 %</w:t>
            </w:r>
          </w:p>
        </w:tc>
        <w:tc>
          <w:tcPr>
            <w:tcW w:type="dxa" w:w="4700"/>
            <w:shd w:fill="FFFFFF" w:val="clear"/>
            <w:tcMar>
              <w:top w:type="dxa" w:w="80"/>
              <w:left w:type="dxa" w:w="100"/>
              <w:bottom w:type="dxa" w:w="80"/>
              <w:right w:type="dxa" w:w="100"/>
            </w:tcMar>
          </w:tcPr>
          <w:p>
            <w:pPr>
              <w:jc w:val="left"/>
            </w:pPr>
            <w:r>
              <w:rPr>
                <w:b w:val="false"/>
                <w:bCs w:val="false"/>
                <w:sz w:val="19"/>
                <w:szCs w:val="19"/>
              </w:rPr>
              <w:t xml:space="preserve">Un scan lent est contourné ; le feedback doit tenir dans le cycle de MR</w:t>
            </w:r>
          </w:p>
        </w:tc>
      </w:tr>
      <w:tr>
        <w:tc>
          <w:tcPr>
            <w:tcW w:type="dxa" w:w="4200"/>
            <w:shd w:fill="EFF5F2" w:val="clear"/>
            <w:tcMar>
              <w:top w:type="dxa" w:w="80"/>
              <w:left w:type="dxa" w:w="100"/>
              <w:bottom w:type="dxa" w:w="80"/>
              <w:right w:type="dxa" w:w="100"/>
            </w:tcMar>
          </w:tcPr>
          <w:p>
            <w:pPr>
              <w:jc w:val="left"/>
            </w:pPr>
            <w:r>
              <w:rPr>
                <w:b w:val="false"/>
                <w:bCs w:val="false"/>
                <w:sz w:val="19"/>
                <w:szCs w:val="19"/>
              </w:rPr>
              <w:t xml:space="preserve">Gouvernance et conformité (rapports, Quality Gates, audit)</w:t>
            </w:r>
          </w:p>
        </w:tc>
        <w:tc>
          <w:tcPr>
            <w:tcW w:type="dxa" w:w="900"/>
            <w:shd w:fill="EFF5F2" w:val="clear"/>
            <w:tcMar>
              <w:top w:type="dxa" w:w="80"/>
              <w:left w:type="dxa" w:w="100"/>
              <w:bottom w:type="dxa" w:w="80"/>
              <w:right w:type="dxa" w:w="100"/>
            </w:tcMar>
          </w:tcPr>
          <w:p>
            <w:pPr>
              <w:jc w:val="center"/>
            </w:pPr>
            <w:r>
              <w:rPr>
                <w:b w:val="false"/>
                <w:bCs w:val="false"/>
                <w:sz w:val="19"/>
                <w:szCs w:val="19"/>
              </w:rPr>
              <w:t xml:space="preserve">15 %</w:t>
            </w:r>
          </w:p>
        </w:tc>
        <w:tc>
          <w:tcPr>
            <w:tcW w:type="dxa" w:w="4700"/>
            <w:shd w:fill="EFF5F2" w:val="clear"/>
            <w:tcMar>
              <w:top w:type="dxa" w:w="80"/>
              <w:left w:type="dxa" w:w="100"/>
              <w:bottom w:type="dxa" w:w="80"/>
              <w:right w:type="dxa" w:w="100"/>
            </w:tcMar>
          </w:tcPr>
          <w:p>
            <w:pPr>
              <w:jc w:val="left"/>
            </w:pPr>
            <w:r>
              <w:rPr>
                <w:b w:val="false"/>
                <w:bCs w:val="false"/>
                <w:sz w:val="19"/>
                <w:szCs w:val="19"/>
              </w:rPr>
              <w:t xml:space="preserve">Exigence de grande organisation : indicateurs consolidés et opposables</w:t>
            </w:r>
          </w:p>
        </w:tc>
      </w:tr>
      <w:tr>
        <w:tc>
          <w:tcPr>
            <w:tcW w:type="dxa" w:w="4200"/>
            <w:shd w:fill="FFFFFF" w:val="clear"/>
            <w:tcMar>
              <w:top w:type="dxa" w:w="80"/>
              <w:left w:type="dxa" w:w="100"/>
              <w:bottom w:type="dxa" w:w="80"/>
              <w:right w:type="dxa" w:w="100"/>
            </w:tcMar>
          </w:tcPr>
          <w:p>
            <w:pPr>
              <w:jc w:val="left"/>
            </w:pPr>
            <w:r>
              <w:rPr>
                <w:b w:val="false"/>
                <w:bCs w:val="false"/>
                <w:sz w:val="19"/>
                <w:szCs w:val="19"/>
              </w:rPr>
              <w:t xml:space="preserve">Fiabilité (faux positifs, charge de triage)</w:t>
            </w:r>
          </w:p>
        </w:tc>
        <w:tc>
          <w:tcPr>
            <w:tcW w:type="dxa" w:w="900"/>
            <w:shd w:fill="FFFFFF" w:val="clear"/>
            <w:tcMar>
              <w:top w:type="dxa" w:w="80"/>
              <w:left w:type="dxa" w:w="100"/>
              <w:bottom w:type="dxa" w:w="80"/>
              <w:right w:type="dxa" w:w="100"/>
            </w:tcMar>
          </w:tcPr>
          <w:p>
            <w:pPr>
              <w:jc w:val="center"/>
            </w:pPr>
            <w:r>
              <w:rPr>
                <w:b w:val="false"/>
                <w:bCs w:val="false"/>
                <w:sz w:val="19"/>
                <w:szCs w:val="19"/>
              </w:rPr>
              <w:t xml:space="preserve">10 %</w:t>
            </w:r>
          </w:p>
        </w:tc>
        <w:tc>
          <w:tcPr>
            <w:tcW w:type="dxa" w:w="4700"/>
            <w:shd w:fill="FFFFFF" w:val="clear"/>
            <w:tcMar>
              <w:top w:type="dxa" w:w="80"/>
              <w:left w:type="dxa" w:w="100"/>
              <w:bottom w:type="dxa" w:w="80"/>
              <w:right w:type="dxa" w:w="100"/>
            </w:tcMar>
          </w:tcPr>
          <w:p>
            <w:pPr>
              <w:jc w:val="left"/>
            </w:pPr>
            <w:r>
              <w:rPr>
                <w:b w:val="false"/>
                <w:bCs w:val="false"/>
                <w:sz w:val="19"/>
                <w:szCs w:val="19"/>
              </w:rPr>
              <w:t xml:space="preserve">Le bruit détruit la confiance des développeurs dans l'outil</w:t>
            </w:r>
          </w:p>
        </w:tc>
      </w:tr>
      <w:tr>
        <w:tc>
          <w:tcPr>
            <w:tcW w:type="dxa" w:w="4200"/>
            <w:shd w:fill="EFF5F2" w:val="clear"/>
            <w:tcMar>
              <w:top w:type="dxa" w:w="80"/>
              <w:left w:type="dxa" w:w="100"/>
              <w:bottom w:type="dxa" w:w="80"/>
              <w:right w:type="dxa" w:w="100"/>
            </w:tcMar>
          </w:tcPr>
          <w:p>
            <w:pPr>
              <w:jc w:val="left"/>
            </w:pPr>
            <w:r>
              <w:rPr>
                <w:b w:val="false"/>
                <w:bCs w:val="false"/>
                <w:sz w:val="19"/>
                <w:szCs w:val="19"/>
              </w:rPr>
              <w:t xml:space="preserve">Coût récurrent et TCO</w:t>
            </w:r>
          </w:p>
        </w:tc>
        <w:tc>
          <w:tcPr>
            <w:tcW w:type="dxa" w:w="900"/>
            <w:shd w:fill="EFF5F2" w:val="clear"/>
            <w:tcMar>
              <w:top w:type="dxa" w:w="80"/>
              <w:left w:type="dxa" w:w="100"/>
              <w:bottom w:type="dxa" w:w="80"/>
              <w:right w:type="dxa" w:w="100"/>
            </w:tcMar>
          </w:tcPr>
          <w:p>
            <w:pPr>
              <w:jc w:val="center"/>
            </w:pPr>
            <w:r>
              <w:rPr>
                <w:b w:val="false"/>
                <w:bCs w:val="false"/>
                <w:sz w:val="19"/>
                <w:szCs w:val="19"/>
              </w:rPr>
              <w:t xml:space="preserve">10 %</w:t>
            </w:r>
          </w:p>
        </w:tc>
        <w:tc>
          <w:tcPr>
            <w:tcW w:type="dxa" w:w="4700"/>
            <w:shd w:fill="EFF5F2" w:val="clear"/>
            <w:tcMar>
              <w:top w:type="dxa" w:w="80"/>
              <w:left w:type="dxa" w:w="100"/>
              <w:bottom w:type="dxa" w:w="80"/>
              <w:right w:type="dxa" w:w="100"/>
            </w:tcMar>
          </w:tcPr>
          <w:p>
            <w:pPr>
              <w:jc w:val="left"/>
            </w:pPr>
            <w:r>
              <w:rPr>
                <w:b w:val="false"/>
                <w:bCs w:val="false"/>
                <w:sz w:val="19"/>
                <w:szCs w:val="19"/>
              </w:rPr>
              <w:t xml:space="preserve">Licences acquises : seuls comptent renouvellements, infra et admin</w:t>
            </w:r>
          </w:p>
        </w:tc>
      </w:tr>
      <w:tr>
        <w:tc>
          <w:tcPr>
            <w:tcW w:type="dxa" w:w="4200"/>
            <w:shd w:fill="FFFFFF" w:val="clear"/>
            <w:tcMar>
              <w:top w:type="dxa" w:w="80"/>
              <w:left w:type="dxa" w:w="100"/>
              <w:bottom w:type="dxa" w:w="80"/>
              <w:right w:type="dxa" w:w="100"/>
            </w:tcMar>
          </w:tcPr>
          <w:p>
            <w:pPr>
              <w:jc w:val="left"/>
            </w:pPr>
            <w:r>
              <w:rPr>
                <w:b w:val="false"/>
                <w:bCs w:val="false"/>
                <w:sz w:val="19"/>
                <w:szCs w:val="19"/>
              </w:rPr>
              <w:t xml:space="preserve">Pérennité et indépendance (multi-forge, roadmap, IA)</w:t>
            </w:r>
          </w:p>
        </w:tc>
        <w:tc>
          <w:tcPr>
            <w:tcW w:type="dxa" w:w="900"/>
            <w:shd w:fill="FFFFFF" w:val="clear"/>
            <w:tcMar>
              <w:top w:type="dxa" w:w="80"/>
              <w:left w:type="dxa" w:w="100"/>
              <w:bottom w:type="dxa" w:w="80"/>
              <w:right w:type="dxa" w:w="100"/>
            </w:tcMar>
          </w:tcPr>
          <w:p>
            <w:pPr>
              <w:jc w:val="center"/>
            </w:pPr>
            <w:r>
              <w:rPr>
                <w:b w:val="false"/>
                <w:bCs w:val="false"/>
                <w:sz w:val="19"/>
                <w:szCs w:val="19"/>
              </w:rPr>
              <w:t xml:space="preserve">5 %</w:t>
            </w:r>
          </w:p>
        </w:tc>
        <w:tc>
          <w:tcPr>
            <w:tcW w:type="dxa" w:w="4700"/>
            <w:shd w:fill="FFFFFF" w:val="clear"/>
            <w:tcMar>
              <w:top w:type="dxa" w:w="80"/>
              <w:left w:type="dxa" w:w="100"/>
              <w:bottom w:type="dxa" w:w="80"/>
              <w:right w:type="dxa" w:w="100"/>
            </w:tcMar>
          </w:tcPr>
          <w:p>
            <w:pPr>
              <w:jc w:val="left"/>
            </w:pPr>
            <w:r>
              <w:rPr>
                <w:b w:val="false"/>
                <w:bCs w:val="false"/>
                <w:sz w:val="19"/>
                <w:szCs w:val="19"/>
              </w:rPr>
              <w:t xml:space="preserve">Limiter l'enfermement propriétaire et anticiper les évolutions</w:t>
            </w:r>
          </w:p>
        </w:tc>
      </w:tr>
    </w:tbl>
    <w:p>
      <w:pPr>
        <w:pStyle w:val="Heading1"/>
        <w:spacing w:after="200" w:before="400"/>
      </w:pPr>
      <w:r>
        <w:t xml:space="preserve">4. Évaluation comparée</w:t>
      </w:r>
    </w:p>
    <w:p>
      <w:pPr>
        <w:spacing w:after="160"/>
        <w:jc w:val="both"/>
      </w:pPr>
      <w:r>
        <w:t xml:space="preserve">Notation de 1 (faible) à 5 (excellent) sur chaque critère, appliquée au contexte de l'organisation :</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2100"/>
        <w:gridCol w:w="2100"/>
      </w:tblGrid>
      <w:tr>
        <w:trPr>
          <w:tblHeader/>
        </w:trPr>
        <w:tc>
          <w:tcPr>
            <w:tcW w:type="dxa" w:w="3600"/>
            <w:shd w:fill="1F4E3D" w:val="clear"/>
            <w:tcMar>
              <w:top w:type="dxa" w:w="80"/>
              <w:left w:type="dxa" w:w="100"/>
              <w:bottom w:type="dxa" w:w="80"/>
              <w:right w:type="dxa" w:w="100"/>
            </w:tcMar>
          </w:tcPr>
          <w:p>
            <w:pPr>
              <w:jc w:val="center"/>
            </w:pPr>
            <w:r>
              <w:rPr>
                <w:b/>
                <w:bCs/>
                <w:color w:val="FFFFFF"/>
                <w:sz w:val="19"/>
                <w:szCs w:val="19"/>
              </w:rPr>
              <w:t xml:space="preserve">Critère (poids)</w:t>
            </w:r>
          </w:p>
        </w:tc>
        <w:tc>
          <w:tcPr>
            <w:tcW w:type="dxa" w:w="2000"/>
            <w:shd w:fill="1F4E3D" w:val="clear"/>
            <w:tcMar>
              <w:top w:type="dxa" w:w="80"/>
              <w:left w:type="dxa" w:w="100"/>
              <w:bottom w:type="dxa" w:w="80"/>
              <w:right w:type="dxa" w:w="100"/>
            </w:tcMar>
          </w:tcPr>
          <w:p>
            <w:pPr>
              <w:jc w:val="center"/>
            </w:pPr>
            <w:r>
              <w:rPr>
                <w:b/>
                <w:bCs/>
                <w:color w:val="FFFFFF"/>
                <w:sz w:val="19"/>
                <w:szCs w:val="19"/>
              </w:rPr>
              <w:t xml:space="preserve">SonarQube DC</w:t>
            </w:r>
          </w:p>
        </w:tc>
        <w:tc>
          <w:tcPr>
            <w:tcW w:type="dxa" w:w="2100"/>
            <w:shd w:fill="1F4E3D" w:val="clear"/>
            <w:tcMar>
              <w:top w:type="dxa" w:w="80"/>
              <w:left w:type="dxa" w:w="100"/>
              <w:bottom w:type="dxa" w:w="80"/>
              <w:right w:type="dxa" w:w="100"/>
            </w:tcMar>
          </w:tcPr>
          <w:p>
            <w:pPr>
              <w:jc w:val="center"/>
            </w:pPr>
            <w:r>
              <w:rPr>
                <w:b/>
                <w:bCs/>
                <w:color w:val="FFFFFF"/>
                <w:sz w:val="19"/>
                <w:szCs w:val="19"/>
              </w:rPr>
              <w:t xml:space="preserve">GitLab Adv. SAST</w:t>
            </w:r>
          </w:p>
        </w:tc>
        <w:tc>
          <w:tcPr>
            <w:tcW w:type="dxa" w:w="2100"/>
            <w:shd w:fill="1F4E3D" w:val="clear"/>
            <w:tcMar>
              <w:top w:type="dxa" w:w="80"/>
              <w:left w:type="dxa" w:w="100"/>
              <w:bottom w:type="dxa" w:w="80"/>
              <w:right w:type="dxa" w:w="100"/>
            </w:tcMar>
          </w:tcPr>
          <w:p>
            <w:pPr>
              <w:jc w:val="center"/>
            </w:pPr>
            <w:r>
              <w:rPr>
                <w:b/>
                <w:bCs/>
                <w:color w:val="FFFFFF"/>
                <w:sz w:val="19"/>
                <w:szCs w:val="19"/>
              </w:rPr>
              <w:t xml:space="preserve">Fortify</w:t>
            </w:r>
          </w:p>
        </w:tc>
      </w:tr>
      <w:tr>
        <w:tc>
          <w:tcPr>
            <w:tcW w:type="dxa" w:w="3600"/>
            <w:shd w:fill="FFFFFF" w:val="clear"/>
            <w:tcMar>
              <w:top w:type="dxa" w:w="80"/>
              <w:left w:type="dxa" w:w="100"/>
              <w:bottom w:type="dxa" w:w="80"/>
              <w:right w:type="dxa" w:w="100"/>
            </w:tcMar>
          </w:tcPr>
          <w:p>
            <w:pPr>
              <w:jc w:val="left"/>
            </w:pPr>
            <w:r>
              <w:rPr>
                <w:b w:val="false"/>
                <w:bCs w:val="false"/>
                <w:sz w:val="19"/>
                <w:szCs w:val="19"/>
              </w:rPr>
              <w:t xml:space="preserve">Adoption développeur (25 %)</w:t>
            </w:r>
          </w:p>
        </w:tc>
        <w:tc>
          <w:tcPr>
            <w:tcW w:type="dxa" w:w="2000"/>
            <w:shd w:fill="FFFFFF" w:val="clear"/>
            <w:tcMar>
              <w:top w:type="dxa" w:w="80"/>
              <w:left w:type="dxa" w:w="100"/>
              <w:bottom w:type="dxa" w:w="80"/>
              <w:right w:type="dxa" w:w="100"/>
            </w:tcMar>
          </w:tcPr>
          <w:p>
            <w:pPr>
              <w:jc w:val="center"/>
            </w:pPr>
            <w:r>
              <w:rPr>
                <w:b/>
                <w:bCs/>
                <w:color w:val="2E7D32"/>
                <w:sz w:val="19"/>
                <w:szCs w:val="19"/>
              </w:rPr>
              <w:t xml:space="preserve">5</w:t>
            </w:r>
          </w:p>
        </w:tc>
        <w:tc>
          <w:tcPr>
            <w:tcW w:type="dxa" w:w="2100"/>
            <w:shd w:fill="FFFFFF" w:val="clear"/>
            <w:tcMar>
              <w:top w:type="dxa" w:w="80"/>
              <w:left w:type="dxa" w:w="100"/>
              <w:bottom w:type="dxa" w:w="80"/>
              <w:right w:type="dxa" w:w="100"/>
            </w:tcMar>
          </w:tcPr>
          <w:p>
            <w:pPr>
              <w:jc w:val="center"/>
            </w:pPr>
            <w:r>
              <w:rPr>
                <w:b/>
                <w:bCs/>
                <w:color w:val="2E7D32"/>
                <w:sz w:val="19"/>
                <w:szCs w:val="19"/>
              </w:rPr>
              <w:t xml:space="preserve">4</w:t>
            </w:r>
          </w:p>
        </w:tc>
        <w:tc>
          <w:tcPr>
            <w:tcW w:type="dxa" w:w="2100"/>
            <w:shd w:fill="FFFFFF" w:val="clear"/>
            <w:tcMar>
              <w:top w:type="dxa" w:w="80"/>
              <w:left w:type="dxa" w:w="100"/>
              <w:bottom w:type="dxa" w:w="80"/>
              <w:right w:type="dxa" w:w="100"/>
            </w:tcMar>
          </w:tcPr>
          <w:p>
            <w:pPr>
              <w:jc w:val="center"/>
            </w:pPr>
            <w:r>
              <w:rPr>
                <w:b/>
                <w:bCs/>
                <w:color w:val="C62828"/>
                <w:sz w:val="19"/>
                <w:szCs w:val="19"/>
              </w:rPr>
              <w:t xml:space="preserve">1</w:t>
            </w:r>
          </w:p>
        </w:tc>
      </w:tr>
      <w:tr>
        <w:tc>
          <w:tcPr>
            <w:tcW w:type="dxa" w:w="3600"/>
            <w:shd w:fill="EFF5F2" w:val="clear"/>
            <w:tcMar>
              <w:top w:type="dxa" w:w="80"/>
              <w:left w:type="dxa" w:w="100"/>
              <w:bottom w:type="dxa" w:w="80"/>
              <w:right w:type="dxa" w:w="100"/>
            </w:tcMar>
          </w:tcPr>
          <w:p>
            <w:pPr>
              <w:jc w:val="left"/>
            </w:pPr>
            <w:r>
              <w:rPr>
                <w:b w:val="false"/>
                <w:bCs w:val="false"/>
                <w:sz w:val="19"/>
                <w:szCs w:val="19"/>
              </w:rPr>
              <w:t xml:space="preserve">Profondeur de détection (20 %)</w:t>
            </w:r>
          </w:p>
        </w:tc>
        <w:tc>
          <w:tcPr>
            <w:tcW w:type="dxa" w:w="2000"/>
            <w:shd w:fill="EFF5F2" w:val="clear"/>
            <w:tcMar>
              <w:top w:type="dxa" w:w="80"/>
              <w:left w:type="dxa" w:w="100"/>
              <w:bottom w:type="dxa" w:w="80"/>
              <w:right w:type="dxa" w:w="100"/>
            </w:tcMar>
          </w:tcPr>
          <w:p>
            <w:pPr>
              <w:jc w:val="center"/>
            </w:pPr>
            <w:r>
              <w:rPr>
                <w:b/>
                <w:bCs/>
                <w:color w:val="B26A00"/>
                <w:sz w:val="19"/>
                <w:szCs w:val="19"/>
              </w:rPr>
              <w:t xml:space="preserve">4</w:t>
            </w:r>
          </w:p>
        </w:tc>
        <w:tc>
          <w:tcPr>
            <w:tcW w:type="dxa" w:w="2100"/>
            <w:shd w:fill="EFF5F2" w:val="clear"/>
            <w:tcMar>
              <w:top w:type="dxa" w:w="80"/>
              <w:left w:type="dxa" w:w="100"/>
              <w:bottom w:type="dxa" w:w="80"/>
              <w:right w:type="dxa" w:w="100"/>
            </w:tcMar>
          </w:tcPr>
          <w:p>
            <w:pPr>
              <w:jc w:val="center"/>
            </w:pPr>
            <w:r>
              <w:rPr>
                <w:b/>
                <w:bCs/>
                <w:color w:val="B26A00"/>
                <w:sz w:val="19"/>
                <w:szCs w:val="19"/>
              </w:rPr>
              <w:t xml:space="preserve">3</w:t>
            </w:r>
          </w:p>
        </w:tc>
        <w:tc>
          <w:tcPr>
            <w:tcW w:type="dxa" w:w="2100"/>
            <w:shd w:fill="EFF5F2" w:val="clear"/>
            <w:tcMar>
              <w:top w:type="dxa" w:w="80"/>
              <w:left w:type="dxa" w:w="100"/>
              <w:bottom w:type="dxa" w:w="80"/>
              <w:right w:type="dxa" w:w="100"/>
            </w:tcMar>
          </w:tcPr>
          <w:p>
            <w:pPr>
              <w:jc w:val="center"/>
            </w:pPr>
            <w:r>
              <w:rPr>
                <w:b/>
                <w:bCs/>
                <w:color w:val="2E7D32"/>
                <w:sz w:val="19"/>
                <w:szCs w:val="19"/>
              </w:rPr>
              <w:t xml:space="preserve">5</w:t>
            </w:r>
          </w:p>
        </w:tc>
      </w:tr>
      <w:tr>
        <w:tc>
          <w:tcPr>
            <w:tcW w:type="dxa" w:w="3600"/>
            <w:shd w:fill="FFFFFF" w:val="clear"/>
            <w:tcMar>
              <w:top w:type="dxa" w:w="80"/>
              <w:left w:type="dxa" w:w="100"/>
              <w:bottom w:type="dxa" w:w="80"/>
              <w:right w:type="dxa" w:w="100"/>
            </w:tcMar>
          </w:tcPr>
          <w:p>
            <w:pPr>
              <w:jc w:val="left"/>
            </w:pPr>
            <w:r>
              <w:rPr>
                <w:b w:val="false"/>
                <w:bCs w:val="false"/>
                <w:sz w:val="19"/>
                <w:szCs w:val="19"/>
              </w:rPr>
              <w:t xml:space="preserve">Intégration CI/CD et vitesse (15 %)</w:t>
            </w:r>
          </w:p>
        </w:tc>
        <w:tc>
          <w:tcPr>
            <w:tcW w:type="dxa" w:w="2000"/>
            <w:shd w:fill="FFFFFF" w:val="clear"/>
            <w:tcMar>
              <w:top w:type="dxa" w:w="80"/>
              <w:left w:type="dxa" w:w="100"/>
              <w:bottom w:type="dxa" w:w="80"/>
              <w:right w:type="dxa" w:w="100"/>
            </w:tcMar>
          </w:tcPr>
          <w:p>
            <w:pPr>
              <w:jc w:val="center"/>
            </w:pPr>
            <w:r>
              <w:rPr>
                <w:b/>
                <w:bCs/>
                <w:color w:val="B26A00"/>
                <w:sz w:val="19"/>
                <w:szCs w:val="19"/>
              </w:rPr>
              <w:t xml:space="preserve">4</w:t>
            </w:r>
          </w:p>
        </w:tc>
        <w:tc>
          <w:tcPr>
            <w:tcW w:type="dxa" w:w="2100"/>
            <w:shd w:fill="FFFFFF" w:val="clear"/>
            <w:tcMar>
              <w:top w:type="dxa" w:w="80"/>
              <w:left w:type="dxa" w:w="100"/>
              <w:bottom w:type="dxa" w:w="80"/>
              <w:right w:type="dxa" w:w="100"/>
            </w:tcMar>
          </w:tcPr>
          <w:p>
            <w:pPr>
              <w:jc w:val="center"/>
            </w:pPr>
            <w:r>
              <w:rPr>
                <w:b/>
                <w:bCs/>
                <w:color w:val="2E7D32"/>
                <w:sz w:val="19"/>
                <w:szCs w:val="19"/>
              </w:rPr>
              <w:t xml:space="preserve">5</w:t>
            </w:r>
          </w:p>
        </w:tc>
        <w:tc>
          <w:tcPr>
            <w:tcW w:type="dxa" w:w="2100"/>
            <w:shd w:fill="FFFFFF" w:val="clear"/>
            <w:tcMar>
              <w:top w:type="dxa" w:w="80"/>
              <w:left w:type="dxa" w:w="100"/>
              <w:bottom w:type="dxa" w:w="80"/>
              <w:right w:type="dxa" w:w="100"/>
            </w:tcMar>
          </w:tcPr>
          <w:p>
            <w:pPr>
              <w:jc w:val="center"/>
            </w:pPr>
            <w:r>
              <w:rPr>
                <w:b/>
                <w:bCs/>
                <w:color w:val="C62828"/>
                <w:sz w:val="19"/>
                <w:szCs w:val="19"/>
              </w:rPr>
              <w:t xml:space="preserve">1</w:t>
            </w:r>
          </w:p>
        </w:tc>
      </w:tr>
      <w:tr>
        <w:tc>
          <w:tcPr>
            <w:tcW w:type="dxa" w:w="3600"/>
            <w:shd w:fill="EFF5F2" w:val="clear"/>
            <w:tcMar>
              <w:top w:type="dxa" w:w="80"/>
              <w:left w:type="dxa" w:w="100"/>
              <w:bottom w:type="dxa" w:w="80"/>
              <w:right w:type="dxa" w:w="100"/>
            </w:tcMar>
          </w:tcPr>
          <w:p>
            <w:pPr>
              <w:jc w:val="left"/>
            </w:pPr>
            <w:r>
              <w:rPr>
                <w:b w:val="false"/>
                <w:bCs w:val="false"/>
                <w:sz w:val="19"/>
                <w:szCs w:val="19"/>
              </w:rPr>
              <w:t xml:space="preserve">Gouvernance et conformité (15 %)</w:t>
            </w:r>
          </w:p>
        </w:tc>
        <w:tc>
          <w:tcPr>
            <w:tcW w:type="dxa" w:w="2000"/>
            <w:shd w:fill="EFF5F2" w:val="clear"/>
            <w:tcMar>
              <w:top w:type="dxa" w:w="80"/>
              <w:left w:type="dxa" w:w="100"/>
              <w:bottom w:type="dxa" w:w="80"/>
              <w:right w:type="dxa" w:w="100"/>
            </w:tcMar>
          </w:tcPr>
          <w:p>
            <w:pPr>
              <w:jc w:val="center"/>
            </w:pPr>
            <w:r>
              <w:rPr>
                <w:b/>
                <w:bCs/>
                <w:color w:val="2E7D32"/>
                <w:sz w:val="19"/>
                <w:szCs w:val="19"/>
              </w:rPr>
              <w:t xml:space="preserve">5</w:t>
            </w:r>
          </w:p>
        </w:tc>
        <w:tc>
          <w:tcPr>
            <w:tcW w:type="dxa" w:w="2100"/>
            <w:shd w:fill="EFF5F2" w:val="clear"/>
            <w:tcMar>
              <w:top w:type="dxa" w:w="80"/>
              <w:left w:type="dxa" w:w="100"/>
              <w:bottom w:type="dxa" w:w="80"/>
              <w:right w:type="dxa" w:w="100"/>
            </w:tcMar>
          </w:tcPr>
          <w:p>
            <w:pPr>
              <w:jc w:val="center"/>
            </w:pPr>
            <w:r>
              <w:rPr>
                <w:b/>
                <w:bCs/>
                <w:color w:val="B26A00"/>
                <w:sz w:val="19"/>
                <w:szCs w:val="19"/>
              </w:rPr>
              <w:t xml:space="preserve">3</w:t>
            </w:r>
          </w:p>
        </w:tc>
        <w:tc>
          <w:tcPr>
            <w:tcW w:type="dxa" w:w="2100"/>
            <w:shd w:fill="EFF5F2" w:val="clear"/>
            <w:tcMar>
              <w:top w:type="dxa" w:w="80"/>
              <w:left w:type="dxa" w:w="100"/>
              <w:bottom w:type="dxa" w:w="80"/>
              <w:right w:type="dxa" w:w="100"/>
            </w:tcMar>
          </w:tcPr>
          <w:p>
            <w:pPr>
              <w:jc w:val="center"/>
            </w:pPr>
            <w:r>
              <w:rPr>
                <w:b/>
                <w:bCs/>
                <w:color w:val="2E7D32"/>
                <w:sz w:val="19"/>
                <w:szCs w:val="19"/>
              </w:rPr>
              <w:t xml:space="preserve">5</w:t>
            </w:r>
          </w:p>
        </w:tc>
      </w:tr>
      <w:tr>
        <w:tc>
          <w:tcPr>
            <w:tcW w:type="dxa" w:w="3600"/>
            <w:shd w:fill="FFFFFF" w:val="clear"/>
            <w:tcMar>
              <w:top w:type="dxa" w:w="80"/>
              <w:left w:type="dxa" w:w="100"/>
              <w:bottom w:type="dxa" w:w="80"/>
              <w:right w:type="dxa" w:w="100"/>
            </w:tcMar>
          </w:tcPr>
          <w:p>
            <w:pPr>
              <w:jc w:val="left"/>
            </w:pPr>
            <w:r>
              <w:rPr>
                <w:b w:val="false"/>
                <w:bCs w:val="false"/>
                <w:sz w:val="19"/>
                <w:szCs w:val="19"/>
              </w:rPr>
              <w:t xml:space="preserve">Fiabilité / faux positifs (10 %)</w:t>
            </w:r>
          </w:p>
        </w:tc>
        <w:tc>
          <w:tcPr>
            <w:tcW w:type="dxa" w:w="2000"/>
            <w:shd w:fill="FFFFFF" w:val="clear"/>
            <w:tcMar>
              <w:top w:type="dxa" w:w="80"/>
              <w:left w:type="dxa" w:w="100"/>
              <w:bottom w:type="dxa" w:w="80"/>
              <w:right w:type="dxa" w:w="100"/>
            </w:tcMar>
          </w:tcPr>
          <w:p>
            <w:pPr>
              <w:jc w:val="center"/>
            </w:pPr>
            <w:r>
              <w:rPr>
                <w:b/>
                <w:bCs/>
                <w:color w:val="B26A00"/>
                <w:sz w:val="19"/>
                <w:szCs w:val="19"/>
              </w:rPr>
              <w:t xml:space="preserve">4</w:t>
            </w:r>
          </w:p>
        </w:tc>
        <w:tc>
          <w:tcPr>
            <w:tcW w:type="dxa" w:w="2100"/>
            <w:shd w:fill="FFFFFF" w:val="clear"/>
            <w:tcMar>
              <w:top w:type="dxa" w:w="80"/>
              <w:left w:type="dxa" w:w="100"/>
              <w:bottom w:type="dxa" w:w="80"/>
              <w:right w:type="dxa" w:w="100"/>
            </w:tcMar>
          </w:tcPr>
          <w:p>
            <w:pPr>
              <w:jc w:val="center"/>
            </w:pPr>
            <w:r>
              <w:rPr>
                <w:b/>
                <w:bCs/>
                <w:color w:val="2E7D32"/>
                <w:sz w:val="19"/>
                <w:szCs w:val="19"/>
              </w:rPr>
              <w:t xml:space="preserve">4</w:t>
            </w:r>
          </w:p>
        </w:tc>
        <w:tc>
          <w:tcPr>
            <w:tcW w:type="dxa" w:w="2100"/>
            <w:shd w:fill="FFFFFF" w:val="clear"/>
            <w:tcMar>
              <w:top w:type="dxa" w:w="80"/>
              <w:left w:type="dxa" w:w="100"/>
              <w:bottom w:type="dxa" w:w="80"/>
              <w:right w:type="dxa" w:w="100"/>
            </w:tcMar>
          </w:tcPr>
          <w:p>
            <w:pPr>
              <w:jc w:val="center"/>
            </w:pPr>
            <w:r>
              <w:rPr>
                <w:b/>
                <w:bCs/>
                <w:color w:val="C62828"/>
                <w:sz w:val="19"/>
                <w:szCs w:val="19"/>
              </w:rPr>
              <w:t xml:space="preserve">2</w:t>
            </w:r>
          </w:p>
        </w:tc>
      </w:tr>
      <w:tr>
        <w:tc>
          <w:tcPr>
            <w:tcW w:type="dxa" w:w="3600"/>
            <w:shd w:fill="EFF5F2" w:val="clear"/>
            <w:tcMar>
              <w:top w:type="dxa" w:w="80"/>
              <w:left w:type="dxa" w:w="100"/>
              <w:bottom w:type="dxa" w:w="80"/>
              <w:right w:type="dxa" w:w="100"/>
            </w:tcMar>
          </w:tcPr>
          <w:p>
            <w:pPr>
              <w:jc w:val="left"/>
            </w:pPr>
            <w:r>
              <w:rPr>
                <w:b w:val="false"/>
                <w:bCs w:val="false"/>
                <w:sz w:val="19"/>
                <w:szCs w:val="19"/>
              </w:rPr>
              <w:t xml:space="preserve">Coût récurrent / TCO (10 %)</w:t>
            </w:r>
          </w:p>
        </w:tc>
        <w:tc>
          <w:tcPr>
            <w:tcW w:type="dxa" w:w="2000"/>
            <w:shd w:fill="EFF5F2" w:val="clear"/>
            <w:tcMar>
              <w:top w:type="dxa" w:w="80"/>
              <w:left w:type="dxa" w:w="100"/>
              <w:bottom w:type="dxa" w:w="80"/>
              <w:right w:type="dxa" w:w="100"/>
            </w:tcMar>
          </w:tcPr>
          <w:p>
            <w:pPr>
              <w:jc w:val="center"/>
            </w:pPr>
            <w:r>
              <w:rPr>
                <w:b/>
                <w:bCs/>
                <w:color w:val="B26A00"/>
                <w:sz w:val="19"/>
                <w:szCs w:val="19"/>
              </w:rPr>
              <w:t xml:space="preserve">4</w:t>
            </w:r>
          </w:p>
        </w:tc>
        <w:tc>
          <w:tcPr>
            <w:tcW w:type="dxa" w:w="2100"/>
            <w:shd w:fill="EFF5F2" w:val="clear"/>
            <w:tcMar>
              <w:top w:type="dxa" w:w="80"/>
              <w:left w:type="dxa" w:w="100"/>
              <w:bottom w:type="dxa" w:w="80"/>
              <w:right w:type="dxa" w:w="100"/>
            </w:tcMar>
          </w:tcPr>
          <w:p>
            <w:pPr>
              <w:jc w:val="center"/>
            </w:pPr>
            <w:r>
              <w:rPr>
                <w:b/>
                <w:bCs/>
                <w:color w:val="2E7D32"/>
                <w:sz w:val="19"/>
                <w:szCs w:val="19"/>
              </w:rPr>
              <w:t xml:space="preserve">5</w:t>
            </w:r>
          </w:p>
        </w:tc>
        <w:tc>
          <w:tcPr>
            <w:tcW w:type="dxa" w:w="2100"/>
            <w:shd w:fill="EFF5F2" w:val="clear"/>
            <w:tcMar>
              <w:top w:type="dxa" w:w="80"/>
              <w:left w:type="dxa" w:w="100"/>
              <w:bottom w:type="dxa" w:w="80"/>
              <w:right w:type="dxa" w:w="100"/>
            </w:tcMar>
          </w:tcPr>
          <w:p>
            <w:pPr>
              <w:jc w:val="center"/>
            </w:pPr>
            <w:r>
              <w:rPr>
                <w:b/>
                <w:bCs/>
                <w:color w:val="C62828"/>
                <w:sz w:val="19"/>
                <w:szCs w:val="19"/>
              </w:rPr>
              <w:t xml:space="preserve">1</w:t>
            </w:r>
          </w:p>
        </w:tc>
      </w:tr>
      <w:tr>
        <w:tc>
          <w:tcPr>
            <w:tcW w:type="dxa" w:w="3600"/>
            <w:shd w:fill="FFFFFF" w:val="clear"/>
            <w:tcMar>
              <w:top w:type="dxa" w:w="80"/>
              <w:left w:type="dxa" w:w="100"/>
              <w:bottom w:type="dxa" w:w="80"/>
              <w:right w:type="dxa" w:w="100"/>
            </w:tcMar>
          </w:tcPr>
          <w:p>
            <w:pPr>
              <w:jc w:val="left"/>
            </w:pPr>
            <w:r>
              <w:rPr>
                <w:b w:val="false"/>
                <w:bCs w:val="false"/>
                <w:sz w:val="19"/>
                <w:szCs w:val="19"/>
              </w:rPr>
              <w:t xml:space="preserve">Pérennité / indépendance (5 %)</w:t>
            </w:r>
          </w:p>
        </w:tc>
        <w:tc>
          <w:tcPr>
            <w:tcW w:type="dxa" w:w="2000"/>
            <w:shd w:fill="FFFFFF" w:val="clear"/>
            <w:tcMar>
              <w:top w:type="dxa" w:w="80"/>
              <w:left w:type="dxa" w:w="100"/>
              <w:bottom w:type="dxa" w:w="80"/>
              <w:right w:type="dxa" w:w="100"/>
            </w:tcMar>
          </w:tcPr>
          <w:p>
            <w:pPr>
              <w:jc w:val="center"/>
            </w:pPr>
            <w:r>
              <w:rPr>
                <w:b/>
                <w:bCs/>
                <w:color w:val="2E7D32"/>
                <w:sz w:val="19"/>
                <w:szCs w:val="19"/>
              </w:rPr>
              <w:t xml:space="preserve">5</w:t>
            </w:r>
          </w:p>
        </w:tc>
        <w:tc>
          <w:tcPr>
            <w:tcW w:type="dxa" w:w="2100"/>
            <w:shd w:fill="FFFFFF" w:val="clear"/>
            <w:tcMar>
              <w:top w:type="dxa" w:w="80"/>
              <w:left w:type="dxa" w:w="100"/>
              <w:bottom w:type="dxa" w:w="80"/>
              <w:right w:type="dxa" w:w="100"/>
            </w:tcMar>
          </w:tcPr>
          <w:p>
            <w:pPr>
              <w:jc w:val="center"/>
            </w:pPr>
            <w:r>
              <w:rPr>
                <w:b/>
                <w:bCs/>
                <w:color w:val="B26A00"/>
                <w:sz w:val="19"/>
                <w:szCs w:val="19"/>
              </w:rPr>
              <w:t xml:space="preserve">2</w:t>
            </w:r>
          </w:p>
        </w:tc>
        <w:tc>
          <w:tcPr>
            <w:tcW w:type="dxa" w:w="2100"/>
            <w:shd w:fill="FFFFFF" w:val="clear"/>
            <w:tcMar>
              <w:top w:type="dxa" w:w="80"/>
              <w:left w:type="dxa" w:w="100"/>
              <w:bottom w:type="dxa" w:w="80"/>
              <w:right w:type="dxa" w:w="100"/>
            </w:tcMar>
          </w:tcPr>
          <w:p>
            <w:pPr>
              <w:jc w:val="center"/>
            </w:pPr>
            <w:r>
              <w:rPr>
                <w:b/>
                <w:bCs/>
                <w:color w:val="B26A00"/>
                <w:sz w:val="19"/>
                <w:szCs w:val="19"/>
              </w:rPr>
              <w:t xml:space="preserve">2</w:t>
            </w:r>
          </w:p>
        </w:tc>
      </w:tr>
      <w:tr>
        <w:tc>
          <w:tcPr>
            <w:tcW w:type="dxa" w:w="3600"/>
            <w:shd w:fill="EFF5F2" w:val="clear"/>
            <w:tcMar>
              <w:top w:type="dxa" w:w="80"/>
              <w:left w:type="dxa" w:w="100"/>
              <w:bottom w:type="dxa" w:w="80"/>
              <w:right w:type="dxa" w:w="100"/>
            </w:tcMar>
          </w:tcPr>
          <w:p>
            <w:pPr>
              <w:jc w:val="left"/>
            </w:pPr>
            <w:r>
              <w:rPr>
                <w:b/>
                <w:bCs/>
                <w:sz w:val="19"/>
                <w:szCs w:val="19"/>
              </w:rPr>
              <w:t xml:space="preserve">Score pondéré / 5</w:t>
            </w:r>
          </w:p>
        </w:tc>
        <w:tc>
          <w:tcPr>
            <w:tcW w:type="dxa" w:w="2000"/>
            <w:shd w:fill="EFF5F2" w:val="clear"/>
            <w:tcMar>
              <w:top w:type="dxa" w:w="80"/>
              <w:left w:type="dxa" w:w="100"/>
              <w:bottom w:type="dxa" w:w="80"/>
              <w:right w:type="dxa" w:w="100"/>
            </w:tcMar>
          </w:tcPr>
          <w:p>
            <w:pPr>
              <w:jc w:val="center"/>
            </w:pPr>
            <w:r>
              <w:rPr>
                <w:b/>
                <w:bCs/>
                <w:color w:val="2E7D32"/>
                <w:sz w:val="19"/>
                <w:szCs w:val="19"/>
              </w:rPr>
              <w:t xml:space="preserve">4,40</w:t>
            </w:r>
          </w:p>
        </w:tc>
        <w:tc>
          <w:tcPr>
            <w:tcW w:type="dxa" w:w="2100"/>
            <w:shd w:fill="EFF5F2" w:val="clear"/>
            <w:tcMar>
              <w:top w:type="dxa" w:w="80"/>
              <w:left w:type="dxa" w:w="100"/>
              <w:bottom w:type="dxa" w:w="80"/>
              <w:right w:type="dxa" w:w="100"/>
            </w:tcMar>
          </w:tcPr>
          <w:p>
            <w:pPr>
              <w:jc w:val="center"/>
            </w:pPr>
            <w:r>
              <w:rPr>
                <w:b/>
                <w:bCs/>
                <w:color w:val="B26A00"/>
                <w:sz w:val="19"/>
                <w:szCs w:val="19"/>
              </w:rPr>
              <w:t xml:space="preserve">3,75</w:t>
            </w:r>
          </w:p>
        </w:tc>
        <w:tc>
          <w:tcPr>
            <w:tcW w:type="dxa" w:w="2100"/>
            <w:shd w:fill="EFF5F2" w:val="clear"/>
            <w:tcMar>
              <w:top w:type="dxa" w:w="80"/>
              <w:left w:type="dxa" w:w="100"/>
              <w:bottom w:type="dxa" w:w="80"/>
              <w:right w:type="dxa" w:w="100"/>
            </w:tcMar>
          </w:tcPr>
          <w:p>
            <w:pPr>
              <w:jc w:val="center"/>
            </w:pPr>
            <w:r>
              <w:rPr>
                <w:b/>
                <w:bCs/>
                <w:color w:val="C62828"/>
                <w:sz w:val="19"/>
                <w:szCs w:val="19"/>
              </w:rPr>
              <w:t xml:space="preserve">2,60</w:t>
            </w:r>
          </w:p>
        </w:tc>
      </w:tr>
    </w:tbl>
    <w:p>
      <w:pPr>
        <w:spacing w:before="200"/>
      </w:pPr>
    </w:p>
    <w:p>
      <w:pPr>
        <w:spacing w:after="160"/>
        <w:jc w:val="both"/>
      </w:pPr>
      <w:r>
        <w:rPr>
          <w:i/>
          <w:iCs/>
          <w:color w:val="555555"/>
          <w:sz w:val="20"/>
          <w:szCs w:val="20"/>
        </w:rPr>
        <w:t xml:space="preserve">Détail du calcul : SonarQube DC = 5×0,25 + 4×0,20 + 4×0,15 + 5×0,15 + 4×0,10 + 4×0,10 + 5×0,05 = 4,40. GitLab Advanced SAST = 4×0,25 + 3×0,20 + 5×0,15 + 3×0,15 + 4×0,10 + 5×0,10 + 2×0,05 = 3,75. Fortify = 1×0,25 + 5×0,20 + 1×0,15 + 5×0,15 + 2×0,10 + 1×0,10 + 2×0,05 = 2,60.</w:t>
      </w:r>
    </w:p>
    <w:p>
      <w:pPr>
        <w:pStyle w:val="Heading3"/>
        <w:spacing w:after="100" w:before="200"/>
      </w:pPr>
      <w:r>
        <w:t xml:space="preserve">Justification des notes structurantes</w:t>
      </w:r>
    </w:p>
    <w:p>
      <w:pPr>
        <w:pStyle w:val="ListParagraph"/>
        <w:numPr>
          <w:ilvl w:val="0"/>
          <w:numId w:val="1"/>
        </w:numPr>
        <w:spacing w:after="80"/>
      </w:pPr>
      <w:r>
        <w:t xml:space="preserve">Adoption développeur — SonarQube 5 : boucle de feedback la plus courte du marché (SonarQube for IDE en mode connecté, décoration MR/PR, Quality Gates comprises des équipes) ; GitLab 4 : natif en MR mais sans équivalent IDE aussi mature ; Fortify 1 : scans de 60 à 180 minutes, modèle « security-team-driven », rejeté de fait par les développeurs.</w:t>
      </w:r>
    </w:p>
    <w:p>
      <w:pPr>
        <w:pStyle w:val="ListParagraph"/>
        <w:numPr>
          <w:ilvl w:val="0"/>
          <w:numId w:val="1"/>
        </w:numPr>
        <w:spacing w:after="80"/>
      </w:pPr>
      <w:r>
        <w:t xml:space="preserve">Profondeur de détection — Fortify 5 : analyse programme entier, 1 500+ catégories, injections au second ordre, C/C++ et legacy ; SonarQube 4 : taint cross-fichier solide, étendu aux bibliothèques tierces avec Advanced Security, mais catalogue sécurité plus restreint ; GitLab 3 : taint vérifiable de qualité mais sources volontairement limitées au périmètre web et couverture linguistique Advanced SAST plus étroite.</w:t>
      </w:r>
    </w:p>
    <w:p>
      <w:pPr>
        <w:pStyle w:val="ListParagraph"/>
        <w:numPr>
          <w:ilvl w:val="0"/>
          <w:numId w:val="1"/>
        </w:numPr>
        <w:spacing w:after="80"/>
      </w:pPr>
      <w:r>
        <w:t xml:space="preserve">Vitesse / CI-CD — GitLab 5 : scan différentiel natif en MR, zéro configuration ; SonarQube 4 : bien intégré mais scans complets parfois longs sur les gros monolithes ; Fortify 1 : incompatible avec un feedback en cycle de MR.</w:t>
      </w:r>
    </w:p>
    <w:p>
      <w:pPr>
        <w:pStyle w:val="ListParagraph"/>
        <w:numPr>
          <w:ilvl w:val="0"/>
          <w:numId w:val="1"/>
        </w:numPr>
        <w:spacing w:after="80"/>
      </w:pPr>
      <w:r>
        <w:t xml:space="preserve">Gouvernance — SonarQube 5 et Fortify 5 : rapports réglementaires opposables (OWASP/CWE/ASVS/PCI/STIG pour SonarQube ; FedRAMP/DISA pour Fortify) ; GitLab 3 : dashboards de pipeline, pas de reporting réglementaire sectoriel formel.</w:t>
      </w:r>
    </w:p>
    <w:p>
      <w:pPr>
        <w:pStyle w:val="ListParagraph"/>
        <w:numPr>
          <w:ilvl w:val="0"/>
          <w:numId w:val="1"/>
        </w:numPr>
        <w:spacing w:after="80"/>
      </w:pPr>
      <w:r>
        <w:t xml:space="preserve">Coût — GitLab 5 : inclus dans Ultimate déjà payé ; SonarQube 4 : licence DC déjà acquise, coût d'infrastructure et d'administration maîtrisé en interne ; Fortify 1 : 30-150 k$+/an de renouvellement pour une valeur marginale faible dans ce contexte.</w:t>
      </w:r>
    </w:p>
    <w:p>
      <w:r>
        <w:br w:type="page"/>
      </w:r>
    </w:p>
    <w:p>
      <w:pPr>
        <w:pStyle w:val="Heading1"/>
        <w:spacing w:after="200" w:before="400"/>
      </w:pPr>
      <w:r>
        <w:t xml:space="preserve">5. Scénarios examinés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700"/>
        <w:gridCol w:w="2500"/>
        <w:gridCol w:w="3200"/>
        <w:gridCol w:w="1400"/>
      </w:tblGrid>
      <w:tr>
        <w:trPr>
          <w:tblHeader/>
        </w:trPr>
        <w:tc>
          <w:tcPr>
            <w:tcW w:type="dxa" w:w="2700"/>
            <w:shd w:fill="1F4E3D" w:val="clear"/>
            <w:tcMar>
              <w:top w:type="dxa" w:w="80"/>
              <w:left w:type="dxa" w:w="100"/>
              <w:bottom w:type="dxa" w:w="80"/>
              <w:right w:type="dxa" w:w="100"/>
            </w:tcMar>
          </w:tcPr>
          <w:p>
            <w:pPr>
              <w:jc w:val="center"/>
            </w:pPr>
            <w:r>
              <w:rPr>
                <w:b/>
                <w:bCs/>
                <w:color w:val="FFFFFF"/>
                <w:sz w:val="19"/>
                <w:szCs w:val="19"/>
              </w:rPr>
              <w:t xml:space="preserve">Scénario</w:t>
            </w:r>
          </w:p>
        </w:tc>
        <w:tc>
          <w:tcPr>
            <w:tcW w:type="dxa" w:w="2500"/>
            <w:shd w:fill="1F4E3D" w:val="clear"/>
            <w:tcMar>
              <w:top w:type="dxa" w:w="80"/>
              <w:left w:type="dxa" w:w="100"/>
              <w:bottom w:type="dxa" w:w="80"/>
              <w:right w:type="dxa" w:w="100"/>
            </w:tcMar>
          </w:tcPr>
          <w:p>
            <w:pPr>
              <w:jc w:val="center"/>
            </w:pPr>
            <w:r>
              <w:rPr>
                <w:b/>
                <w:bCs/>
                <w:color w:val="FFFFFF"/>
                <w:sz w:val="19"/>
                <w:szCs w:val="19"/>
              </w:rPr>
              <w:t xml:space="preserve">Avantages</w:t>
            </w:r>
          </w:p>
        </w:tc>
        <w:tc>
          <w:tcPr>
            <w:tcW w:type="dxa" w:w="3200"/>
            <w:shd w:fill="1F4E3D" w:val="clear"/>
            <w:tcMar>
              <w:top w:type="dxa" w:w="80"/>
              <w:left w:type="dxa" w:w="100"/>
              <w:bottom w:type="dxa" w:w="80"/>
              <w:right w:type="dxa" w:w="100"/>
            </w:tcMar>
          </w:tcPr>
          <w:p>
            <w:pPr>
              <w:jc w:val="center"/>
            </w:pPr>
            <w:r>
              <w:rPr>
                <w:b/>
                <w:bCs/>
                <w:color w:val="FFFFFF"/>
                <w:sz w:val="19"/>
                <w:szCs w:val="19"/>
              </w:rPr>
              <w:t xml:space="preserve">Risques / coûts</w:t>
            </w:r>
          </w:p>
        </w:tc>
        <w:tc>
          <w:tcPr>
            <w:tcW w:type="dxa" w:w="1400"/>
            <w:shd w:fill="1F4E3D" w:val="clear"/>
            <w:tcMar>
              <w:top w:type="dxa" w:w="80"/>
              <w:left w:type="dxa" w:w="100"/>
              <w:bottom w:type="dxa" w:w="80"/>
              <w:right w:type="dxa" w:w="100"/>
            </w:tcMar>
          </w:tcPr>
          <w:p>
            <w:pPr>
              <w:jc w:val="center"/>
            </w:pPr>
            <w:r>
              <w:rPr>
                <w:b/>
                <w:bCs/>
                <w:color w:val="FFFFFF"/>
                <w:sz w:val="19"/>
                <w:szCs w:val="19"/>
              </w:rPr>
              <w:t xml:space="preserve">Verdict</w:t>
            </w:r>
          </w:p>
        </w:tc>
      </w:tr>
      <w:tr>
        <w:tc>
          <w:tcPr>
            <w:tcW w:type="dxa" w:w="2700"/>
            <w:shd w:fill="FFFFFF" w:val="clear"/>
            <w:tcMar>
              <w:top w:type="dxa" w:w="80"/>
              <w:left w:type="dxa" w:w="100"/>
              <w:bottom w:type="dxa" w:w="80"/>
              <w:right w:type="dxa" w:w="100"/>
            </w:tcMar>
          </w:tcPr>
          <w:p>
            <w:pPr>
              <w:jc w:val="left"/>
            </w:pPr>
            <w:r>
              <w:rPr>
                <w:b w:val="false"/>
                <w:bCs w:val="false"/>
                <w:sz w:val="19"/>
                <w:szCs w:val="19"/>
              </w:rPr>
              <w:t xml:space="preserve">A. SonarQube DC référent + GitLab Adv. SAST en complément + Fortify restreint/décommissionné</w:t>
            </w:r>
          </w:p>
        </w:tc>
        <w:tc>
          <w:tcPr>
            <w:tcW w:type="dxa" w:w="2500"/>
            <w:shd w:fill="FFFFFF" w:val="clear"/>
            <w:tcMar>
              <w:top w:type="dxa" w:w="80"/>
              <w:left w:type="dxa" w:w="100"/>
              <w:bottom w:type="dxa" w:w="80"/>
              <w:right w:type="dxa" w:w="100"/>
            </w:tcMar>
          </w:tcPr>
          <w:p>
            <w:pPr>
              <w:jc w:val="left"/>
            </w:pPr>
            <w:r>
              <w:rPr>
                <w:b w:val="false"/>
                <w:bCs w:val="false"/>
                <w:sz w:val="19"/>
                <w:szCs w:val="19"/>
              </w:rPr>
              <w:t xml:space="preserve">Adoption maximale ; capitalise sur l'existant ; économie Fortify ; double regard sécurité sans surcoût</w:t>
            </w:r>
          </w:p>
        </w:tc>
        <w:tc>
          <w:tcPr>
            <w:tcW w:type="dxa" w:w="3200"/>
            <w:shd w:fill="FFFFFF" w:val="clear"/>
            <w:tcMar>
              <w:top w:type="dxa" w:w="80"/>
              <w:left w:type="dxa" w:w="100"/>
              <w:bottom w:type="dxa" w:w="80"/>
              <w:right w:type="dxa" w:w="100"/>
            </w:tcMar>
          </w:tcPr>
          <w:p>
            <w:pPr>
              <w:jc w:val="left"/>
            </w:pPr>
            <w:r>
              <w:rPr>
                <w:b w:val="false"/>
                <w:bCs w:val="false"/>
                <w:sz w:val="19"/>
                <w:szCs w:val="19"/>
              </w:rPr>
              <w:t xml:space="preserve">Nécessite gouvernance de déduplication SonarQube/GitLab ; profondeur Fortify perdue hors périmètres conservés</w:t>
            </w:r>
          </w:p>
        </w:tc>
        <w:tc>
          <w:tcPr>
            <w:tcW w:type="dxa" w:w="1400"/>
            <w:shd w:fill="FFFFFF" w:val="clear"/>
            <w:tcMar>
              <w:top w:type="dxa" w:w="80"/>
              <w:left w:type="dxa" w:w="100"/>
              <w:bottom w:type="dxa" w:w="80"/>
              <w:right w:type="dxa" w:w="100"/>
            </w:tcMar>
          </w:tcPr>
          <w:p>
            <w:pPr>
              <w:jc w:val="left"/>
            </w:pPr>
            <w:r>
              <w:rPr>
                <w:b/>
                <w:bCs/>
                <w:color w:val="2E7D32"/>
                <w:sz w:val="19"/>
                <w:szCs w:val="19"/>
              </w:rPr>
              <w:t xml:space="preserve">RETENU</w:t>
            </w:r>
          </w:p>
        </w:tc>
      </w:tr>
      <w:tr>
        <w:tc>
          <w:tcPr>
            <w:tcW w:type="dxa" w:w="2700"/>
            <w:shd w:fill="EFF5F2" w:val="clear"/>
            <w:tcMar>
              <w:top w:type="dxa" w:w="80"/>
              <w:left w:type="dxa" w:w="100"/>
              <w:bottom w:type="dxa" w:w="80"/>
              <w:right w:type="dxa" w:w="100"/>
            </w:tcMar>
          </w:tcPr>
          <w:p>
            <w:pPr>
              <w:jc w:val="left"/>
            </w:pPr>
            <w:r>
              <w:rPr>
                <w:b w:val="false"/>
                <w:bCs w:val="false"/>
                <w:sz w:val="19"/>
                <w:szCs w:val="19"/>
              </w:rPr>
              <w:t xml:space="preserve">B. GitLab Advanced SAST référent unique</w:t>
            </w:r>
          </w:p>
        </w:tc>
        <w:tc>
          <w:tcPr>
            <w:tcW w:type="dxa" w:w="2500"/>
            <w:shd w:fill="EFF5F2" w:val="clear"/>
            <w:tcMar>
              <w:top w:type="dxa" w:w="80"/>
              <w:left w:type="dxa" w:w="100"/>
              <w:bottom w:type="dxa" w:w="80"/>
              <w:right w:type="dxa" w:w="100"/>
            </w:tcMar>
          </w:tcPr>
          <w:p>
            <w:pPr>
              <w:jc w:val="left"/>
            </w:pPr>
            <w:r>
              <w:rPr>
                <w:b w:val="false"/>
                <w:bCs w:val="false"/>
                <w:sz w:val="19"/>
                <w:szCs w:val="19"/>
              </w:rPr>
              <w:t xml:space="preserve">Consolidation extrême ; zéro outil à opérer ; IA de triage native</w:t>
            </w:r>
          </w:p>
        </w:tc>
        <w:tc>
          <w:tcPr>
            <w:tcW w:type="dxa" w:w="3200"/>
            <w:shd w:fill="EFF5F2" w:val="clear"/>
            <w:tcMar>
              <w:top w:type="dxa" w:w="80"/>
              <w:left w:type="dxa" w:w="100"/>
              <w:bottom w:type="dxa" w:w="80"/>
              <w:right w:type="dxa" w:w="100"/>
            </w:tcMar>
          </w:tcPr>
          <w:p>
            <w:pPr>
              <w:jc w:val="left"/>
            </w:pPr>
            <w:r>
              <w:rPr>
                <w:b w:val="false"/>
                <w:bCs w:val="false"/>
                <w:sz w:val="19"/>
                <w:szCs w:val="19"/>
              </w:rPr>
              <w:t xml:space="preserve">Enfermement total dans GitLab ; perte des Quality Gates multi-forges et du reporting réglementaire ; migration des historiques SonarQube ; le multi-forge est probable à l'échelle d'une grande société</w:t>
            </w:r>
          </w:p>
        </w:tc>
        <w:tc>
          <w:tcPr>
            <w:tcW w:type="dxa" w:w="1400"/>
            <w:shd w:fill="EFF5F2" w:val="clear"/>
            <w:tcMar>
              <w:top w:type="dxa" w:w="80"/>
              <w:left w:type="dxa" w:w="100"/>
              <w:bottom w:type="dxa" w:w="80"/>
              <w:right w:type="dxa" w:w="100"/>
            </w:tcMar>
          </w:tcPr>
          <w:p>
            <w:pPr>
              <w:jc w:val="left"/>
            </w:pPr>
            <w:r>
              <w:rPr>
                <w:b/>
                <w:bCs/>
                <w:color w:val="C62828"/>
                <w:sz w:val="19"/>
                <w:szCs w:val="19"/>
              </w:rPr>
              <w:t xml:space="preserve">ÉCARTÉ</w:t>
            </w:r>
          </w:p>
        </w:tc>
      </w:tr>
      <w:tr>
        <w:tc>
          <w:tcPr>
            <w:tcW w:type="dxa" w:w="2700"/>
            <w:shd w:fill="FFFFFF" w:val="clear"/>
            <w:tcMar>
              <w:top w:type="dxa" w:w="80"/>
              <w:left w:type="dxa" w:w="100"/>
              <w:bottom w:type="dxa" w:w="80"/>
              <w:right w:type="dxa" w:w="100"/>
            </w:tcMar>
          </w:tcPr>
          <w:p>
            <w:pPr>
              <w:jc w:val="left"/>
            </w:pPr>
            <w:r>
              <w:rPr>
                <w:b w:val="false"/>
                <w:bCs w:val="false"/>
                <w:sz w:val="19"/>
                <w:szCs w:val="19"/>
              </w:rPr>
              <w:t xml:space="preserve">C. Fortify référent (statu quo renforcé)</w:t>
            </w:r>
          </w:p>
        </w:tc>
        <w:tc>
          <w:tcPr>
            <w:tcW w:type="dxa" w:w="2500"/>
            <w:shd w:fill="FFFFFF" w:val="clear"/>
            <w:tcMar>
              <w:top w:type="dxa" w:w="80"/>
              <w:left w:type="dxa" w:w="100"/>
              <w:bottom w:type="dxa" w:w="80"/>
              <w:right w:type="dxa" w:w="100"/>
            </w:tcMar>
          </w:tcPr>
          <w:p>
            <w:pPr>
              <w:jc w:val="left"/>
            </w:pPr>
            <w:r>
              <w:rPr>
                <w:b w:val="false"/>
                <w:bCs w:val="false"/>
                <w:sz w:val="19"/>
                <w:szCs w:val="19"/>
              </w:rPr>
              <w:t xml:space="preserve">Profondeur de détection maximale ; conformité nord-américaine</w:t>
            </w:r>
          </w:p>
        </w:tc>
        <w:tc>
          <w:tcPr>
            <w:tcW w:type="dxa" w:w="3200"/>
            <w:shd w:fill="FFFFFF" w:val="clear"/>
            <w:tcMar>
              <w:top w:type="dxa" w:w="80"/>
              <w:left w:type="dxa" w:w="100"/>
              <w:bottom w:type="dxa" w:w="80"/>
              <w:right w:type="dxa" w:w="100"/>
            </w:tcMar>
          </w:tcPr>
          <w:p>
            <w:pPr>
              <w:jc w:val="left"/>
            </w:pPr>
            <w:r>
              <w:rPr>
                <w:b w:val="false"/>
                <w:bCs w:val="false"/>
                <w:sz w:val="19"/>
                <w:szCs w:val="19"/>
              </w:rPr>
              <w:t xml:space="preserve">Adoption développeur quasi nulle ; scans incompatibles avec le cycle MR ; TCO le plus élevé ; charge de triage élevée (faux positifs)</w:t>
            </w:r>
          </w:p>
        </w:tc>
        <w:tc>
          <w:tcPr>
            <w:tcW w:type="dxa" w:w="1400"/>
            <w:shd w:fill="FFFFFF" w:val="clear"/>
            <w:tcMar>
              <w:top w:type="dxa" w:w="80"/>
              <w:left w:type="dxa" w:w="100"/>
              <w:bottom w:type="dxa" w:w="80"/>
              <w:right w:type="dxa" w:w="100"/>
            </w:tcMar>
          </w:tcPr>
          <w:p>
            <w:pPr>
              <w:jc w:val="left"/>
            </w:pPr>
            <w:r>
              <w:rPr>
                <w:b/>
                <w:bCs/>
                <w:color w:val="C62828"/>
                <w:sz w:val="19"/>
                <w:szCs w:val="19"/>
              </w:rPr>
              <w:t xml:space="preserve">ÉCARTÉ</w:t>
            </w:r>
          </w:p>
        </w:tc>
      </w:tr>
      <w:tr>
        <w:tc>
          <w:tcPr>
            <w:tcW w:type="dxa" w:w="2700"/>
            <w:shd w:fill="EFF5F2" w:val="clear"/>
            <w:tcMar>
              <w:top w:type="dxa" w:w="80"/>
              <w:left w:type="dxa" w:w="100"/>
              <w:bottom w:type="dxa" w:w="80"/>
              <w:right w:type="dxa" w:w="100"/>
            </w:tcMar>
          </w:tcPr>
          <w:p>
            <w:pPr>
              <w:jc w:val="left"/>
            </w:pPr>
            <w:r>
              <w:rPr>
                <w:b w:val="false"/>
                <w:bCs w:val="false"/>
                <w:sz w:val="19"/>
                <w:szCs w:val="19"/>
              </w:rPr>
              <w:t xml:space="preserve">D. Statu quo : trois outils sans référent désigné</w:t>
            </w:r>
          </w:p>
        </w:tc>
        <w:tc>
          <w:tcPr>
            <w:tcW w:type="dxa" w:w="2500"/>
            <w:shd w:fill="EFF5F2" w:val="clear"/>
            <w:tcMar>
              <w:top w:type="dxa" w:w="80"/>
              <w:left w:type="dxa" w:w="100"/>
              <w:bottom w:type="dxa" w:w="80"/>
              <w:right w:type="dxa" w:w="100"/>
            </w:tcMar>
          </w:tcPr>
          <w:p>
            <w:pPr>
              <w:jc w:val="left"/>
            </w:pPr>
            <w:r>
              <w:rPr>
                <w:b w:val="false"/>
                <w:bCs w:val="false"/>
                <w:sz w:val="19"/>
                <w:szCs w:val="19"/>
              </w:rPr>
              <w:t xml:space="preserve">Aucun effort de transition</w:t>
            </w:r>
          </w:p>
        </w:tc>
        <w:tc>
          <w:tcPr>
            <w:tcW w:type="dxa" w:w="3200"/>
            <w:shd w:fill="EFF5F2" w:val="clear"/>
            <w:tcMar>
              <w:top w:type="dxa" w:w="80"/>
              <w:left w:type="dxa" w:w="100"/>
              <w:bottom w:type="dxa" w:w="80"/>
              <w:right w:type="dxa" w:w="100"/>
            </w:tcMar>
          </w:tcPr>
          <w:p>
            <w:pPr>
              <w:jc w:val="left"/>
            </w:pPr>
            <w:r>
              <w:rPr>
                <w:b w:val="false"/>
                <w:bCs w:val="false"/>
                <w:sz w:val="19"/>
                <w:szCs w:val="19"/>
              </w:rPr>
              <w:t xml:space="preserve">Findings dupliqués ; triage éclaté ; indicateurs incohérents ; triple coût pérennisé ; fatigue des développeurs</w:t>
            </w:r>
          </w:p>
        </w:tc>
        <w:tc>
          <w:tcPr>
            <w:tcW w:type="dxa" w:w="1400"/>
            <w:shd w:fill="EFF5F2" w:val="clear"/>
            <w:tcMar>
              <w:top w:type="dxa" w:w="80"/>
              <w:left w:type="dxa" w:w="100"/>
              <w:bottom w:type="dxa" w:w="80"/>
              <w:right w:type="dxa" w:w="100"/>
            </w:tcMar>
          </w:tcPr>
          <w:p>
            <w:pPr>
              <w:jc w:val="left"/>
            </w:pPr>
            <w:r>
              <w:rPr>
                <w:b/>
                <w:bCs/>
                <w:color w:val="C62828"/>
                <w:sz w:val="19"/>
                <w:szCs w:val="19"/>
              </w:rPr>
              <w:t xml:space="preserve">ÉCARTÉ</w:t>
            </w:r>
          </w:p>
        </w:tc>
      </w:tr>
    </w:tbl>
    <w:p>
      <w:pPr>
        <w:pStyle w:val="Heading1"/>
        <w:spacing w:after="200" w:before="400"/>
      </w:pPr>
      <w:r>
        <w:t xml:space="preserve">6. Justification détaillée du choix (scénario A)</w:t>
      </w:r>
    </w:p>
    <w:p>
      <w:pPr>
        <w:pStyle w:val="Heading3"/>
        <w:spacing w:after="100" w:before="200"/>
      </w:pPr>
      <w:r>
        <w:t xml:space="preserve">Pourquoi SonarQube Data Center en outil de référence</w:t>
      </w:r>
    </w:p>
    <w:p>
      <w:pPr>
        <w:pStyle w:val="ListParagraph"/>
        <w:numPr>
          <w:ilvl w:val="0"/>
          <w:numId w:val="1"/>
        </w:numPr>
        <w:spacing w:after="80"/>
      </w:pPr>
      <w:r>
        <w:t xml:space="preserve">L'adoption prime : dans un environnement centré développeurs, le meilleur SAST est celui qui est réellement utilisé. SonarQube offre le feedback dans l'IDE, dans la MR et dans le pipeline, avec un vocabulaire (Quality Gate, hotspot, dette) déjà assimilé par les équipes.</w:t>
      </w:r>
    </w:p>
    <w:p>
      <w:pPr>
        <w:pStyle w:val="ListParagraph"/>
        <w:numPr>
          <w:ilvl w:val="0"/>
          <w:numId w:val="1"/>
        </w:numPr>
        <w:spacing w:after="80"/>
      </w:pPr>
      <w:r>
        <w:t xml:space="preserve">L'édition détenue est déjà le haut de gamme : haute disponibilité, taint analysis cross-fichier, configuration personnalisée des sources/sinks/sanitizers pour les frameworks internes, rapports OWASP Top 10 / CWE Top 25 / ASVS / PCI DSS / STIG — l'organisation paie déjà pour des capacités souvent sous-exploitées.</w:t>
      </w:r>
    </w:p>
    <w:p>
      <w:pPr>
        <w:pStyle w:val="ListParagraph"/>
        <w:numPr>
          <w:ilvl w:val="0"/>
          <w:numId w:val="1"/>
        </w:numPr>
        <w:spacing w:after="80"/>
      </w:pPr>
      <w:r>
        <w:t xml:space="preserve">Indépendance stratégique : SonarQube fonctionne avec GitLab, GitHub, Bitbucket et Azure DevOps. À l'échelle d'une grande société (croissance externe, équipes héritées), l'hypothèse mono-forge est fragile ; le référentiel sécurité ne doit pas en dépendre.</w:t>
      </w:r>
    </w:p>
    <w:p>
      <w:pPr>
        <w:pStyle w:val="ListParagraph"/>
        <w:numPr>
          <w:ilvl w:val="0"/>
          <w:numId w:val="1"/>
        </w:numPr>
        <w:spacing w:after="80"/>
      </w:pPr>
      <w:r>
        <w:t xml:space="preserve">Continuité opérationnelle : plateforme déjà opérée, gouvernance et profils qualité en place, aucun coût de migration du référentiel principal.</w:t>
      </w:r>
    </w:p>
    <w:p>
      <w:pPr>
        <w:pStyle w:val="ListParagraph"/>
        <w:numPr>
          <w:ilvl w:val="0"/>
          <w:numId w:val="1"/>
        </w:numPr>
        <w:spacing w:after="80"/>
      </w:pPr>
      <w:r>
        <w:t xml:space="preserve">Extension possible sans changer d'outil : l'add-on Advanced Security (taint dans les dépendances tierces, SCA, SBOM) permet d'augmenter la profondeur sécurité au sein de la même plateforme si le besoin est démontré par le pilote.</w:t>
      </w:r>
    </w:p>
    <w:p>
      <w:pPr>
        <w:pStyle w:val="Heading3"/>
        <w:spacing w:after="100" w:before="200"/>
      </w:pPr>
      <w:r>
        <w:t xml:space="preserve">Pourquoi conserver GitLab Advanced SAST en complément</w:t>
      </w:r>
    </w:p>
    <w:p>
      <w:pPr>
        <w:pStyle w:val="ListParagraph"/>
        <w:numPr>
          <w:ilvl w:val="0"/>
          <w:numId w:val="1"/>
        </w:numPr>
        <w:spacing w:after="80"/>
      </w:pPr>
      <w:r>
        <w:t xml:space="preserve">Coût marginal nul : inclus dans l'abonnement Ultimate existant.</w:t>
      </w:r>
    </w:p>
    <w:p>
      <w:pPr>
        <w:pStyle w:val="ListParagraph"/>
        <w:numPr>
          <w:ilvl w:val="0"/>
          <w:numId w:val="1"/>
        </w:numPr>
        <w:spacing w:after="80"/>
      </w:pPr>
      <w:r>
        <w:t xml:space="preserve">Valeur complémentaire réelle : scan différentiel rapide à chaque MR, philosophie « flux vérifiables uniquement » qui remonte peu de bruit, notation des faux positifs et remédiation agentique par IA (GA en 2026).</w:t>
      </w:r>
    </w:p>
    <w:p>
      <w:pPr>
        <w:pStyle w:val="ListParagraph"/>
        <w:numPr>
          <w:ilvl w:val="0"/>
          <w:numId w:val="1"/>
        </w:numPr>
        <w:spacing w:after="80"/>
      </w:pPr>
      <w:r>
        <w:t xml:space="preserve">Défense en profondeur : deux moteurs aux philosophies différentes (règles Sonar vs taint vérifiable GitLab) élargissent la couverture effective sans coût additionnel.</w:t>
      </w:r>
    </w:p>
    <w:p>
      <w:pPr>
        <w:pStyle w:val="ListParagraph"/>
        <w:numPr>
          <w:ilvl w:val="0"/>
          <w:numId w:val="1"/>
        </w:numPr>
        <w:spacing w:after="80"/>
      </w:pPr>
      <w:r>
        <w:t xml:space="preserve">Condition de succès : publier une règle de primauté claire — SonarQube fait foi pour les Quality Gates, le reporting et les indicateurs ; GitLab Advanced SAST est un contrôle d'appoint dont les findings uniques sont réinjectés dans le triage central — afin d'éviter la double remontée qui épuise les équipes.</w:t>
      </w:r>
    </w:p>
    <w:p>
      <w:pPr>
        <w:pStyle w:val="Heading3"/>
        <w:spacing w:after="100" w:before="200"/>
      </w:pPr>
      <w:r>
        <w:t xml:space="preserve">Pourquoi restreindre ou décommissionner Fortify</w:t>
      </w:r>
    </w:p>
    <w:p>
      <w:pPr>
        <w:pStyle w:val="ListParagraph"/>
        <w:numPr>
          <w:ilvl w:val="0"/>
          <w:numId w:val="1"/>
        </w:numPr>
        <w:spacing w:after="80"/>
      </w:pPr>
      <w:r>
        <w:t xml:space="preserve">Sa valeur différenciante (analyse programme entier, injections au second ordre, C/C++ et legacy COBOL/ABAP, conformité FedRAMP/DISA STIG) ne s'exprime que sur des périmètres spécifiques qui doivent être nominativement identifiés.</w:t>
      </w:r>
    </w:p>
    <w:p>
      <w:pPr>
        <w:pStyle w:val="ListParagraph"/>
        <w:numPr>
          <w:ilvl w:val="0"/>
          <w:numId w:val="1"/>
        </w:numPr>
        <w:spacing w:after="80"/>
      </w:pPr>
      <w:r>
        <w:t xml:space="preserve">Hors de ces périmètres, son profil (scans de 60-180 min, triage lourd, adoption développeur nulle) en fait un coût sans bénéfice proportionné : 30 000 à 150 000+ $/an récupérables.</w:t>
      </w:r>
    </w:p>
    <w:p>
      <w:pPr>
        <w:pStyle w:val="ListParagraph"/>
        <w:numPr>
          <w:ilvl w:val="0"/>
          <w:numId w:val="1"/>
        </w:numPr>
        <w:spacing w:after="80"/>
      </w:pPr>
      <w:r>
        <w:t xml:space="preserve">Décision conditionnelle : si l'inventaire ne révèle aucune exigence contractuelle FedRAMP/DISA, aucun C/C++ critique ni legacy exigeant, le décommissionnement complet est recommandé au prochain renouvellement ; sinon, réduction du périmètre de licence aux seules applications concernées, en scans planifiés hors pipeline.</w:t>
      </w:r>
    </w:p>
    <w:p>
      <w:r>
        <w:br w:type="page"/>
      </w:r>
    </w:p>
    <w:p>
      <w:pPr>
        <w:pStyle w:val="Heading1"/>
        <w:spacing w:after="200" w:before="400"/>
      </w:pPr>
      <w:r>
        <w:t xml:space="preserve">7. Risques de la décision et mitigations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900"/>
        <w:gridCol w:w="2400"/>
        <w:gridCol w:w="4500"/>
      </w:tblGrid>
      <w:tr>
        <w:trPr>
          <w:tblHeader/>
        </w:trPr>
        <w:tc>
          <w:tcPr>
            <w:tcW w:type="dxa" w:w="2900"/>
            <w:shd w:fill="1F4E3D" w:val="clear"/>
            <w:tcMar>
              <w:top w:type="dxa" w:w="80"/>
              <w:left w:type="dxa" w:w="100"/>
              <w:bottom w:type="dxa" w:w="80"/>
              <w:right w:type="dxa" w:w="100"/>
            </w:tcMar>
          </w:tcPr>
          <w:p>
            <w:pPr>
              <w:jc w:val="center"/>
            </w:pPr>
            <w:r>
              <w:rPr>
                <w:b/>
                <w:bCs/>
                <w:color w:val="FFFFFF"/>
                <w:sz w:val="19"/>
                <w:szCs w:val="19"/>
              </w:rPr>
              <w:t xml:space="preserve">Risque</w:t>
            </w:r>
          </w:p>
        </w:tc>
        <w:tc>
          <w:tcPr>
            <w:tcW w:type="dxa" w:w="2400"/>
            <w:shd w:fill="1F4E3D" w:val="clear"/>
            <w:tcMar>
              <w:top w:type="dxa" w:w="80"/>
              <w:left w:type="dxa" w:w="100"/>
              <w:bottom w:type="dxa" w:w="80"/>
              <w:right w:type="dxa" w:w="100"/>
            </w:tcMar>
          </w:tcPr>
          <w:p>
            <w:pPr>
              <w:jc w:val="center"/>
            </w:pPr>
            <w:r>
              <w:rPr>
                <w:b/>
                <w:bCs/>
                <w:color w:val="FFFFFF"/>
                <w:sz w:val="19"/>
                <w:szCs w:val="19"/>
              </w:rPr>
              <w:t xml:space="preserve">Impact</w:t>
            </w:r>
          </w:p>
        </w:tc>
        <w:tc>
          <w:tcPr>
            <w:tcW w:type="dxa" w:w="4500"/>
            <w:shd w:fill="1F4E3D" w:val="clear"/>
            <w:tcMar>
              <w:top w:type="dxa" w:w="80"/>
              <w:left w:type="dxa" w:w="100"/>
              <w:bottom w:type="dxa" w:w="80"/>
              <w:right w:type="dxa" w:w="100"/>
            </w:tcMar>
          </w:tcPr>
          <w:p>
            <w:pPr>
              <w:jc w:val="center"/>
            </w:pPr>
            <w:r>
              <w:rPr>
                <w:b/>
                <w:bCs/>
                <w:color w:val="FFFFFF"/>
                <w:sz w:val="19"/>
                <w:szCs w:val="19"/>
              </w:rPr>
              <w:t xml:space="preserve">Mitigation</w:t>
            </w:r>
          </w:p>
        </w:tc>
      </w:tr>
      <w:tr>
        <w:tc>
          <w:tcPr>
            <w:tcW w:type="dxa" w:w="2900"/>
            <w:shd w:fill="FFFFFF" w:val="clear"/>
            <w:tcMar>
              <w:top w:type="dxa" w:w="80"/>
              <w:left w:type="dxa" w:w="100"/>
              <w:bottom w:type="dxa" w:w="80"/>
              <w:right w:type="dxa" w:w="100"/>
            </w:tcMar>
          </w:tcPr>
          <w:p>
            <w:pPr>
              <w:jc w:val="left"/>
            </w:pPr>
            <w:r>
              <w:rPr>
                <w:b w:val="false"/>
                <w:bCs w:val="false"/>
                <w:sz w:val="19"/>
                <w:szCs w:val="19"/>
              </w:rPr>
              <w:t xml:space="preserve">Perte de profondeur de détection sur les injections complexes après retrait de Fortify</w:t>
            </w:r>
          </w:p>
        </w:tc>
        <w:tc>
          <w:tcPr>
            <w:tcW w:type="dxa" w:w="2400"/>
            <w:shd w:fill="FFFFFF" w:val="clear"/>
            <w:tcMar>
              <w:top w:type="dxa" w:w="80"/>
              <w:left w:type="dxa" w:w="100"/>
              <w:bottom w:type="dxa" w:w="80"/>
              <w:right w:type="dxa" w:w="100"/>
            </w:tcMar>
          </w:tcPr>
          <w:p>
            <w:pPr>
              <w:jc w:val="left"/>
            </w:pPr>
            <w:r>
              <w:rPr>
                <w:b w:val="false"/>
                <w:bCs w:val="false"/>
                <w:sz w:val="19"/>
                <w:szCs w:val="19"/>
              </w:rPr>
              <w:t xml:space="preserve">Vulnérabilités au second ordre potentiellement non détectées</w:t>
            </w:r>
          </w:p>
        </w:tc>
        <w:tc>
          <w:tcPr>
            <w:tcW w:type="dxa" w:w="4500"/>
            <w:shd w:fill="FFFFFF" w:val="clear"/>
            <w:tcMar>
              <w:top w:type="dxa" w:w="80"/>
              <w:left w:type="dxa" w:w="100"/>
              <w:bottom w:type="dxa" w:w="80"/>
              <w:right w:type="dxa" w:w="100"/>
            </w:tcMar>
          </w:tcPr>
          <w:p>
            <w:pPr>
              <w:jc w:val="left"/>
            </w:pPr>
            <w:r>
              <w:rPr>
                <w:b w:val="false"/>
                <w:bCs w:val="false"/>
                <w:sz w:val="19"/>
                <w:szCs w:val="19"/>
              </w:rPr>
              <w:t xml:space="preserve">Pilote de comparaison sur 2-3 dépôts critiques avant décommissionnement ; activer l'add-on SonarQube Advanced Security si l'écart est matériel ; pentest ciblé annuel sur les applications sensibles</w:t>
            </w:r>
          </w:p>
        </w:tc>
      </w:tr>
      <w:tr>
        <w:tc>
          <w:tcPr>
            <w:tcW w:type="dxa" w:w="2900"/>
            <w:shd w:fill="EFF5F2" w:val="clear"/>
            <w:tcMar>
              <w:top w:type="dxa" w:w="80"/>
              <w:left w:type="dxa" w:w="100"/>
              <w:bottom w:type="dxa" w:w="80"/>
              <w:right w:type="dxa" w:w="100"/>
            </w:tcMar>
          </w:tcPr>
          <w:p>
            <w:pPr>
              <w:jc w:val="left"/>
            </w:pPr>
            <w:r>
              <w:rPr>
                <w:b w:val="false"/>
                <w:bCs w:val="false"/>
                <w:sz w:val="19"/>
                <w:szCs w:val="19"/>
              </w:rPr>
              <w:t xml:space="preserve">Double remontée SonarQube / GitLab perçue comme du bruit</w:t>
            </w:r>
          </w:p>
        </w:tc>
        <w:tc>
          <w:tcPr>
            <w:tcW w:type="dxa" w:w="2400"/>
            <w:shd w:fill="EFF5F2" w:val="clear"/>
            <w:tcMar>
              <w:top w:type="dxa" w:w="80"/>
              <w:left w:type="dxa" w:w="100"/>
              <w:bottom w:type="dxa" w:w="80"/>
              <w:right w:type="dxa" w:w="100"/>
            </w:tcMar>
          </w:tcPr>
          <w:p>
            <w:pPr>
              <w:jc w:val="left"/>
            </w:pPr>
            <w:r>
              <w:rPr>
                <w:b w:val="false"/>
                <w:bCs w:val="false"/>
                <w:sz w:val="19"/>
                <w:szCs w:val="19"/>
              </w:rPr>
              <w:t xml:space="preserve">Rejet des outils par les développeurs</w:t>
            </w:r>
          </w:p>
        </w:tc>
        <w:tc>
          <w:tcPr>
            <w:tcW w:type="dxa" w:w="4500"/>
            <w:shd w:fill="EFF5F2" w:val="clear"/>
            <w:tcMar>
              <w:top w:type="dxa" w:w="80"/>
              <w:left w:type="dxa" w:w="100"/>
              <w:bottom w:type="dxa" w:w="80"/>
              <w:right w:type="dxa" w:w="100"/>
            </w:tcMar>
          </w:tcPr>
          <w:p>
            <w:pPr>
              <w:jc w:val="left"/>
            </w:pPr>
            <w:r>
              <w:rPr>
                <w:b w:val="false"/>
                <w:bCs w:val="false"/>
                <w:sz w:val="19"/>
                <w:szCs w:val="19"/>
              </w:rPr>
              <w:t xml:space="preserve">Règle de primauté documentée ; désactivation des règles GitLab redondantes ; SonarQube seul branché aux Quality Gates bloquantes</w:t>
            </w:r>
          </w:p>
        </w:tc>
      </w:tr>
      <w:tr>
        <w:tc>
          <w:tcPr>
            <w:tcW w:type="dxa" w:w="2900"/>
            <w:shd w:fill="FFFFFF" w:val="clear"/>
            <w:tcMar>
              <w:top w:type="dxa" w:w="80"/>
              <w:left w:type="dxa" w:w="100"/>
              <w:bottom w:type="dxa" w:w="80"/>
              <w:right w:type="dxa" w:w="100"/>
            </w:tcMar>
          </w:tcPr>
          <w:p>
            <w:pPr>
              <w:jc w:val="left"/>
            </w:pPr>
            <w:r>
              <w:rPr>
                <w:b w:val="false"/>
                <w:bCs w:val="false"/>
                <w:sz w:val="19"/>
                <w:szCs w:val="19"/>
              </w:rPr>
              <w:t xml:space="preserve">Exigence de conformité découverte tardivement (FedRAMP/DISA)</w:t>
            </w:r>
          </w:p>
        </w:tc>
        <w:tc>
          <w:tcPr>
            <w:tcW w:type="dxa" w:w="2400"/>
            <w:shd w:fill="FFFFFF" w:val="clear"/>
            <w:tcMar>
              <w:top w:type="dxa" w:w="80"/>
              <w:left w:type="dxa" w:w="100"/>
              <w:bottom w:type="dxa" w:w="80"/>
              <w:right w:type="dxa" w:w="100"/>
            </w:tcMar>
          </w:tcPr>
          <w:p>
            <w:pPr>
              <w:jc w:val="left"/>
            </w:pPr>
            <w:r>
              <w:rPr>
                <w:b w:val="false"/>
                <w:bCs w:val="false"/>
                <w:sz w:val="19"/>
                <w:szCs w:val="19"/>
              </w:rPr>
              <w:t xml:space="preserve">Réintroduction de Fortify en urgence, surcoût</w:t>
            </w:r>
          </w:p>
        </w:tc>
        <w:tc>
          <w:tcPr>
            <w:tcW w:type="dxa" w:w="4500"/>
            <w:shd w:fill="FFFFFF" w:val="clear"/>
            <w:tcMar>
              <w:top w:type="dxa" w:w="80"/>
              <w:left w:type="dxa" w:w="100"/>
              <w:bottom w:type="dxa" w:w="80"/>
              <w:right w:type="dxa" w:w="100"/>
            </w:tcMar>
          </w:tcPr>
          <w:p>
            <w:pPr>
              <w:jc w:val="left"/>
            </w:pPr>
            <w:r>
              <w:rPr>
                <w:b w:val="false"/>
                <w:bCs w:val="false"/>
                <w:sz w:val="19"/>
                <w:szCs w:val="19"/>
              </w:rPr>
              <w:t xml:space="preserve">Inventaire contractuel formel avant le renouvellement Fortify ; clause de réduction de périmètre plutôt que résiliation sèche la première année</w:t>
            </w:r>
          </w:p>
        </w:tc>
      </w:tr>
      <w:tr>
        <w:tc>
          <w:tcPr>
            <w:tcW w:type="dxa" w:w="2900"/>
            <w:shd w:fill="EFF5F2" w:val="clear"/>
            <w:tcMar>
              <w:top w:type="dxa" w:w="80"/>
              <w:left w:type="dxa" w:w="100"/>
              <w:bottom w:type="dxa" w:w="80"/>
              <w:right w:type="dxa" w:w="100"/>
            </w:tcMar>
          </w:tcPr>
          <w:p>
            <w:pPr>
              <w:jc w:val="left"/>
            </w:pPr>
            <w:r>
              <w:rPr>
                <w:b w:val="false"/>
                <w:bCs w:val="false"/>
                <w:sz w:val="19"/>
                <w:szCs w:val="19"/>
              </w:rPr>
              <w:t xml:space="preserve">Transition SonarSource hotspots → vulnérabilités</w:t>
            </w:r>
          </w:p>
        </w:tc>
        <w:tc>
          <w:tcPr>
            <w:tcW w:type="dxa" w:w="2400"/>
            <w:shd w:fill="EFF5F2" w:val="clear"/>
            <w:tcMar>
              <w:top w:type="dxa" w:w="80"/>
              <w:left w:type="dxa" w:w="100"/>
              <w:bottom w:type="dxa" w:w="80"/>
              <w:right w:type="dxa" w:w="100"/>
            </w:tcMar>
          </w:tcPr>
          <w:p>
            <w:pPr>
              <w:jc w:val="left"/>
            </w:pPr>
            <w:r>
              <w:rPr>
                <w:b w:val="false"/>
                <w:bCs w:val="false"/>
                <w:sz w:val="19"/>
                <w:szCs w:val="19"/>
              </w:rPr>
              <w:t xml:space="preserve">Gonflement soudain des findings, Quality Gates cassées</w:t>
            </w:r>
          </w:p>
        </w:tc>
        <w:tc>
          <w:tcPr>
            <w:tcW w:type="dxa" w:w="4500"/>
            <w:shd w:fill="EFF5F2" w:val="clear"/>
            <w:tcMar>
              <w:top w:type="dxa" w:w="80"/>
              <w:left w:type="dxa" w:w="100"/>
              <w:bottom w:type="dxa" w:w="80"/>
              <w:right w:type="dxa" w:w="100"/>
            </w:tcMar>
          </w:tcPr>
          <w:p>
            <w:pPr>
              <w:jc w:val="left"/>
            </w:pPr>
            <w:r>
              <w:rPr>
                <w:b w:val="false"/>
                <w:bCs w:val="false"/>
                <w:sz w:val="19"/>
                <w:szCs w:val="19"/>
              </w:rPr>
              <w:t xml:space="preserve">Ajuster les gates sur le « new code » avant la montée de version ; communication préalable aux équipes</w:t>
            </w:r>
          </w:p>
        </w:tc>
      </w:tr>
      <w:tr>
        <w:tc>
          <w:tcPr>
            <w:tcW w:type="dxa" w:w="2900"/>
            <w:shd w:fill="FFFFFF" w:val="clear"/>
            <w:tcMar>
              <w:top w:type="dxa" w:w="80"/>
              <w:left w:type="dxa" w:w="100"/>
              <w:bottom w:type="dxa" w:w="80"/>
              <w:right w:type="dxa" w:w="100"/>
            </w:tcMar>
          </w:tcPr>
          <w:p>
            <w:pPr>
              <w:jc w:val="left"/>
            </w:pPr>
            <w:r>
              <w:rPr>
                <w:b w:val="false"/>
                <w:bCs w:val="false"/>
                <w:sz w:val="19"/>
                <w:szCs w:val="19"/>
              </w:rPr>
              <w:t xml:space="preserve">Dépendance accrue à SonarSource (tarification LOC)</w:t>
            </w:r>
          </w:p>
        </w:tc>
        <w:tc>
          <w:tcPr>
            <w:tcW w:type="dxa" w:w="2400"/>
            <w:shd w:fill="FFFFFF" w:val="clear"/>
            <w:tcMar>
              <w:top w:type="dxa" w:w="80"/>
              <w:left w:type="dxa" w:w="100"/>
              <w:bottom w:type="dxa" w:w="80"/>
              <w:right w:type="dxa" w:w="100"/>
            </w:tcMar>
          </w:tcPr>
          <w:p>
            <w:pPr>
              <w:jc w:val="left"/>
            </w:pPr>
            <w:r>
              <w:rPr>
                <w:b w:val="false"/>
                <w:bCs w:val="false"/>
                <w:sz w:val="19"/>
                <w:szCs w:val="19"/>
              </w:rPr>
              <w:t xml:space="preserve">Risque budgétaire à la croissance du code</w:t>
            </w:r>
          </w:p>
        </w:tc>
        <w:tc>
          <w:tcPr>
            <w:tcW w:type="dxa" w:w="4500"/>
            <w:shd w:fill="FFFFFF" w:val="clear"/>
            <w:tcMar>
              <w:top w:type="dxa" w:w="80"/>
              <w:left w:type="dxa" w:w="100"/>
              <w:bottom w:type="dxa" w:w="80"/>
              <w:right w:type="dxa" w:w="100"/>
            </w:tcMar>
          </w:tcPr>
          <w:p>
            <w:pPr>
              <w:jc w:val="left"/>
            </w:pPr>
            <w:r>
              <w:rPr>
                <w:b w:val="false"/>
                <w:bCs w:val="false"/>
                <w:sz w:val="19"/>
                <w:szCs w:val="19"/>
              </w:rPr>
              <w:t xml:space="preserve">Suivi annuel du volume LOC ; négociation pluriannuelle ; le multi-outil GitLab conservé constitue une position de repli</w:t>
            </w:r>
          </w:p>
        </w:tc>
      </w:tr>
    </w:tbl>
    <w:p>
      <w:pPr>
        <w:pStyle w:val="Heading1"/>
        <w:spacing w:after="200" w:before="400"/>
      </w:pPr>
      <w:r>
        <w:t xml:space="preserve">8. Plan de mise en œuvre proposé</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4600"/>
        <w:gridCol w:w="2400"/>
      </w:tblGrid>
      <w:tr>
        <w:trPr>
          <w:tblHeader/>
        </w:trPr>
        <w:tc>
          <w:tcPr>
            <w:tcW w:type="dxa" w:w="1500"/>
            <w:shd w:fill="1F4E3D" w:val="clear"/>
            <w:tcMar>
              <w:top w:type="dxa" w:w="80"/>
              <w:left w:type="dxa" w:w="100"/>
              <w:bottom w:type="dxa" w:w="80"/>
              <w:right w:type="dxa" w:w="100"/>
            </w:tcMar>
          </w:tcPr>
          <w:p>
            <w:pPr>
              <w:jc w:val="center"/>
            </w:pPr>
            <w:r>
              <w:rPr>
                <w:b/>
                <w:bCs/>
                <w:color w:val="FFFFFF"/>
                <w:sz w:val="19"/>
                <w:szCs w:val="19"/>
              </w:rPr>
              <w:t xml:space="preserve">Phase</w:t>
            </w:r>
          </w:p>
        </w:tc>
        <w:tc>
          <w:tcPr>
            <w:tcW w:type="dxa" w:w="1300"/>
            <w:shd w:fill="1F4E3D" w:val="clear"/>
            <w:tcMar>
              <w:top w:type="dxa" w:w="80"/>
              <w:left w:type="dxa" w:w="100"/>
              <w:bottom w:type="dxa" w:w="80"/>
              <w:right w:type="dxa" w:w="100"/>
            </w:tcMar>
          </w:tcPr>
          <w:p>
            <w:pPr>
              <w:jc w:val="center"/>
            </w:pPr>
            <w:r>
              <w:rPr>
                <w:b/>
                <w:bCs/>
                <w:color w:val="FFFFFF"/>
                <w:sz w:val="19"/>
                <w:szCs w:val="19"/>
              </w:rPr>
              <w:t xml:space="preserve">Horizon</w:t>
            </w:r>
          </w:p>
        </w:tc>
        <w:tc>
          <w:tcPr>
            <w:tcW w:type="dxa" w:w="4600"/>
            <w:shd w:fill="1F4E3D" w:val="clear"/>
            <w:tcMar>
              <w:top w:type="dxa" w:w="80"/>
              <w:left w:type="dxa" w:w="100"/>
              <w:bottom w:type="dxa" w:w="80"/>
              <w:right w:type="dxa" w:w="100"/>
            </w:tcMar>
          </w:tcPr>
          <w:p>
            <w:pPr>
              <w:jc w:val="center"/>
            </w:pPr>
            <w:r>
              <w:rPr>
                <w:b/>
                <w:bCs/>
                <w:color w:val="FFFFFF"/>
                <w:sz w:val="19"/>
                <w:szCs w:val="19"/>
              </w:rPr>
              <w:t xml:space="preserve">Actions clés</w:t>
            </w:r>
          </w:p>
        </w:tc>
        <w:tc>
          <w:tcPr>
            <w:tcW w:type="dxa" w:w="2400"/>
            <w:shd w:fill="1F4E3D" w:val="clear"/>
            <w:tcMar>
              <w:top w:type="dxa" w:w="80"/>
              <w:left w:type="dxa" w:w="100"/>
              <w:bottom w:type="dxa" w:w="80"/>
              <w:right w:type="dxa" w:w="100"/>
            </w:tcMar>
          </w:tcPr>
          <w:p>
            <w:pPr>
              <w:jc w:val="center"/>
            </w:pPr>
            <w:r>
              <w:rPr>
                <w:b/>
                <w:bCs/>
                <w:color w:val="FFFFFF"/>
                <w:sz w:val="19"/>
                <w:szCs w:val="19"/>
              </w:rPr>
              <w:t xml:space="preserve">Livrable</w:t>
            </w:r>
          </w:p>
        </w:tc>
      </w:tr>
      <w:tr>
        <w:tc>
          <w:tcPr>
            <w:tcW w:type="dxa" w:w="1500"/>
            <w:shd w:fill="FFFFFF" w:val="clear"/>
            <w:tcMar>
              <w:top w:type="dxa" w:w="80"/>
              <w:left w:type="dxa" w:w="100"/>
              <w:bottom w:type="dxa" w:w="80"/>
              <w:right w:type="dxa" w:w="100"/>
            </w:tcMar>
          </w:tcPr>
          <w:p>
            <w:pPr>
              <w:jc w:val="left"/>
            </w:pPr>
            <w:r>
              <w:rPr>
                <w:b w:val="false"/>
                <w:bCs w:val="false"/>
                <w:sz w:val="19"/>
                <w:szCs w:val="19"/>
              </w:rPr>
              <w:t xml:space="preserve">1. Cadrage</w:t>
            </w:r>
          </w:p>
        </w:tc>
        <w:tc>
          <w:tcPr>
            <w:tcW w:type="dxa" w:w="1300"/>
            <w:shd w:fill="FFFFFF" w:val="clear"/>
            <w:tcMar>
              <w:top w:type="dxa" w:w="80"/>
              <w:left w:type="dxa" w:w="100"/>
              <w:bottom w:type="dxa" w:w="80"/>
              <w:right w:type="dxa" w:w="100"/>
            </w:tcMar>
          </w:tcPr>
          <w:p>
            <w:pPr>
              <w:jc w:val="left"/>
            </w:pPr>
            <w:r>
              <w:rPr>
                <w:b w:val="false"/>
                <w:bCs w:val="false"/>
                <w:sz w:val="19"/>
                <w:szCs w:val="19"/>
              </w:rPr>
              <w:t xml:space="preserve">Mois 1</w:t>
            </w:r>
          </w:p>
        </w:tc>
        <w:tc>
          <w:tcPr>
            <w:tcW w:type="dxa" w:w="4600"/>
            <w:shd w:fill="FFFFFF" w:val="clear"/>
            <w:tcMar>
              <w:top w:type="dxa" w:w="80"/>
              <w:left w:type="dxa" w:w="100"/>
              <w:bottom w:type="dxa" w:w="80"/>
              <w:right w:type="dxa" w:w="100"/>
            </w:tcMar>
          </w:tcPr>
          <w:p>
            <w:pPr>
              <w:jc w:val="left"/>
            </w:pPr>
            <w:r>
              <w:rPr>
                <w:b w:val="false"/>
                <w:bCs w:val="false"/>
                <w:sz w:val="19"/>
                <w:szCs w:val="19"/>
              </w:rPr>
              <w:t xml:space="preserve">Inventaire des exigences contractuelles (FedRAMP/DISA/PCI) et du parc legacy (COBOL, C/C++ critique) ; recensement des applications scannées par Fortify</w:t>
            </w:r>
          </w:p>
        </w:tc>
        <w:tc>
          <w:tcPr>
            <w:tcW w:type="dxa" w:w="2400"/>
            <w:shd w:fill="FFFFFF" w:val="clear"/>
            <w:tcMar>
              <w:top w:type="dxa" w:w="80"/>
              <w:left w:type="dxa" w:w="100"/>
              <w:bottom w:type="dxa" w:w="80"/>
              <w:right w:type="dxa" w:w="100"/>
            </w:tcMar>
          </w:tcPr>
          <w:p>
            <w:pPr>
              <w:jc w:val="left"/>
            </w:pPr>
            <w:r>
              <w:rPr>
                <w:b w:val="false"/>
                <w:bCs w:val="false"/>
                <w:sz w:val="19"/>
                <w:szCs w:val="19"/>
              </w:rPr>
              <w:t xml:space="preserve">Cartographie des périmètres où Fortify est réellement exigé</w:t>
            </w:r>
          </w:p>
        </w:tc>
      </w:tr>
      <w:tr>
        <w:tc>
          <w:tcPr>
            <w:tcW w:type="dxa" w:w="1500"/>
            <w:shd w:fill="EFF5F2" w:val="clear"/>
            <w:tcMar>
              <w:top w:type="dxa" w:w="80"/>
              <w:left w:type="dxa" w:w="100"/>
              <w:bottom w:type="dxa" w:w="80"/>
              <w:right w:type="dxa" w:w="100"/>
            </w:tcMar>
          </w:tcPr>
          <w:p>
            <w:pPr>
              <w:jc w:val="left"/>
            </w:pPr>
            <w:r>
              <w:rPr>
                <w:b w:val="false"/>
                <w:bCs w:val="false"/>
                <w:sz w:val="19"/>
                <w:szCs w:val="19"/>
              </w:rPr>
              <w:t xml:space="preserve">2. Pilote technique</w:t>
            </w:r>
          </w:p>
        </w:tc>
        <w:tc>
          <w:tcPr>
            <w:tcW w:type="dxa" w:w="1300"/>
            <w:shd w:fill="EFF5F2" w:val="clear"/>
            <w:tcMar>
              <w:top w:type="dxa" w:w="80"/>
              <w:left w:type="dxa" w:w="100"/>
              <w:bottom w:type="dxa" w:w="80"/>
              <w:right w:type="dxa" w:w="100"/>
            </w:tcMar>
          </w:tcPr>
          <w:p>
            <w:pPr>
              <w:jc w:val="left"/>
            </w:pPr>
            <w:r>
              <w:rPr>
                <w:b w:val="false"/>
                <w:bCs w:val="false"/>
                <w:sz w:val="19"/>
                <w:szCs w:val="19"/>
              </w:rPr>
              <w:t xml:space="preserve">Mois 1-2</w:t>
            </w:r>
          </w:p>
        </w:tc>
        <w:tc>
          <w:tcPr>
            <w:tcW w:type="dxa" w:w="4600"/>
            <w:shd w:fill="EFF5F2" w:val="clear"/>
            <w:tcMar>
              <w:top w:type="dxa" w:w="80"/>
              <w:left w:type="dxa" w:w="100"/>
              <w:bottom w:type="dxa" w:w="80"/>
              <w:right w:type="dxa" w:w="100"/>
            </w:tcMar>
          </w:tcPr>
          <w:p>
            <w:pPr>
              <w:jc w:val="left"/>
            </w:pPr>
            <w:r>
              <w:rPr>
                <w:b w:val="false"/>
                <w:bCs w:val="false"/>
                <w:sz w:val="19"/>
                <w:szCs w:val="19"/>
              </w:rPr>
              <w:t xml:space="preserve">Rejouer SonarQube DC (+ Advanced Security en essai) et GitLab Advanced SAST sur 2-3 dépôts représentatifs déjà scannés par Fortify ; comparer findings, faux positifs, temps de scan</w:t>
            </w:r>
          </w:p>
        </w:tc>
        <w:tc>
          <w:tcPr>
            <w:tcW w:type="dxa" w:w="2400"/>
            <w:shd w:fill="EFF5F2" w:val="clear"/>
            <w:tcMar>
              <w:top w:type="dxa" w:w="80"/>
              <w:left w:type="dxa" w:w="100"/>
              <w:bottom w:type="dxa" w:w="80"/>
              <w:right w:type="dxa" w:w="100"/>
            </w:tcMar>
          </w:tcPr>
          <w:p>
            <w:pPr>
              <w:jc w:val="left"/>
            </w:pPr>
            <w:r>
              <w:rPr>
                <w:b w:val="false"/>
                <w:bCs w:val="false"/>
                <w:sz w:val="19"/>
                <w:szCs w:val="19"/>
              </w:rPr>
              <w:t xml:space="preserve">Rapport d'écart de détection chiffré</w:t>
            </w:r>
          </w:p>
        </w:tc>
      </w:tr>
      <w:tr>
        <w:tc>
          <w:tcPr>
            <w:tcW w:type="dxa" w:w="1500"/>
            <w:shd w:fill="FFFFFF" w:val="clear"/>
            <w:tcMar>
              <w:top w:type="dxa" w:w="80"/>
              <w:left w:type="dxa" w:w="100"/>
              <w:bottom w:type="dxa" w:w="80"/>
              <w:right w:type="dxa" w:w="100"/>
            </w:tcMar>
          </w:tcPr>
          <w:p>
            <w:pPr>
              <w:jc w:val="left"/>
            </w:pPr>
            <w:r>
              <w:rPr>
                <w:b w:val="false"/>
                <w:bCs w:val="false"/>
                <w:sz w:val="19"/>
                <w:szCs w:val="19"/>
              </w:rPr>
              <w:t xml:space="preserve">3. Gouvernance</w:t>
            </w:r>
          </w:p>
        </w:tc>
        <w:tc>
          <w:tcPr>
            <w:tcW w:type="dxa" w:w="1300"/>
            <w:shd w:fill="FFFFFF" w:val="clear"/>
            <w:tcMar>
              <w:top w:type="dxa" w:w="80"/>
              <w:left w:type="dxa" w:w="100"/>
              <w:bottom w:type="dxa" w:w="80"/>
              <w:right w:type="dxa" w:w="100"/>
            </w:tcMar>
          </w:tcPr>
          <w:p>
            <w:pPr>
              <w:jc w:val="left"/>
            </w:pPr>
            <w:r>
              <w:rPr>
                <w:b w:val="false"/>
                <w:bCs w:val="false"/>
                <w:sz w:val="19"/>
                <w:szCs w:val="19"/>
              </w:rPr>
              <w:t xml:space="preserve">Mois 2-3</w:t>
            </w:r>
          </w:p>
        </w:tc>
        <w:tc>
          <w:tcPr>
            <w:tcW w:type="dxa" w:w="4600"/>
            <w:shd w:fill="FFFFFF" w:val="clear"/>
            <w:tcMar>
              <w:top w:type="dxa" w:w="80"/>
              <w:left w:type="dxa" w:w="100"/>
              <w:bottom w:type="dxa" w:w="80"/>
              <w:right w:type="dxa" w:w="100"/>
            </w:tcMar>
          </w:tcPr>
          <w:p>
            <w:pPr>
              <w:jc w:val="left"/>
            </w:pPr>
            <w:r>
              <w:rPr>
                <w:b w:val="false"/>
                <w:bCs w:val="false"/>
                <w:sz w:val="19"/>
                <w:szCs w:val="19"/>
              </w:rPr>
              <w:t xml:space="preserve">Publier la politique SAST : SonarQube référent (gates, reporting), GitLab complément MR, règle de déduplication ; durcir les Quality Gates sécurité sur le new code (zéro vuln critique/élevée, 100 % hotspots revus)</w:t>
            </w:r>
          </w:p>
        </w:tc>
        <w:tc>
          <w:tcPr>
            <w:tcW w:type="dxa" w:w="2400"/>
            <w:shd w:fill="FFFFFF" w:val="clear"/>
            <w:tcMar>
              <w:top w:type="dxa" w:w="80"/>
              <w:left w:type="dxa" w:w="100"/>
              <w:bottom w:type="dxa" w:w="80"/>
              <w:right w:type="dxa" w:w="100"/>
            </w:tcMar>
          </w:tcPr>
          <w:p>
            <w:pPr>
              <w:jc w:val="left"/>
            </w:pPr>
            <w:r>
              <w:rPr>
                <w:b w:val="false"/>
                <w:bCs w:val="false"/>
                <w:sz w:val="19"/>
                <w:szCs w:val="19"/>
              </w:rPr>
              <w:t xml:space="preserve">Politique SAST validée en comité d'architecture</w:t>
            </w:r>
          </w:p>
        </w:tc>
      </w:tr>
      <w:tr>
        <w:tc>
          <w:tcPr>
            <w:tcW w:type="dxa" w:w="1500"/>
            <w:shd w:fill="EFF5F2" w:val="clear"/>
            <w:tcMar>
              <w:top w:type="dxa" w:w="80"/>
              <w:left w:type="dxa" w:w="100"/>
              <w:bottom w:type="dxa" w:w="80"/>
              <w:right w:type="dxa" w:w="100"/>
            </w:tcMar>
          </w:tcPr>
          <w:p>
            <w:pPr>
              <w:jc w:val="left"/>
            </w:pPr>
            <w:r>
              <w:rPr>
                <w:b w:val="false"/>
                <w:bCs w:val="false"/>
                <w:sz w:val="19"/>
                <w:szCs w:val="19"/>
              </w:rPr>
              <w:t xml:space="preserve">4. Transition</w:t>
            </w:r>
          </w:p>
        </w:tc>
        <w:tc>
          <w:tcPr>
            <w:tcW w:type="dxa" w:w="1300"/>
            <w:shd w:fill="EFF5F2" w:val="clear"/>
            <w:tcMar>
              <w:top w:type="dxa" w:w="80"/>
              <w:left w:type="dxa" w:w="100"/>
              <w:bottom w:type="dxa" w:w="80"/>
              <w:right w:type="dxa" w:w="100"/>
            </w:tcMar>
          </w:tcPr>
          <w:p>
            <w:pPr>
              <w:jc w:val="left"/>
            </w:pPr>
            <w:r>
              <w:rPr>
                <w:b w:val="false"/>
                <w:bCs w:val="false"/>
                <w:sz w:val="19"/>
                <w:szCs w:val="19"/>
              </w:rPr>
              <w:t xml:space="preserve">Mois 3-6</w:t>
            </w:r>
          </w:p>
        </w:tc>
        <w:tc>
          <w:tcPr>
            <w:tcW w:type="dxa" w:w="4600"/>
            <w:shd w:fill="EFF5F2" w:val="clear"/>
            <w:tcMar>
              <w:top w:type="dxa" w:w="80"/>
              <w:left w:type="dxa" w:w="100"/>
              <w:bottom w:type="dxa" w:w="80"/>
              <w:right w:type="dxa" w:w="100"/>
            </w:tcMar>
          </w:tcPr>
          <w:p>
            <w:pPr>
              <w:jc w:val="left"/>
            </w:pPr>
            <w:r>
              <w:rPr>
                <w:b w:val="false"/>
                <w:bCs w:val="false"/>
                <w:sz w:val="19"/>
                <w:szCs w:val="19"/>
              </w:rPr>
              <w:t xml:space="preserve">Réduire le périmètre Fortify aux applications identifiées en phase 1 (ou préparer la non-reconduction) ; migrer le suivi des findings résiduels vers SonarQube</w:t>
            </w:r>
          </w:p>
        </w:tc>
        <w:tc>
          <w:tcPr>
            <w:tcW w:type="dxa" w:w="2400"/>
            <w:shd w:fill="EFF5F2" w:val="clear"/>
            <w:tcMar>
              <w:top w:type="dxa" w:w="80"/>
              <w:left w:type="dxa" w:w="100"/>
              <w:bottom w:type="dxa" w:w="80"/>
              <w:right w:type="dxa" w:w="100"/>
            </w:tcMar>
          </w:tcPr>
          <w:p>
            <w:pPr>
              <w:jc w:val="left"/>
            </w:pPr>
            <w:r>
              <w:rPr>
                <w:b w:val="false"/>
                <w:bCs w:val="false"/>
                <w:sz w:val="19"/>
                <w:szCs w:val="19"/>
              </w:rPr>
              <w:t xml:space="preserve">Avenant ou non-renouvellement Fortify ; économie constatée</w:t>
            </w:r>
          </w:p>
        </w:tc>
      </w:tr>
      <w:tr>
        <w:tc>
          <w:tcPr>
            <w:tcW w:type="dxa" w:w="1500"/>
            <w:shd w:fill="FFFFFF" w:val="clear"/>
            <w:tcMar>
              <w:top w:type="dxa" w:w="80"/>
              <w:left w:type="dxa" w:w="100"/>
              <w:bottom w:type="dxa" w:w="80"/>
              <w:right w:type="dxa" w:w="100"/>
            </w:tcMar>
          </w:tcPr>
          <w:p>
            <w:pPr>
              <w:jc w:val="left"/>
            </w:pPr>
            <w:r>
              <w:rPr>
                <w:b w:val="false"/>
                <w:bCs w:val="false"/>
                <w:sz w:val="19"/>
                <w:szCs w:val="19"/>
              </w:rPr>
              <w:t xml:space="preserve">5. Consolidation</w:t>
            </w:r>
          </w:p>
        </w:tc>
        <w:tc>
          <w:tcPr>
            <w:tcW w:type="dxa" w:w="1300"/>
            <w:shd w:fill="FFFFFF" w:val="clear"/>
            <w:tcMar>
              <w:top w:type="dxa" w:w="80"/>
              <w:left w:type="dxa" w:w="100"/>
              <w:bottom w:type="dxa" w:w="80"/>
              <w:right w:type="dxa" w:w="100"/>
            </w:tcMar>
          </w:tcPr>
          <w:p>
            <w:pPr>
              <w:jc w:val="left"/>
            </w:pPr>
            <w:r>
              <w:rPr>
                <w:b w:val="false"/>
                <w:bCs w:val="false"/>
                <w:sz w:val="19"/>
                <w:szCs w:val="19"/>
              </w:rPr>
              <w:t xml:space="preserve">Mois 6-12</w:t>
            </w:r>
          </w:p>
        </w:tc>
        <w:tc>
          <w:tcPr>
            <w:tcW w:type="dxa" w:w="4600"/>
            <w:shd w:fill="FFFFFF" w:val="clear"/>
            <w:tcMar>
              <w:top w:type="dxa" w:w="80"/>
              <w:left w:type="dxa" w:w="100"/>
              <w:bottom w:type="dxa" w:w="80"/>
              <w:right w:type="dxa" w:w="100"/>
            </w:tcMar>
          </w:tcPr>
          <w:p>
            <w:pPr>
              <w:jc w:val="left"/>
            </w:pPr>
            <w:r>
              <w:rPr>
                <w:b w:val="false"/>
                <w:bCs w:val="false"/>
                <w:sz w:val="19"/>
                <w:szCs w:val="19"/>
              </w:rPr>
              <w:t xml:space="preserve">Modéliser les frameworks internes dans le moteur de sécurité SonarQube (sources/sinks/sanitizers) ; activer AI CodeFix en revue assistée ; benchmark interne annuel de détection</w:t>
            </w:r>
          </w:p>
        </w:tc>
        <w:tc>
          <w:tcPr>
            <w:tcW w:type="dxa" w:w="2400"/>
            <w:shd w:fill="FFFFFF" w:val="clear"/>
            <w:tcMar>
              <w:top w:type="dxa" w:w="80"/>
              <w:left w:type="dxa" w:w="100"/>
              <w:bottom w:type="dxa" w:w="80"/>
              <w:right w:type="dxa" w:w="100"/>
            </w:tcMar>
          </w:tcPr>
          <w:p>
            <w:pPr>
              <w:jc w:val="left"/>
            </w:pPr>
            <w:r>
              <w:rPr>
                <w:b w:val="false"/>
                <w:bCs w:val="false"/>
                <w:sz w:val="19"/>
                <w:szCs w:val="19"/>
              </w:rPr>
              <w:t xml:space="preserve">Tableau de bord sécurité unifié ; baseline de détection mesurée</w:t>
            </w:r>
          </w:p>
        </w:tc>
      </w:tr>
    </w:tbl>
    <w:p>
      <w:pPr>
        <w:spacing w:before="200"/>
      </w:pPr>
    </w:p>
    <w:p>
      <w:pPr>
        <w:spacing w:after="160"/>
        <w:jc w:val="both"/>
      </w:pPr>
      <w:r>
        <w:t xml:space="preserve">Impact budgétaire attendu : économie de 30 000 à 150 000+ $/an sur Fortify (selon périmètre conservé), partiellement réinvestissable dans l'add-on SonarQube Advanced Security si le pilote en démontre le besoin — l'opération restant très favorablement positive dans tous les cas de figure documentés.</w:t>
      </w:r>
    </w:p>
    <w:p>
      <w:pPr>
        <w:pStyle w:val="Heading1"/>
        <w:spacing w:after="200" w:before="400"/>
      </w:pPr>
      <w:r>
        <w:t xml:space="preserve">9. Décision soumise à validation</w:t>
      </w:r>
    </w:p>
    <w:p>
      <w:pPr>
        <w:pStyle w:val="ListParagraph"/>
        <w:numPr>
          <w:ilvl w:val="0"/>
          <w:numId w:val="1"/>
        </w:numPr>
        <w:spacing w:after="80"/>
      </w:pPr>
      <w:r>
        <w:rPr>
          <w:b w:val="false"/>
          <w:bCs w:val="false"/>
        </w:rPr>
        <w:t xml:space="preserve">SonarQube Data Center est désigné outil SAST de référence de l'organisation : seule source faisant foi pour les Quality Gates bloquantes, le reporting de conformité et les indicateurs sécurité.</w:t>
      </w:r>
    </w:p>
    <w:p>
      <w:pPr>
        <w:pStyle w:val="ListParagraph"/>
        <w:numPr>
          <w:ilvl w:val="0"/>
          <w:numId w:val="1"/>
        </w:numPr>
        <w:spacing w:after="80"/>
      </w:pPr>
      <w:r>
        <w:rPr>
          <w:b w:val="false"/>
          <w:bCs w:val="false"/>
        </w:rPr>
        <w:t xml:space="preserve">GitLab Advanced SAST est maintenu comme contrôle complémentaire natif en Merge Request, sans raccordement aux gates bloquantes, avec règle de déduplication publiée.</w:t>
      </w:r>
    </w:p>
    <w:p>
      <w:pPr>
        <w:pStyle w:val="ListParagraph"/>
        <w:numPr>
          <w:ilvl w:val="0"/>
          <w:numId w:val="1"/>
        </w:numPr>
        <w:spacing w:after="80"/>
      </w:pPr>
      <w:r>
        <w:rPr>
          <w:b w:val="false"/>
          <w:bCs w:val="false"/>
        </w:rPr>
        <w:t xml:space="preserve">Fortify est restreint aux périmètres justifiés par l'inventaire de la phase 1, ou décommissionné au prochain renouvellement si aucun périmètre n'est identifié.</w:t>
      </w:r>
    </w:p>
    <w:p>
      <w:pPr>
        <w:pStyle w:val="ListParagraph"/>
        <w:numPr>
          <w:ilvl w:val="0"/>
          <w:numId w:val="1"/>
        </w:numPr>
        <w:spacing w:after="80"/>
      </w:pPr>
      <w:r>
        <w:rPr>
          <w:b w:val="false"/>
          <w:bCs w:val="false"/>
        </w:rPr>
        <w:t xml:space="preserve">Le pilote technique (phase 2) conditionne l'activation de l'add-on SonarQube Advanced Security et la validation définitive du décommissionnement Fortify.</w:t>
      </w:r>
    </w:p>
    <w:p>
      <w:pPr>
        <w:spacing w:after="160"/>
        <w:jc w:val="both"/>
      </w:pPr>
      <w:r>
        <w:rPr>
          <w:i/>
          <w:iCs/>
          <w:color w:val="555555"/>
        </w:rPr>
        <w:t xml:space="preserve">Validation attendue : comité d'architecture sécurité. Porteur : équipe DevSecOps, responsable de la plateforme SonarQube.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2026-07-13T14:10:04.057Z</dcterms:created>
  <dcterms:modified xsi:type="dcterms:W3CDTF">2026-07-13T14:10:04.088Z</dcterms:modified>
</cp:coreProperties>
</file>

<file path=docProps/custom.xml><?xml version="1.0" encoding="utf-8"?>
<Properties xmlns="http://schemas.openxmlformats.org/officeDocument/2006/custom-properties" xmlns:vt="http://schemas.openxmlformats.org/officeDocument/2006/docPropsVTypes"/>
</file>