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3D"/>
          <w:sz w:val="34"/>
          <w:szCs w:val="34"/>
        </w:rPr>
        <w:t xml:space="preserve">Comparatif SAST &amp; décision — Synthèse</w:t>
      </w:r>
    </w:p>
    <w:p>
      <w:pPr>
        <w:spacing w:after="120"/>
        <w:jc w:val="center"/>
      </w:pPr>
      <w:r>
        <w:rPr>
          <w:i/>
          <w:iCs/>
          <w:color w:val="555555"/>
          <w:sz w:val="19"/>
          <w:szCs w:val="19"/>
        </w:rPr>
        <w:t xml:space="preserve">SonarQube Data Center  •  GitLab Ultimate (Advanced SAST)  •  OpenText Fortify — Juillet 2026</w:t>
      </w:r>
    </w:p>
    <w:p>
      <w:pPr>
        <w:spacing w:after="100"/>
        <w:jc w:val="both"/>
      </w:pPr>
      <w:r>
        <w:rPr>
          <w:sz w:val="19"/>
          <w:szCs w:val="19"/>
        </w:rPr>
        <w:t xml:space="preserve">Contexte : grande organisation, environnement centré développeurs. Les trois licences sont déjà détenues ; la décision porte sur le positionnement, pas sur l'achat. Décision proposée : SonarQube Data Center devient l'outil SAST de référence (Quality Gates, reporting, indicateurs), GitLab Advanced SAST est conservé en contrôle complémentaire de Merge Request (coût nul, inclus dans Ultimate), Fortify est restreint aux périmètres contractuellement exigés ou décommissionné (économie de 30 à 150 k$+/an).</w:t>
      </w:r>
    </w:p>
    <w:p>
      <w:pPr>
        <w:pStyle w:val="Heading2"/>
        <w:spacing w:after="80" w:before="140"/>
      </w:pPr>
      <w:r>
        <w:t xml:space="preserve">Comparatif synthétique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50"/>
        <w:gridCol w:w="2500"/>
        <w:gridCol w:w="2500"/>
        <w:gridCol w:w="2450"/>
      </w:tblGrid>
      <w:tr>
        <w:trPr>
          <w:tblHeader/>
        </w:trPr>
        <w:tc>
          <w:tcPr>
            <w:tcW w:type="dxa" w:w="1750"/>
            <w:shd w:fill="1F4E3D" w:val="clear"/>
            <w:tcMar>
              <w:top w:type="dxa" w:w="50"/>
              <w:left w:type="dxa" w:w="80"/>
              <w:bottom w:type="dxa" w:w="50"/>
              <w:right w:type="dxa" w:w="80"/>
            </w:tcMar>
          </w:tcPr>
          <w:p>
            <w:pPr>
              <w:jc w:val="center"/>
            </w:pPr>
            <w:r>
              <w:rPr>
                <w:b/>
                <w:bCs/>
                <w:color w:val="FFFFFF"/>
                <w:sz w:val="17"/>
                <w:szCs w:val="17"/>
              </w:rPr>
              <w:t xml:space="preserve">Critère</w:t>
            </w:r>
          </w:p>
        </w:tc>
        <w:tc>
          <w:tcPr>
            <w:tcW w:type="dxa" w:w="2500"/>
            <w:shd w:fill="1F4E3D" w:val="clear"/>
            <w:tcMar>
              <w:top w:type="dxa" w:w="50"/>
              <w:left w:type="dxa" w:w="80"/>
              <w:bottom w:type="dxa" w:w="50"/>
              <w:right w:type="dxa" w:w="80"/>
            </w:tcMar>
          </w:tcPr>
          <w:p>
            <w:pPr>
              <w:jc w:val="center"/>
            </w:pPr>
            <w:r>
              <w:rPr>
                <w:b/>
                <w:bCs/>
                <w:color w:val="FFFFFF"/>
                <w:sz w:val="17"/>
                <w:szCs w:val="17"/>
              </w:rPr>
              <w:t xml:space="preserve">SonarQube DC</w:t>
            </w:r>
          </w:p>
        </w:tc>
        <w:tc>
          <w:tcPr>
            <w:tcW w:type="dxa" w:w="2500"/>
            <w:shd w:fill="1F4E3D" w:val="clear"/>
            <w:tcMar>
              <w:top w:type="dxa" w:w="50"/>
              <w:left w:type="dxa" w:w="80"/>
              <w:bottom w:type="dxa" w:w="50"/>
              <w:right w:type="dxa" w:w="80"/>
            </w:tcMar>
          </w:tcPr>
          <w:p>
            <w:pPr>
              <w:jc w:val="center"/>
            </w:pPr>
            <w:r>
              <w:rPr>
                <w:b/>
                <w:bCs/>
                <w:color w:val="FFFFFF"/>
                <w:sz w:val="17"/>
                <w:szCs w:val="17"/>
              </w:rPr>
              <w:t xml:space="preserve">GitLab Advanced SAST</w:t>
            </w:r>
          </w:p>
        </w:tc>
        <w:tc>
          <w:tcPr>
            <w:tcW w:type="dxa" w:w="2450"/>
            <w:shd w:fill="1F4E3D" w:val="clear"/>
            <w:tcMar>
              <w:top w:type="dxa" w:w="50"/>
              <w:left w:type="dxa" w:w="80"/>
              <w:bottom w:type="dxa" w:w="50"/>
              <w:right w:type="dxa" w:w="80"/>
            </w:tcMar>
          </w:tcPr>
          <w:p>
            <w:pPr>
              <w:jc w:val="center"/>
            </w:pPr>
            <w:r>
              <w:rPr>
                <w:b/>
                <w:bCs/>
                <w:color w:val="FFFFFF"/>
                <w:sz w:val="17"/>
                <w:szCs w:val="17"/>
              </w:rPr>
              <w:t xml:space="preserve">Fortify</w:t>
            </w:r>
          </w:p>
        </w:tc>
      </w:tr>
      <w:tr>
        <w:tc>
          <w:tcPr>
            <w:tcW w:type="dxa" w:w="1750"/>
            <w:shd w:fill="FFFFFF" w:val="clear"/>
            <w:tcMar>
              <w:top w:type="dxa" w:w="50"/>
              <w:left w:type="dxa" w:w="80"/>
              <w:bottom w:type="dxa" w:w="50"/>
              <w:right w:type="dxa" w:w="80"/>
            </w:tcMar>
          </w:tcPr>
          <w:p>
            <w:pPr>
              <w:jc w:val="left"/>
            </w:pPr>
            <w:r>
              <w:rPr>
                <w:b/>
                <w:bCs/>
                <w:sz w:val="17"/>
                <w:szCs w:val="17"/>
              </w:rPr>
              <w:t xml:space="preserve">Positionnement</w:t>
            </w:r>
          </w:p>
        </w:tc>
        <w:tc>
          <w:tcPr>
            <w:tcW w:type="dxa" w:w="2500"/>
            <w:shd w:fill="FFFFFF" w:val="clear"/>
            <w:tcMar>
              <w:top w:type="dxa" w:w="50"/>
              <w:left w:type="dxa" w:w="80"/>
              <w:bottom w:type="dxa" w:w="50"/>
              <w:right w:type="dxa" w:w="80"/>
            </w:tcMar>
          </w:tcPr>
          <w:p>
            <w:pPr>
              <w:jc w:val="left"/>
            </w:pPr>
            <w:r>
              <w:rPr>
                <w:b w:val="false"/>
                <w:bCs w:val="false"/>
                <w:sz w:val="17"/>
                <w:szCs w:val="17"/>
              </w:rPr>
              <w:t xml:space="preserve">Qualité de code + SAST, multi-forge</w:t>
            </w:r>
          </w:p>
        </w:tc>
        <w:tc>
          <w:tcPr>
            <w:tcW w:type="dxa" w:w="2500"/>
            <w:shd w:fill="FFFFFF" w:val="clear"/>
            <w:tcMar>
              <w:top w:type="dxa" w:w="50"/>
              <w:left w:type="dxa" w:w="80"/>
              <w:bottom w:type="dxa" w:w="50"/>
              <w:right w:type="dxa" w:w="80"/>
            </w:tcMar>
          </w:tcPr>
          <w:p>
            <w:pPr>
              <w:jc w:val="left"/>
            </w:pPr>
            <w:r>
              <w:rPr>
                <w:b w:val="false"/>
                <w:bCs w:val="false"/>
                <w:sz w:val="17"/>
                <w:szCs w:val="17"/>
              </w:rPr>
              <w:t xml:space="preserve">SAST natif GitLab (Ultimate)</w:t>
            </w:r>
          </w:p>
        </w:tc>
        <w:tc>
          <w:tcPr>
            <w:tcW w:type="dxa" w:w="2450"/>
            <w:shd w:fill="FFFFFF" w:val="clear"/>
            <w:tcMar>
              <w:top w:type="dxa" w:w="50"/>
              <w:left w:type="dxa" w:w="80"/>
              <w:bottom w:type="dxa" w:w="50"/>
              <w:right w:type="dxa" w:w="80"/>
            </w:tcMar>
          </w:tcPr>
          <w:p>
            <w:pPr>
              <w:jc w:val="left"/>
            </w:pPr>
            <w:r>
              <w:rPr>
                <w:b w:val="false"/>
                <w:bCs w:val="false"/>
                <w:sz w:val="17"/>
                <w:szCs w:val="17"/>
              </w:rPr>
              <w:t xml:space="preserve">SAST enterprise dédié</w:t>
            </w:r>
          </w:p>
        </w:tc>
      </w:tr>
      <w:tr>
        <w:tc>
          <w:tcPr>
            <w:tcW w:type="dxa" w:w="1750"/>
            <w:shd w:fill="EFF5F2" w:val="clear"/>
            <w:tcMar>
              <w:top w:type="dxa" w:w="50"/>
              <w:left w:type="dxa" w:w="80"/>
              <w:bottom w:type="dxa" w:w="50"/>
              <w:right w:type="dxa" w:w="80"/>
            </w:tcMar>
          </w:tcPr>
          <w:p>
            <w:pPr>
              <w:jc w:val="left"/>
            </w:pPr>
            <w:r>
              <w:rPr>
                <w:b/>
                <w:bCs/>
                <w:sz w:val="17"/>
                <w:szCs w:val="17"/>
              </w:rPr>
              <w:t xml:space="preserve">Moteur sécurité</w:t>
            </w:r>
          </w:p>
        </w:tc>
        <w:tc>
          <w:tcPr>
            <w:tcW w:type="dxa" w:w="2500"/>
            <w:shd w:fill="EFF5F2" w:val="clear"/>
            <w:tcMar>
              <w:top w:type="dxa" w:w="50"/>
              <w:left w:type="dxa" w:w="80"/>
              <w:bottom w:type="dxa" w:w="50"/>
              <w:right w:type="dxa" w:w="80"/>
            </w:tcMar>
          </w:tcPr>
          <w:p>
            <w:pPr>
              <w:jc w:val="left"/>
            </w:pPr>
            <w:r>
              <w:rPr>
                <w:b w:val="false"/>
                <w:bCs w:val="false"/>
                <w:sz w:val="17"/>
                <w:szCs w:val="17"/>
              </w:rPr>
              <w:t xml:space="preserve">Taint cross-fichier ; custom sources/sinks ; taint étendu aux dépendances (Adv. Security)</w:t>
            </w:r>
          </w:p>
        </w:tc>
        <w:tc>
          <w:tcPr>
            <w:tcW w:type="dxa" w:w="2500"/>
            <w:shd w:fill="EFF5F2" w:val="clear"/>
            <w:tcMar>
              <w:top w:type="dxa" w:w="50"/>
              <w:left w:type="dxa" w:w="80"/>
              <w:bottom w:type="dxa" w:w="50"/>
              <w:right w:type="dxa" w:w="80"/>
            </w:tcMar>
          </w:tcPr>
          <w:p>
            <w:pPr>
              <w:jc w:val="left"/>
            </w:pPr>
            <w:r>
              <w:rPr>
                <w:b w:val="false"/>
                <w:bCs w:val="false"/>
                <w:sz w:val="17"/>
                <w:szCs w:val="17"/>
              </w:rPr>
              <w:t xml:space="preserve">Taint cross-fichier, flux vérifiables uniquement, sources limitées au web</w:t>
            </w:r>
          </w:p>
        </w:tc>
        <w:tc>
          <w:tcPr>
            <w:tcW w:type="dxa" w:w="2450"/>
            <w:shd w:fill="EFF5F2" w:val="clear"/>
            <w:tcMar>
              <w:top w:type="dxa" w:w="50"/>
              <w:left w:type="dxa" w:w="80"/>
              <w:bottom w:type="dxa" w:w="50"/>
              <w:right w:type="dxa" w:w="80"/>
            </w:tcMar>
          </w:tcPr>
          <w:p>
            <w:pPr>
              <w:jc w:val="left"/>
            </w:pPr>
            <w:r>
              <w:rPr>
                <w:b w:val="false"/>
                <w:bCs w:val="false"/>
                <w:sz w:val="17"/>
                <w:szCs w:val="17"/>
              </w:rPr>
              <w:t xml:space="preserve">Analyse programme entier ; second ordre, C/C++, legacy COBOL/ABAP</w:t>
            </w:r>
          </w:p>
        </w:tc>
      </w:tr>
      <w:tr>
        <w:tc>
          <w:tcPr>
            <w:tcW w:type="dxa" w:w="1750"/>
            <w:shd w:fill="FFFFFF" w:val="clear"/>
            <w:tcMar>
              <w:top w:type="dxa" w:w="50"/>
              <w:left w:type="dxa" w:w="80"/>
              <w:bottom w:type="dxa" w:w="50"/>
              <w:right w:type="dxa" w:w="80"/>
            </w:tcMar>
          </w:tcPr>
          <w:p>
            <w:pPr>
              <w:jc w:val="left"/>
            </w:pPr>
            <w:r>
              <w:rPr>
                <w:b/>
                <w:bCs/>
                <w:sz w:val="17"/>
                <w:szCs w:val="17"/>
              </w:rPr>
              <w:t xml:space="preserve">Adoption développeur</w:t>
            </w:r>
          </w:p>
        </w:tc>
        <w:tc>
          <w:tcPr>
            <w:tcW w:type="dxa" w:w="2500"/>
            <w:shd w:fill="FFFFFF" w:val="clear"/>
            <w:tcMar>
              <w:top w:type="dxa" w:w="50"/>
              <w:left w:type="dxa" w:w="80"/>
              <w:bottom w:type="dxa" w:w="50"/>
              <w:right w:type="dxa" w:w="80"/>
            </w:tcMar>
          </w:tcPr>
          <w:p>
            <w:pPr>
              <w:jc w:val="center"/>
            </w:pPr>
            <w:r>
              <w:rPr>
                <w:b/>
                <w:bCs/>
                <w:color w:val="2E7D32"/>
                <w:sz w:val="17"/>
                <w:szCs w:val="17"/>
              </w:rPr>
              <w:t xml:space="preserve">Excellente (IDE, MR, gates)</w:t>
            </w:r>
          </w:p>
        </w:tc>
        <w:tc>
          <w:tcPr>
            <w:tcW w:type="dxa" w:w="2500"/>
            <w:shd w:fill="FFFFFF" w:val="clear"/>
            <w:tcMar>
              <w:top w:type="dxa" w:w="50"/>
              <w:left w:type="dxa" w:w="80"/>
              <w:bottom w:type="dxa" w:w="50"/>
              <w:right w:type="dxa" w:w="80"/>
            </w:tcMar>
          </w:tcPr>
          <w:p>
            <w:pPr>
              <w:jc w:val="center"/>
            </w:pPr>
            <w:r>
              <w:rPr>
                <w:b/>
                <w:bCs/>
                <w:color w:val="2E7D32"/>
                <w:sz w:val="17"/>
                <w:szCs w:val="17"/>
              </w:rPr>
              <w:t xml:space="preserve">Bonne (natif en MR)</w:t>
            </w:r>
          </w:p>
        </w:tc>
        <w:tc>
          <w:tcPr>
            <w:tcW w:type="dxa" w:w="2450"/>
            <w:shd w:fill="FFFFFF" w:val="clear"/>
            <w:tcMar>
              <w:top w:type="dxa" w:w="50"/>
              <w:left w:type="dxa" w:w="80"/>
              <w:bottom w:type="dxa" w:w="50"/>
              <w:right w:type="dxa" w:w="80"/>
            </w:tcMar>
          </w:tcPr>
          <w:p>
            <w:pPr>
              <w:jc w:val="center"/>
            </w:pPr>
            <w:r>
              <w:rPr>
                <w:b/>
                <w:bCs/>
                <w:color w:val="C62828"/>
                <w:sz w:val="17"/>
                <w:szCs w:val="17"/>
              </w:rPr>
              <w:t xml:space="preserve">Très faible</w:t>
            </w:r>
          </w:p>
        </w:tc>
      </w:tr>
      <w:tr>
        <w:tc>
          <w:tcPr>
            <w:tcW w:type="dxa" w:w="1750"/>
            <w:shd w:fill="EFF5F2" w:val="clear"/>
            <w:tcMar>
              <w:top w:type="dxa" w:w="50"/>
              <w:left w:type="dxa" w:w="80"/>
              <w:bottom w:type="dxa" w:w="50"/>
              <w:right w:type="dxa" w:w="80"/>
            </w:tcMar>
          </w:tcPr>
          <w:p>
            <w:pPr>
              <w:jc w:val="left"/>
            </w:pPr>
            <w:r>
              <w:rPr>
                <w:b/>
                <w:bCs/>
                <w:sz w:val="17"/>
                <w:szCs w:val="17"/>
              </w:rPr>
              <w:t xml:space="preserve">Vitesse de scan</w:t>
            </w:r>
          </w:p>
        </w:tc>
        <w:tc>
          <w:tcPr>
            <w:tcW w:type="dxa" w:w="2500"/>
            <w:shd w:fill="EFF5F2" w:val="clear"/>
            <w:tcMar>
              <w:top w:type="dxa" w:w="50"/>
              <w:left w:type="dxa" w:w="80"/>
              <w:bottom w:type="dxa" w:w="50"/>
              <w:right w:type="dxa" w:w="80"/>
            </w:tcMar>
          </w:tcPr>
          <w:p>
            <w:pPr>
              <w:jc w:val="center"/>
            </w:pPr>
            <w:r>
              <w:rPr>
                <w:b/>
                <w:bCs/>
                <w:color w:val="B26A00"/>
                <w:sz w:val="17"/>
                <w:szCs w:val="17"/>
              </w:rPr>
              <w:t xml:space="preserve">Moyenne (build requis)</w:t>
            </w:r>
          </w:p>
        </w:tc>
        <w:tc>
          <w:tcPr>
            <w:tcW w:type="dxa" w:w="2500"/>
            <w:shd w:fill="EFF5F2" w:val="clear"/>
            <w:tcMar>
              <w:top w:type="dxa" w:w="50"/>
              <w:left w:type="dxa" w:w="80"/>
              <w:bottom w:type="dxa" w:w="50"/>
              <w:right w:type="dxa" w:w="80"/>
            </w:tcMar>
          </w:tcPr>
          <w:p>
            <w:pPr>
              <w:jc w:val="center"/>
            </w:pPr>
            <w:r>
              <w:rPr>
                <w:b/>
                <w:bCs/>
                <w:color w:val="2E7D32"/>
                <w:sz w:val="17"/>
                <w:szCs w:val="17"/>
              </w:rPr>
              <w:t xml:space="preserve">Rapide (diff-aware)</w:t>
            </w:r>
          </w:p>
        </w:tc>
        <w:tc>
          <w:tcPr>
            <w:tcW w:type="dxa" w:w="2450"/>
            <w:shd w:fill="EFF5F2" w:val="clear"/>
            <w:tcMar>
              <w:top w:type="dxa" w:w="50"/>
              <w:left w:type="dxa" w:w="80"/>
              <w:bottom w:type="dxa" w:w="50"/>
              <w:right w:type="dxa" w:w="80"/>
            </w:tcMar>
          </w:tcPr>
          <w:p>
            <w:pPr>
              <w:jc w:val="center"/>
            </w:pPr>
            <w:r>
              <w:rPr>
                <w:b/>
                <w:bCs/>
                <w:color w:val="C62828"/>
                <w:sz w:val="17"/>
                <w:szCs w:val="17"/>
              </w:rPr>
              <w:t xml:space="preserve">60-180 min</w:t>
            </w:r>
          </w:p>
        </w:tc>
      </w:tr>
      <w:tr>
        <w:tc>
          <w:tcPr>
            <w:tcW w:type="dxa" w:w="1750"/>
            <w:shd w:fill="FFFFFF" w:val="clear"/>
            <w:tcMar>
              <w:top w:type="dxa" w:w="50"/>
              <w:left w:type="dxa" w:w="80"/>
              <w:bottom w:type="dxa" w:w="50"/>
              <w:right w:type="dxa" w:w="80"/>
            </w:tcMar>
          </w:tcPr>
          <w:p>
            <w:pPr>
              <w:jc w:val="left"/>
            </w:pPr>
            <w:r>
              <w:rPr>
                <w:b/>
                <w:bCs/>
                <w:sz w:val="17"/>
                <w:szCs w:val="17"/>
              </w:rPr>
              <w:t xml:space="preserve">Faux positifs / triage</w:t>
            </w:r>
          </w:p>
        </w:tc>
        <w:tc>
          <w:tcPr>
            <w:tcW w:type="dxa" w:w="2500"/>
            <w:shd w:fill="FFFFFF" w:val="clear"/>
            <w:tcMar>
              <w:top w:type="dxa" w:w="50"/>
              <w:left w:type="dxa" w:w="80"/>
              <w:bottom w:type="dxa" w:w="50"/>
              <w:right w:type="dxa" w:w="80"/>
            </w:tcMar>
          </w:tcPr>
          <w:p>
            <w:pPr>
              <w:jc w:val="center"/>
            </w:pPr>
            <w:r>
              <w:rPr>
                <w:b/>
                <w:bCs/>
                <w:color w:val="B26A00"/>
                <w:sz w:val="17"/>
                <w:szCs w:val="17"/>
              </w:rPr>
              <w:t xml:space="preserve">Modérés, workflow mature</w:t>
            </w:r>
          </w:p>
        </w:tc>
        <w:tc>
          <w:tcPr>
            <w:tcW w:type="dxa" w:w="2500"/>
            <w:shd w:fill="FFFFFF" w:val="clear"/>
            <w:tcMar>
              <w:top w:type="dxa" w:w="50"/>
              <w:left w:type="dxa" w:w="80"/>
              <w:bottom w:type="dxa" w:w="50"/>
              <w:right w:type="dxa" w:w="80"/>
            </w:tcMar>
          </w:tcPr>
          <w:p>
            <w:pPr>
              <w:jc w:val="center"/>
            </w:pPr>
            <w:r>
              <w:rPr>
                <w:b/>
                <w:bCs/>
                <w:color w:val="2E7D32"/>
                <w:sz w:val="17"/>
                <w:szCs w:val="17"/>
              </w:rPr>
              <w:t xml:space="preserve">Faibles + triage IA (Duo)</w:t>
            </w:r>
          </w:p>
        </w:tc>
        <w:tc>
          <w:tcPr>
            <w:tcW w:type="dxa" w:w="2450"/>
            <w:shd w:fill="FFFFFF" w:val="clear"/>
            <w:tcMar>
              <w:top w:type="dxa" w:w="50"/>
              <w:left w:type="dxa" w:w="80"/>
              <w:bottom w:type="dxa" w:w="50"/>
              <w:right w:type="dxa" w:w="80"/>
            </w:tcMar>
          </w:tcPr>
          <w:p>
            <w:pPr>
              <w:jc w:val="center"/>
            </w:pPr>
            <w:r>
              <w:rPr>
                <w:b/>
                <w:bCs/>
                <w:color w:val="C62828"/>
                <w:sz w:val="17"/>
                <w:szCs w:val="17"/>
              </w:rPr>
              <w:t xml:space="preserve">Élevés, équipe AppSec requise</w:t>
            </w:r>
          </w:p>
        </w:tc>
      </w:tr>
      <w:tr>
        <w:tc>
          <w:tcPr>
            <w:tcW w:type="dxa" w:w="1750"/>
            <w:shd w:fill="EFF5F2" w:val="clear"/>
            <w:tcMar>
              <w:top w:type="dxa" w:w="50"/>
              <w:left w:type="dxa" w:w="80"/>
              <w:bottom w:type="dxa" w:w="50"/>
              <w:right w:type="dxa" w:w="80"/>
            </w:tcMar>
          </w:tcPr>
          <w:p>
            <w:pPr>
              <w:jc w:val="left"/>
            </w:pPr>
            <w:r>
              <w:rPr>
                <w:b/>
                <w:bCs/>
                <w:sz w:val="17"/>
                <w:szCs w:val="17"/>
              </w:rPr>
              <w:t xml:space="preserve">Conformité / reporting</w:t>
            </w:r>
          </w:p>
        </w:tc>
        <w:tc>
          <w:tcPr>
            <w:tcW w:type="dxa" w:w="2500"/>
            <w:shd w:fill="EFF5F2" w:val="clear"/>
            <w:tcMar>
              <w:top w:type="dxa" w:w="50"/>
              <w:left w:type="dxa" w:w="80"/>
              <w:bottom w:type="dxa" w:w="50"/>
              <w:right w:type="dxa" w:w="80"/>
            </w:tcMar>
          </w:tcPr>
          <w:p>
            <w:pPr>
              <w:jc w:val="center"/>
            </w:pPr>
            <w:r>
              <w:rPr>
                <w:b/>
                <w:bCs/>
                <w:color w:val="2E7D32"/>
                <w:sz w:val="17"/>
                <w:szCs w:val="17"/>
              </w:rPr>
              <w:t xml:space="preserve">OWASP, CWE, ASVS, PCI, STIG</w:t>
            </w:r>
          </w:p>
        </w:tc>
        <w:tc>
          <w:tcPr>
            <w:tcW w:type="dxa" w:w="2500"/>
            <w:shd w:fill="EFF5F2" w:val="clear"/>
            <w:tcMar>
              <w:top w:type="dxa" w:w="50"/>
              <w:left w:type="dxa" w:w="80"/>
              <w:bottom w:type="dxa" w:w="50"/>
              <w:right w:type="dxa" w:w="80"/>
            </w:tcMar>
          </w:tcPr>
          <w:p>
            <w:pPr>
              <w:jc w:val="center"/>
            </w:pPr>
            <w:r>
              <w:rPr>
                <w:b/>
                <w:bCs/>
                <w:color w:val="B26A00"/>
                <w:sz w:val="17"/>
                <w:szCs w:val="17"/>
              </w:rPr>
              <w:t xml:space="preserve">Dashboards pipeline</w:t>
            </w:r>
          </w:p>
        </w:tc>
        <w:tc>
          <w:tcPr>
            <w:tcW w:type="dxa" w:w="2450"/>
            <w:shd w:fill="EFF5F2" w:val="clear"/>
            <w:tcMar>
              <w:top w:type="dxa" w:w="50"/>
              <w:left w:type="dxa" w:w="80"/>
              <w:bottom w:type="dxa" w:w="50"/>
              <w:right w:type="dxa" w:w="80"/>
            </w:tcMar>
          </w:tcPr>
          <w:p>
            <w:pPr>
              <w:jc w:val="center"/>
            </w:pPr>
            <w:r>
              <w:rPr>
                <w:b/>
                <w:bCs/>
                <w:color w:val="2E7D32"/>
                <w:sz w:val="17"/>
                <w:szCs w:val="17"/>
              </w:rPr>
              <w:t xml:space="preserve">FedRAMP, DISA STIG, PCI, HIPAA</w:t>
            </w:r>
          </w:p>
        </w:tc>
      </w:tr>
      <w:tr>
        <w:tc>
          <w:tcPr>
            <w:tcW w:type="dxa" w:w="1750"/>
            <w:shd w:fill="FFFFFF" w:val="clear"/>
            <w:tcMar>
              <w:top w:type="dxa" w:w="50"/>
              <w:left w:type="dxa" w:w="80"/>
              <w:bottom w:type="dxa" w:w="50"/>
              <w:right w:type="dxa" w:w="80"/>
            </w:tcMar>
          </w:tcPr>
          <w:p>
            <w:pPr>
              <w:jc w:val="left"/>
            </w:pPr>
            <w:r>
              <w:rPr>
                <w:b/>
                <w:bCs/>
                <w:sz w:val="17"/>
                <w:szCs w:val="17"/>
              </w:rPr>
              <w:t xml:space="preserve">Coût récurrent</w:t>
            </w:r>
          </w:p>
        </w:tc>
        <w:tc>
          <w:tcPr>
            <w:tcW w:type="dxa" w:w="2500"/>
            <w:shd w:fill="FFFFFF" w:val="clear"/>
            <w:tcMar>
              <w:top w:type="dxa" w:w="50"/>
              <w:left w:type="dxa" w:w="80"/>
              <w:bottom w:type="dxa" w:w="50"/>
              <w:right w:type="dxa" w:w="80"/>
            </w:tcMar>
          </w:tcPr>
          <w:p>
            <w:pPr>
              <w:jc w:val="center"/>
            </w:pPr>
            <w:r>
              <w:rPr>
                <w:b/>
                <w:bCs/>
                <w:color w:val="B26A00"/>
                <w:sz w:val="17"/>
                <w:szCs w:val="17"/>
              </w:rPr>
              <w:t xml:space="preserve">Licence DC acquise + infra/admin interne</w:t>
            </w:r>
          </w:p>
        </w:tc>
        <w:tc>
          <w:tcPr>
            <w:tcW w:type="dxa" w:w="2500"/>
            <w:shd w:fill="FFFFFF" w:val="clear"/>
            <w:tcMar>
              <w:top w:type="dxa" w:w="50"/>
              <w:left w:type="dxa" w:w="80"/>
              <w:bottom w:type="dxa" w:w="50"/>
              <w:right w:type="dxa" w:w="80"/>
            </w:tcMar>
          </w:tcPr>
          <w:p>
            <w:pPr>
              <w:jc w:val="center"/>
            </w:pPr>
            <w:r>
              <w:rPr>
                <w:b/>
                <w:bCs/>
                <w:color w:val="2E7D32"/>
                <w:sz w:val="17"/>
                <w:szCs w:val="17"/>
              </w:rPr>
              <w:t xml:space="preserve">Nul (inclus Ultimate)</w:t>
            </w:r>
          </w:p>
        </w:tc>
        <w:tc>
          <w:tcPr>
            <w:tcW w:type="dxa" w:w="2450"/>
            <w:shd w:fill="FFFFFF" w:val="clear"/>
            <w:tcMar>
              <w:top w:type="dxa" w:w="50"/>
              <w:left w:type="dxa" w:w="80"/>
              <w:bottom w:type="dxa" w:w="50"/>
              <w:right w:type="dxa" w:w="80"/>
            </w:tcMar>
          </w:tcPr>
          <w:p>
            <w:pPr>
              <w:jc w:val="center"/>
            </w:pPr>
            <w:r>
              <w:rPr>
                <w:b/>
                <w:bCs/>
                <w:color w:val="C62828"/>
                <w:sz w:val="17"/>
                <w:szCs w:val="17"/>
              </w:rPr>
              <w:t xml:space="preserve">30-150 k$+/an</w:t>
            </w:r>
          </w:p>
        </w:tc>
      </w:tr>
      <w:tr>
        <w:tc>
          <w:tcPr>
            <w:tcW w:type="dxa" w:w="1750"/>
            <w:shd w:fill="EFF5F2" w:val="clear"/>
            <w:tcMar>
              <w:top w:type="dxa" w:w="50"/>
              <w:left w:type="dxa" w:w="80"/>
              <w:bottom w:type="dxa" w:w="50"/>
              <w:right w:type="dxa" w:w="80"/>
            </w:tcMar>
          </w:tcPr>
          <w:p>
            <w:pPr>
              <w:jc w:val="left"/>
            </w:pPr>
            <w:r>
              <w:rPr>
                <w:b/>
                <w:bCs/>
                <w:sz w:val="17"/>
                <w:szCs w:val="17"/>
              </w:rPr>
              <w:t xml:space="preserve">Indépendance forge Git</w:t>
            </w:r>
          </w:p>
        </w:tc>
        <w:tc>
          <w:tcPr>
            <w:tcW w:type="dxa" w:w="2500"/>
            <w:shd w:fill="EFF5F2" w:val="clear"/>
            <w:tcMar>
              <w:top w:type="dxa" w:w="50"/>
              <w:left w:type="dxa" w:w="80"/>
              <w:bottom w:type="dxa" w:w="50"/>
              <w:right w:type="dxa" w:w="80"/>
            </w:tcMar>
          </w:tcPr>
          <w:p>
            <w:pPr>
              <w:jc w:val="center"/>
            </w:pPr>
            <w:r>
              <w:rPr>
                <w:b/>
                <w:bCs/>
                <w:color w:val="2E7D32"/>
                <w:sz w:val="17"/>
                <w:szCs w:val="17"/>
              </w:rPr>
              <w:t xml:space="preserve">Oui (4 forges)</w:t>
            </w:r>
          </w:p>
        </w:tc>
        <w:tc>
          <w:tcPr>
            <w:tcW w:type="dxa" w:w="2500"/>
            <w:shd w:fill="EFF5F2" w:val="clear"/>
            <w:tcMar>
              <w:top w:type="dxa" w:w="50"/>
              <w:left w:type="dxa" w:w="80"/>
              <w:bottom w:type="dxa" w:w="50"/>
              <w:right w:type="dxa" w:w="80"/>
            </w:tcMar>
          </w:tcPr>
          <w:p>
            <w:pPr>
              <w:jc w:val="center"/>
            </w:pPr>
            <w:r>
              <w:rPr>
                <w:b/>
                <w:bCs/>
                <w:color w:val="C62828"/>
                <w:sz w:val="17"/>
                <w:szCs w:val="17"/>
              </w:rPr>
              <w:t xml:space="preserve">Non (GitLab only)</w:t>
            </w:r>
          </w:p>
        </w:tc>
        <w:tc>
          <w:tcPr>
            <w:tcW w:type="dxa" w:w="2450"/>
            <w:shd w:fill="EFF5F2" w:val="clear"/>
            <w:tcMar>
              <w:top w:type="dxa" w:w="50"/>
              <w:left w:type="dxa" w:w="80"/>
              <w:bottom w:type="dxa" w:w="50"/>
              <w:right w:type="dxa" w:w="80"/>
            </w:tcMar>
          </w:tcPr>
          <w:p>
            <w:pPr>
              <w:jc w:val="center"/>
            </w:pPr>
            <w:r>
              <w:rPr>
                <w:b/>
                <w:bCs/>
                <w:color w:val="B26A00"/>
                <w:sz w:val="17"/>
                <w:szCs w:val="17"/>
              </w:rPr>
              <w:t xml:space="preserve">Plugins</w:t>
            </w:r>
          </w:p>
        </w:tc>
      </w:tr>
    </w:tbl>
    <w:p>
      <w:pPr>
        <w:pStyle w:val="Heading2"/>
        <w:spacing w:after="80" w:before="140"/>
      </w:pPr>
      <w:r>
        <w:t xml:space="preserve">Évaluation pondérée (contexte : développeurs 25 %, détection 20 %, CI/CD 15 %, gouvernance 15 %, fiabilité 10 %, coût 10 %, pérennité 5 %)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1950"/>
        <w:gridCol w:w="1950"/>
        <w:gridCol w:w="1900"/>
      </w:tblGrid>
      <w:tr>
        <w:trPr>
          <w:tblHeader/>
        </w:trPr>
        <w:tc>
          <w:tcPr>
            <w:tcW w:type="dxa" w:w="3400"/>
            <w:shd w:fill="1F4E3D" w:val="clear"/>
            <w:tcMar>
              <w:top w:type="dxa" w:w="50"/>
              <w:left w:type="dxa" w:w="80"/>
              <w:bottom w:type="dxa" w:w="50"/>
              <w:right w:type="dxa" w:w="80"/>
            </w:tcMar>
          </w:tcPr>
          <w:p>
            <w:pPr>
              <w:jc w:val="center"/>
            </w:pPr>
            <w:r>
              <w:rPr>
                <w:b/>
                <w:bCs/>
                <w:color w:val="FFFFFF"/>
                <w:sz w:val="17"/>
                <w:szCs w:val="17"/>
              </w:rPr>
              <w:t xml:space="preserve">Critère (poids)</w:t>
            </w:r>
          </w:p>
        </w:tc>
        <w:tc>
          <w:tcPr>
            <w:tcW w:type="dxa" w:w="1950"/>
            <w:shd w:fill="1F4E3D" w:val="clear"/>
            <w:tcMar>
              <w:top w:type="dxa" w:w="50"/>
              <w:left w:type="dxa" w:w="80"/>
              <w:bottom w:type="dxa" w:w="50"/>
              <w:right w:type="dxa" w:w="80"/>
            </w:tcMar>
          </w:tcPr>
          <w:p>
            <w:pPr>
              <w:jc w:val="center"/>
            </w:pPr>
            <w:r>
              <w:rPr>
                <w:b/>
                <w:bCs/>
                <w:color w:val="FFFFFF"/>
                <w:sz w:val="17"/>
                <w:szCs w:val="17"/>
              </w:rPr>
              <w:t xml:space="preserve">SonarQube DC</w:t>
            </w:r>
          </w:p>
        </w:tc>
        <w:tc>
          <w:tcPr>
            <w:tcW w:type="dxa" w:w="1950"/>
            <w:shd w:fill="1F4E3D" w:val="clear"/>
            <w:tcMar>
              <w:top w:type="dxa" w:w="50"/>
              <w:left w:type="dxa" w:w="80"/>
              <w:bottom w:type="dxa" w:w="50"/>
              <w:right w:type="dxa" w:w="80"/>
            </w:tcMar>
          </w:tcPr>
          <w:p>
            <w:pPr>
              <w:jc w:val="center"/>
            </w:pPr>
            <w:r>
              <w:rPr>
                <w:b/>
                <w:bCs/>
                <w:color w:val="FFFFFF"/>
                <w:sz w:val="17"/>
                <w:szCs w:val="17"/>
              </w:rPr>
              <w:t xml:space="preserve">GitLab Adv. SAST</w:t>
            </w:r>
          </w:p>
        </w:tc>
        <w:tc>
          <w:tcPr>
            <w:tcW w:type="dxa" w:w="1900"/>
            <w:shd w:fill="1F4E3D" w:val="clear"/>
            <w:tcMar>
              <w:top w:type="dxa" w:w="50"/>
              <w:left w:type="dxa" w:w="80"/>
              <w:bottom w:type="dxa" w:w="50"/>
              <w:right w:type="dxa" w:w="80"/>
            </w:tcMar>
          </w:tcPr>
          <w:p>
            <w:pPr>
              <w:jc w:val="center"/>
            </w:pPr>
            <w:r>
              <w:rPr>
                <w:b/>
                <w:bCs/>
                <w:color w:val="FFFFFF"/>
                <w:sz w:val="17"/>
                <w:szCs w:val="17"/>
              </w:rPr>
              <w:t xml:space="preserve">Fortify</w:t>
            </w:r>
          </w:p>
        </w:tc>
      </w:tr>
      <w:tr>
        <w:tc>
          <w:tcPr>
            <w:tcW w:type="dxa" w:w="3400"/>
            <w:shd w:fill="FFFFFF" w:val="clear"/>
            <w:tcMar>
              <w:top w:type="dxa" w:w="50"/>
              <w:left w:type="dxa" w:w="80"/>
              <w:bottom w:type="dxa" w:w="50"/>
              <w:right w:type="dxa" w:w="80"/>
            </w:tcMar>
          </w:tcPr>
          <w:p>
            <w:pPr>
              <w:jc w:val="left"/>
            </w:pPr>
            <w:r>
              <w:rPr>
                <w:b/>
                <w:bCs/>
                <w:sz w:val="17"/>
                <w:szCs w:val="17"/>
              </w:rPr>
              <w:t xml:space="preserve">Adoption développeur (25 %)</w:t>
            </w:r>
          </w:p>
        </w:tc>
        <w:tc>
          <w:tcPr>
            <w:tcW w:type="dxa" w:w="1950"/>
            <w:shd w:fill="FFFFFF" w:val="clear"/>
            <w:tcMar>
              <w:top w:type="dxa" w:w="50"/>
              <w:left w:type="dxa" w:w="80"/>
              <w:bottom w:type="dxa" w:w="50"/>
              <w:right w:type="dxa" w:w="80"/>
            </w:tcMar>
          </w:tcPr>
          <w:p>
            <w:pPr>
              <w:jc w:val="center"/>
            </w:pPr>
            <w:r>
              <w:rPr>
                <w:b/>
                <w:bCs/>
                <w:color w:val="2E7D32"/>
                <w:sz w:val="17"/>
                <w:szCs w:val="17"/>
              </w:rPr>
              <w:t xml:space="preserve">5</w:t>
            </w:r>
          </w:p>
        </w:tc>
        <w:tc>
          <w:tcPr>
            <w:tcW w:type="dxa" w:w="1950"/>
            <w:shd w:fill="FFFFFF" w:val="clear"/>
            <w:tcMar>
              <w:top w:type="dxa" w:w="50"/>
              <w:left w:type="dxa" w:w="80"/>
              <w:bottom w:type="dxa" w:w="50"/>
              <w:right w:type="dxa" w:w="80"/>
            </w:tcMar>
          </w:tcPr>
          <w:p>
            <w:pPr>
              <w:jc w:val="center"/>
            </w:pPr>
            <w:r>
              <w:rPr>
                <w:b/>
                <w:bCs/>
                <w:color w:val="2E7D32"/>
                <w:sz w:val="17"/>
                <w:szCs w:val="17"/>
              </w:rPr>
              <w:t xml:space="preserve">4</w:t>
            </w:r>
          </w:p>
        </w:tc>
        <w:tc>
          <w:tcPr>
            <w:tcW w:type="dxa" w:w="1900"/>
            <w:shd w:fill="FFFFFF" w:val="clear"/>
            <w:tcMar>
              <w:top w:type="dxa" w:w="50"/>
              <w:left w:type="dxa" w:w="80"/>
              <w:bottom w:type="dxa" w:w="50"/>
              <w:right w:type="dxa" w:w="80"/>
            </w:tcMar>
          </w:tcPr>
          <w:p>
            <w:pPr>
              <w:jc w:val="center"/>
            </w:pPr>
            <w:r>
              <w:rPr>
                <w:b/>
                <w:bCs/>
                <w:color w:val="C62828"/>
                <w:sz w:val="17"/>
                <w:szCs w:val="17"/>
              </w:rPr>
              <w:t xml:space="preserve">1</w:t>
            </w:r>
          </w:p>
        </w:tc>
      </w:tr>
      <w:tr>
        <w:tc>
          <w:tcPr>
            <w:tcW w:type="dxa" w:w="3400"/>
            <w:shd w:fill="EFF5F2" w:val="clear"/>
            <w:tcMar>
              <w:top w:type="dxa" w:w="50"/>
              <w:left w:type="dxa" w:w="80"/>
              <w:bottom w:type="dxa" w:w="50"/>
              <w:right w:type="dxa" w:w="80"/>
            </w:tcMar>
          </w:tcPr>
          <w:p>
            <w:pPr>
              <w:jc w:val="left"/>
            </w:pPr>
            <w:r>
              <w:rPr>
                <w:b/>
                <w:bCs/>
                <w:sz w:val="17"/>
                <w:szCs w:val="17"/>
              </w:rPr>
              <w:t xml:space="preserve">Profondeur de détection (20 %)</w:t>
            </w:r>
          </w:p>
        </w:tc>
        <w:tc>
          <w:tcPr>
            <w:tcW w:type="dxa" w:w="1950"/>
            <w:shd w:fill="EFF5F2" w:val="clear"/>
            <w:tcMar>
              <w:top w:type="dxa" w:w="50"/>
              <w:left w:type="dxa" w:w="80"/>
              <w:bottom w:type="dxa" w:w="50"/>
              <w:right w:type="dxa" w:w="80"/>
            </w:tcMar>
          </w:tcPr>
          <w:p>
            <w:pPr>
              <w:jc w:val="center"/>
            </w:pPr>
            <w:r>
              <w:rPr>
                <w:b/>
                <w:bCs/>
                <w:color w:val="B26A00"/>
                <w:sz w:val="17"/>
                <w:szCs w:val="17"/>
              </w:rPr>
              <w:t xml:space="preserve">4</w:t>
            </w:r>
          </w:p>
        </w:tc>
        <w:tc>
          <w:tcPr>
            <w:tcW w:type="dxa" w:w="1950"/>
            <w:shd w:fill="EFF5F2" w:val="clear"/>
            <w:tcMar>
              <w:top w:type="dxa" w:w="50"/>
              <w:left w:type="dxa" w:w="80"/>
              <w:bottom w:type="dxa" w:w="50"/>
              <w:right w:type="dxa" w:w="80"/>
            </w:tcMar>
          </w:tcPr>
          <w:p>
            <w:pPr>
              <w:jc w:val="center"/>
            </w:pPr>
            <w:r>
              <w:rPr>
                <w:b/>
                <w:bCs/>
                <w:color w:val="B26A00"/>
                <w:sz w:val="17"/>
                <w:szCs w:val="17"/>
              </w:rPr>
              <w:t xml:space="preserve">3</w:t>
            </w:r>
          </w:p>
        </w:tc>
        <w:tc>
          <w:tcPr>
            <w:tcW w:type="dxa" w:w="1900"/>
            <w:shd w:fill="EFF5F2" w:val="clear"/>
            <w:tcMar>
              <w:top w:type="dxa" w:w="50"/>
              <w:left w:type="dxa" w:w="80"/>
              <w:bottom w:type="dxa" w:w="50"/>
              <w:right w:type="dxa" w:w="80"/>
            </w:tcMar>
          </w:tcPr>
          <w:p>
            <w:pPr>
              <w:jc w:val="center"/>
            </w:pPr>
            <w:r>
              <w:rPr>
                <w:b/>
                <w:bCs/>
                <w:color w:val="2E7D32"/>
                <w:sz w:val="17"/>
                <w:szCs w:val="17"/>
              </w:rPr>
              <w:t xml:space="preserve">5</w:t>
            </w:r>
          </w:p>
        </w:tc>
      </w:tr>
      <w:tr>
        <w:tc>
          <w:tcPr>
            <w:tcW w:type="dxa" w:w="3400"/>
            <w:shd w:fill="FFFFFF" w:val="clear"/>
            <w:tcMar>
              <w:top w:type="dxa" w:w="50"/>
              <w:left w:type="dxa" w:w="80"/>
              <w:bottom w:type="dxa" w:w="50"/>
              <w:right w:type="dxa" w:w="80"/>
            </w:tcMar>
          </w:tcPr>
          <w:p>
            <w:pPr>
              <w:jc w:val="left"/>
            </w:pPr>
            <w:r>
              <w:rPr>
                <w:b/>
                <w:bCs/>
                <w:sz w:val="17"/>
                <w:szCs w:val="17"/>
              </w:rPr>
              <w:t xml:space="preserve">Intégration CI/CD, vitesse (15 %)</w:t>
            </w:r>
          </w:p>
        </w:tc>
        <w:tc>
          <w:tcPr>
            <w:tcW w:type="dxa" w:w="1950"/>
            <w:shd w:fill="FFFFFF" w:val="clear"/>
            <w:tcMar>
              <w:top w:type="dxa" w:w="50"/>
              <w:left w:type="dxa" w:w="80"/>
              <w:bottom w:type="dxa" w:w="50"/>
              <w:right w:type="dxa" w:w="80"/>
            </w:tcMar>
          </w:tcPr>
          <w:p>
            <w:pPr>
              <w:jc w:val="center"/>
            </w:pPr>
            <w:r>
              <w:rPr>
                <w:b/>
                <w:bCs/>
                <w:color w:val="B26A00"/>
                <w:sz w:val="17"/>
                <w:szCs w:val="17"/>
              </w:rPr>
              <w:t xml:space="preserve">4</w:t>
            </w:r>
          </w:p>
        </w:tc>
        <w:tc>
          <w:tcPr>
            <w:tcW w:type="dxa" w:w="1950"/>
            <w:shd w:fill="FFFFFF" w:val="clear"/>
            <w:tcMar>
              <w:top w:type="dxa" w:w="50"/>
              <w:left w:type="dxa" w:w="80"/>
              <w:bottom w:type="dxa" w:w="50"/>
              <w:right w:type="dxa" w:w="80"/>
            </w:tcMar>
          </w:tcPr>
          <w:p>
            <w:pPr>
              <w:jc w:val="center"/>
            </w:pPr>
            <w:r>
              <w:rPr>
                <w:b/>
                <w:bCs/>
                <w:color w:val="2E7D32"/>
                <w:sz w:val="17"/>
                <w:szCs w:val="17"/>
              </w:rPr>
              <w:t xml:space="preserve">5</w:t>
            </w:r>
          </w:p>
        </w:tc>
        <w:tc>
          <w:tcPr>
            <w:tcW w:type="dxa" w:w="1900"/>
            <w:shd w:fill="FFFFFF" w:val="clear"/>
            <w:tcMar>
              <w:top w:type="dxa" w:w="50"/>
              <w:left w:type="dxa" w:w="80"/>
              <w:bottom w:type="dxa" w:w="50"/>
              <w:right w:type="dxa" w:w="80"/>
            </w:tcMar>
          </w:tcPr>
          <w:p>
            <w:pPr>
              <w:jc w:val="center"/>
            </w:pPr>
            <w:r>
              <w:rPr>
                <w:b/>
                <w:bCs/>
                <w:color w:val="C62828"/>
                <w:sz w:val="17"/>
                <w:szCs w:val="17"/>
              </w:rPr>
              <w:t xml:space="preserve">1</w:t>
            </w:r>
          </w:p>
        </w:tc>
      </w:tr>
      <w:tr>
        <w:tc>
          <w:tcPr>
            <w:tcW w:type="dxa" w:w="3400"/>
            <w:shd w:fill="EFF5F2" w:val="clear"/>
            <w:tcMar>
              <w:top w:type="dxa" w:w="50"/>
              <w:left w:type="dxa" w:w="80"/>
              <w:bottom w:type="dxa" w:w="50"/>
              <w:right w:type="dxa" w:w="80"/>
            </w:tcMar>
          </w:tcPr>
          <w:p>
            <w:pPr>
              <w:jc w:val="left"/>
            </w:pPr>
            <w:r>
              <w:rPr>
                <w:b/>
                <w:bCs/>
                <w:sz w:val="17"/>
                <w:szCs w:val="17"/>
              </w:rPr>
              <w:t xml:space="preserve">Gouvernance, conformité (15 %)</w:t>
            </w:r>
          </w:p>
        </w:tc>
        <w:tc>
          <w:tcPr>
            <w:tcW w:type="dxa" w:w="1950"/>
            <w:shd w:fill="EFF5F2" w:val="clear"/>
            <w:tcMar>
              <w:top w:type="dxa" w:w="50"/>
              <w:left w:type="dxa" w:w="80"/>
              <w:bottom w:type="dxa" w:w="50"/>
              <w:right w:type="dxa" w:w="80"/>
            </w:tcMar>
          </w:tcPr>
          <w:p>
            <w:pPr>
              <w:jc w:val="center"/>
            </w:pPr>
            <w:r>
              <w:rPr>
                <w:b/>
                <w:bCs/>
                <w:color w:val="2E7D32"/>
                <w:sz w:val="17"/>
                <w:szCs w:val="17"/>
              </w:rPr>
              <w:t xml:space="preserve">5</w:t>
            </w:r>
          </w:p>
        </w:tc>
        <w:tc>
          <w:tcPr>
            <w:tcW w:type="dxa" w:w="1950"/>
            <w:shd w:fill="EFF5F2" w:val="clear"/>
            <w:tcMar>
              <w:top w:type="dxa" w:w="50"/>
              <w:left w:type="dxa" w:w="80"/>
              <w:bottom w:type="dxa" w:w="50"/>
              <w:right w:type="dxa" w:w="80"/>
            </w:tcMar>
          </w:tcPr>
          <w:p>
            <w:pPr>
              <w:jc w:val="center"/>
            </w:pPr>
            <w:r>
              <w:rPr>
                <w:b/>
                <w:bCs/>
                <w:color w:val="B26A00"/>
                <w:sz w:val="17"/>
                <w:szCs w:val="17"/>
              </w:rPr>
              <w:t xml:space="preserve">3</w:t>
            </w:r>
          </w:p>
        </w:tc>
        <w:tc>
          <w:tcPr>
            <w:tcW w:type="dxa" w:w="1900"/>
            <w:shd w:fill="EFF5F2" w:val="clear"/>
            <w:tcMar>
              <w:top w:type="dxa" w:w="50"/>
              <w:left w:type="dxa" w:w="80"/>
              <w:bottom w:type="dxa" w:w="50"/>
              <w:right w:type="dxa" w:w="80"/>
            </w:tcMar>
          </w:tcPr>
          <w:p>
            <w:pPr>
              <w:jc w:val="center"/>
            </w:pPr>
            <w:r>
              <w:rPr>
                <w:b/>
                <w:bCs/>
                <w:color w:val="2E7D32"/>
                <w:sz w:val="17"/>
                <w:szCs w:val="17"/>
              </w:rPr>
              <w:t xml:space="preserve">5</w:t>
            </w:r>
          </w:p>
        </w:tc>
      </w:tr>
      <w:tr>
        <w:tc>
          <w:tcPr>
            <w:tcW w:type="dxa" w:w="3400"/>
            <w:shd w:fill="FFFFFF" w:val="clear"/>
            <w:tcMar>
              <w:top w:type="dxa" w:w="50"/>
              <w:left w:type="dxa" w:w="80"/>
              <w:bottom w:type="dxa" w:w="50"/>
              <w:right w:type="dxa" w:w="80"/>
            </w:tcMar>
          </w:tcPr>
          <w:p>
            <w:pPr>
              <w:jc w:val="left"/>
            </w:pPr>
            <w:r>
              <w:rPr>
                <w:b/>
                <w:bCs/>
                <w:sz w:val="17"/>
                <w:szCs w:val="17"/>
              </w:rPr>
              <w:t xml:space="preserve">Fiabilité / faux positifs (10 %)</w:t>
            </w:r>
          </w:p>
        </w:tc>
        <w:tc>
          <w:tcPr>
            <w:tcW w:type="dxa" w:w="1950"/>
            <w:shd w:fill="FFFFFF" w:val="clear"/>
            <w:tcMar>
              <w:top w:type="dxa" w:w="50"/>
              <w:left w:type="dxa" w:w="80"/>
              <w:bottom w:type="dxa" w:w="50"/>
              <w:right w:type="dxa" w:w="80"/>
            </w:tcMar>
          </w:tcPr>
          <w:p>
            <w:pPr>
              <w:jc w:val="center"/>
            </w:pPr>
            <w:r>
              <w:rPr>
                <w:b/>
                <w:bCs/>
                <w:color w:val="B26A00"/>
                <w:sz w:val="17"/>
                <w:szCs w:val="17"/>
              </w:rPr>
              <w:t xml:space="preserve">4</w:t>
            </w:r>
          </w:p>
        </w:tc>
        <w:tc>
          <w:tcPr>
            <w:tcW w:type="dxa" w:w="1950"/>
            <w:shd w:fill="FFFFFF" w:val="clear"/>
            <w:tcMar>
              <w:top w:type="dxa" w:w="50"/>
              <w:left w:type="dxa" w:w="80"/>
              <w:bottom w:type="dxa" w:w="50"/>
              <w:right w:type="dxa" w:w="80"/>
            </w:tcMar>
          </w:tcPr>
          <w:p>
            <w:pPr>
              <w:jc w:val="center"/>
            </w:pPr>
            <w:r>
              <w:rPr>
                <w:b/>
                <w:bCs/>
                <w:color w:val="2E7D32"/>
                <w:sz w:val="17"/>
                <w:szCs w:val="17"/>
              </w:rPr>
              <w:t xml:space="preserve">4</w:t>
            </w:r>
          </w:p>
        </w:tc>
        <w:tc>
          <w:tcPr>
            <w:tcW w:type="dxa" w:w="1900"/>
            <w:shd w:fill="FFFFFF" w:val="clear"/>
            <w:tcMar>
              <w:top w:type="dxa" w:w="50"/>
              <w:left w:type="dxa" w:w="80"/>
              <w:bottom w:type="dxa" w:w="50"/>
              <w:right w:type="dxa" w:w="80"/>
            </w:tcMar>
          </w:tcPr>
          <w:p>
            <w:pPr>
              <w:jc w:val="center"/>
            </w:pPr>
            <w:r>
              <w:rPr>
                <w:b/>
                <w:bCs/>
                <w:color w:val="C62828"/>
                <w:sz w:val="17"/>
                <w:szCs w:val="17"/>
              </w:rPr>
              <w:t xml:space="preserve">2</w:t>
            </w:r>
          </w:p>
        </w:tc>
      </w:tr>
      <w:tr>
        <w:tc>
          <w:tcPr>
            <w:tcW w:type="dxa" w:w="3400"/>
            <w:shd w:fill="EFF5F2" w:val="clear"/>
            <w:tcMar>
              <w:top w:type="dxa" w:w="50"/>
              <w:left w:type="dxa" w:w="80"/>
              <w:bottom w:type="dxa" w:w="50"/>
              <w:right w:type="dxa" w:w="80"/>
            </w:tcMar>
          </w:tcPr>
          <w:p>
            <w:pPr>
              <w:jc w:val="left"/>
            </w:pPr>
            <w:r>
              <w:rPr>
                <w:b/>
                <w:bCs/>
                <w:sz w:val="17"/>
                <w:szCs w:val="17"/>
              </w:rPr>
              <w:t xml:space="preserve">Coût récurrent / TCO (10 %)</w:t>
            </w:r>
          </w:p>
        </w:tc>
        <w:tc>
          <w:tcPr>
            <w:tcW w:type="dxa" w:w="1950"/>
            <w:shd w:fill="EFF5F2" w:val="clear"/>
            <w:tcMar>
              <w:top w:type="dxa" w:w="50"/>
              <w:left w:type="dxa" w:w="80"/>
              <w:bottom w:type="dxa" w:w="50"/>
              <w:right w:type="dxa" w:w="80"/>
            </w:tcMar>
          </w:tcPr>
          <w:p>
            <w:pPr>
              <w:jc w:val="center"/>
            </w:pPr>
            <w:r>
              <w:rPr>
                <w:b/>
                <w:bCs/>
                <w:color w:val="B26A00"/>
                <w:sz w:val="17"/>
                <w:szCs w:val="17"/>
              </w:rPr>
              <w:t xml:space="preserve">4</w:t>
            </w:r>
          </w:p>
        </w:tc>
        <w:tc>
          <w:tcPr>
            <w:tcW w:type="dxa" w:w="1950"/>
            <w:shd w:fill="EFF5F2" w:val="clear"/>
            <w:tcMar>
              <w:top w:type="dxa" w:w="50"/>
              <w:left w:type="dxa" w:w="80"/>
              <w:bottom w:type="dxa" w:w="50"/>
              <w:right w:type="dxa" w:w="80"/>
            </w:tcMar>
          </w:tcPr>
          <w:p>
            <w:pPr>
              <w:jc w:val="center"/>
            </w:pPr>
            <w:r>
              <w:rPr>
                <w:b/>
                <w:bCs/>
                <w:color w:val="2E7D32"/>
                <w:sz w:val="17"/>
                <w:szCs w:val="17"/>
              </w:rPr>
              <w:t xml:space="preserve">5</w:t>
            </w:r>
          </w:p>
        </w:tc>
        <w:tc>
          <w:tcPr>
            <w:tcW w:type="dxa" w:w="1900"/>
            <w:shd w:fill="EFF5F2" w:val="clear"/>
            <w:tcMar>
              <w:top w:type="dxa" w:w="50"/>
              <w:left w:type="dxa" w:w="80"/>
              <w:bottom w:type="dxa" w:w="50"/>
              <w:right w:type="dxa" w:w="80"/>
            </w:tcMar>
          </w:tcPr>
          <w:p>
            <w:pPr>
              <w:jc w:val="center"/>
            </w:pPr>
            <w:r>
              <w:rPr>
                <w:b/>
                <w:bCs/>
                <w:color w:val="C62828"/>
                <w:sz w:val="17"/>
                <w:szCs w:val="17"/>
              </w:rPr>
              <w:t xml:space="preserve">1</w:t>
            </w:r>
          </w:p>
        </w:tc>
      </w:tr>
      <w:tr>
        <w:tc>
          <w:tcPr>
            <w:tcW w:type="dxa" w:w="3400"/>
            <w:shd w:fill="FFFFFF" w:val="clear"/>
            <w:tcMar>
              <w:top w:type="dxa" w:w="50"/>
              <w:left w:type="dxa" w:w="80"/>
              <w:bottom w:type="dxa" w:w="50"/>
              <w:right w:type="dxa" w:w="80"/>
            </w:tcMar>
          </w:tcPr>
          <w:p>
            <w:pPr>
              <w:jc w:val="left"/>
            </w:pPr>
            <w:r>
              <w:rPr>
                <w:b/>
                <w:bCs/>
                <w:sz w:val="17"/>
                <w:szCs w:val="17"/>
              </w:rPr>
              <w:t xml:space="preserve">Pérennité / indépendance (5 %)</w:t>
            </w:r>
          </w:p>
        </w:tc>
        <w:tc>
          <w:tcPr>
            <w:tcW w:type="dxa" w:w="1950"/>
            <w:shd w:fill="FFFFFF" w:val="clear"/>
            <w:tcMar>
              <w:top w:type="dxa" w:w="50"/>
              <w:left w:type="dxa" w:w="80"/>
              <w:bottom w:type="dxa" w:w="50"/>
              <w:right w:type="dxa" w:w="80"/>
            </w:tcMar>
          </w:tcPr>
          <w:p>
            <w:pPr>
              <w:jc w:val="center"/>
            </w:pPr>
            <w:r>
              <w:rPr>
                <w:b/>
                <w:bCs/>
                <w:color w:val="2E7D32"/>
                <w:sz w:val="17"/>
                <w:szCs w:val="17"/>
              </w:rPr>
              <w:t xml:space="preserve">5</w:t>
            </w:r>
          </w:p>
        </w:tc>
        <w:tc>
          <w:tcPr>
            <w:tcW w:type="dxa" w:w="1950"/>
            <w:shd w:fill="FFFFFF" w:val="clear"/>
            <w:tcMar>
              <w:top w:type="dxa" w:w="50"/>
              <w:left w:type="dxa" w:w="80"/>
              <w:bottom w:type="dxa" w:w="50"/>
              <w:right w:type="dxa" w:w="80"/>
            </w:tcMar>
          </w:tcPr>
          <w:p>
            <w:pPr>
              <w:jc w:val="center"/>
            </w:pPr>
            <w:r>
              <w:rPr>
                <w:b/>
                <w:bCs/>
                <w:color w:val="B26A00"/>
                <w:sz w:val="17"/>
                <w:szCs w:val="17"/>
              </w:rPr>
              <w:t xml:space="preserve">2</w:t>
            </w:r>
          </w:p>
        </w:tc>
        <w:tc>
          <w:tcPr>
            <w:tcW w:type="dxa" w:w="1900"/>
            <w:shd w:fill="FFFFFF" w:val="clear"/>
            <w:tcMar>
              <w:top w:type="dxa" w:w="50"/>
              <w:left w:type="dxa" w:w="80"/>
              <w:bottom w:type="dxa" w:w="50"/>
              <w:right w:type="dxa" w:w="80"/>
            </w:tcMar>
          </w:tcPr>
          <w:p>
            <w:pPr>
              <w:jc w:val="center"/>
            </w:pPr>
            <w:r>
              <w:rPr>
                <w:b/>
                <w:bCs/>
                <w:color w:val="B26A00"/>
                <w:sz w:val="17"/>
                <w:szCs w:val="17"/>
              </w:rPr>
              <w:t xml:space="preserve">2</w:t>
            </w:r>
          </w:p>
        </w:tc>
      </w:tr>
      <w:tr>
        <w:tc>
          <w:tcPr>
            <w:tcW w:type="dxa" w:w="3400"/>
            <w:shd w:fill="EFF5F2" w:val="clear"/>
            <w:tcMar>
              <w:top w:type="dxa" w:w="50"/>
              <w:left w:type="dxa" w:w="80"/>
              <w:bottom w:type="dxa" w:w="50"/>
              <w:right w:type="dxa" w:w="80"/>
            </w:tcMar>
          </w:tcPr>
          <w:p>
            <w:pPr>
              <w:jc w:val="left"/>
            </w:pPr>
            <w:r>
              <w:rPr>
                <w:b/>
                <w:bCs/>
                <w:sz w:val="17"/>
                <w:szCs w:val="17"/>
              </w:rPr>
              <w:t xml:space="preserve">Score pondéré / 5</w:t>
            </w:r>
          </w:p>
        </w:tc>
        <w:tc>
          <w:tcPr>
            <w:tcW w:type="dxa" w:w="1950"/>
            <w:shd w:fill="EFF5F2" w:val="clear"/>
            <w:tcMar>
              <w:top w:type="dxa" w:w="50"/>
              <w:left w:type="dxa" w:w="80"/>
              <w:bottom w:type="dxa" w:w="50"/>
              <w:right w:type="dxa" w:w="80"/>
            </w:tcMar>
          </w:tcPr>
          <w:p>
            <w:pPr>
              <w:jc w:val="center"/>
            </w:pPr>
            <w:r>
              <w:rPr>
                <w:b/>
                <w:bCs/>
                <w:color w:val="2E7D32"/>
                <w:sz w:val="17"/>
                <w:szCs w:val="17"/>
              </w:rPr>
              <w:t xml:space="preserve">4,40</w:t>
            </w:r>
          </w:p>
        </w:tc>
        <w:tc>
          <w:tcPr>
            <w:tcW w:type="dxa" w:w="1950"/>
            <w:shd w:fill="EFF5F2" w:val="clear"/>
            <w:tcMar>
              <w:top w:type="dxa" w:w="50"/>
              <w:left w:type="dxa" w:w="80"/>
              <w:bottom w:type="dxa" w:w="50"/>
              <w:right w:type="dxa" w:w="80"/>
            </w:tcMar>
          </w:tcPr>
          <w:p>
            <w:pPr>
              <w:jc w:val="center"/>
            </w:pPr>
            <w:r>
              <w:rPr>
                <w:b/>
                <w:bCs/>
                <w:color w:val="B26A00"/>
                <w:sz w:val="17"/>
                <w:szCs w:val="17"/>
              </w:rPr>
              <w:t xml:space="preserve">3,75</w:t>
            </w:r>
          </w:p>
        </w:tc>
        <w:tc>
          <w:tcPr>
            <w:tcW w:type="dxa" w:w="1900"/>
            <w:shd w:fill="EFF5F2" w:val="clear"/>
            <w:tcMar>
              <w:top w:type="dxa" w:w="50"/>
              <w:left w:type="dxa" w:w="80"/>
              <w:bottom w:type="dxa" w:w="50"/>
              <w:right w:type="dxa" w:w="80"/>
            </w:tcMar>
          </w:tcPr>
          <w:p>
            <w:pPr>
              <w:jc w:val="center"/>
            </w:pPr>
            <w:r>
              <w:rPr>
                <w:b/>
                <w:bCs/>
                <w:color w:val="C62828"/>
                <w:sz w:val="17"/>
                <w:szCs w:val="17"/>
              </w:rPr>
              <w:t xml:space="preserve">2,60</w:t>
            </w:r>
          </w:p>
        </w:tc>
      </w:tr>
    </w:tbl>
    <w:p>
      <w:pPr>
        <w:pStyle w:val="Heading2"/>
        <w:spacing w:after="80" w:before="140"/>
      </w:pPr>
      <w:r>
        <w:t xml:space="preserve">Justification du choix</w:t>
      </w:r>
    </w:p>
    <w:p>
      <w:pPr>
        <w:pStyle w:val="ListParagraph"/>
        <w:numPr>
          <w:ilvl w:val="0"/>
          <w:numId w:val="1"/>
        </w:numPr>
        <w:spacing w:after="50"/>
      </w:pPr>
      <w:r>
        <w:rPr>
          <w:sz w:val="19"/>
          <w:szCs w:val="19"/>
        </w:rPr>
        <w:t xml:space="preserve">Adoption d'abord : en milieu développeur, l'outil de référence doit être celui que les équipes utilisent réellement. SonarQube offre la boucle de feedback la plus courte (IDE en mode connecté, décoration MR, Quality Gates déjà assimilées) ; Fortify (scans de 60-180 min, modèle security-team-driven) est rejeté de fait par les développeurs.</w:t>
      </w:r>
    </w:p>
    <w:p>
      <w:pPr>
        <w:pStyle w:val="ListParagraph"/>
        <w:numPr>
          <w:ilvl w:val="0"/>
          <w:numId w:val="1"/>
        </w:numPr>
        <w:spacing w:after="50"/>
      </w:pPr>
      <w:r>
        <w:rPr>
          <w:sz w:val="19"/>
          <w:szCs w:val="19"/>
        </w:rPr>
        <w:t xml:space="preserve">L'édition détenue est déjà le haut de gamme : la Data Center inclut HA, taint cross-fichier, personnalisation sources/sinks/sanitizers pour les frameworks internes et rapports réglementaires (OWASP/CWE/ASVS/PCI/STIG) — capacités souvent sous-exploitées, à activer avant tout investissement externe.</w:t>
      </w:r>
    </w:p>
    <w:p>
      <w:pPr>
        <w:pStyle w:val="ListParagraph"/>
        <w:numPr>
          <w:ilvl w:val="0"/>
          <w:numId w:val="1"/>
        </w:numPr>
        <w:spacing w:after="50"/>
      </w:pPr>
      <w:r>
        <w:rPr>
          <w:sz w:val="19"/>
          <w:szCs w:val="19"/>
        </w:rPr>
        <w:t xml:space="preserve">GitLab Advanced SAST est gratuit dans l'existant et complémentaire : scan différentiel rapide en MR, philosophie « flux vérifiables » peu bruyante, triage des faux positifs et remédiation agentique par IA (GA 2026). Condition : règle de primauté publiée (SonarQube fait foi pour les gates et le reporting) pour éviter la double remontée.</w:t>
      </w:r>
    </w:p>
    <w:p>
      <w:pPr>
        <w:pStyle w:val="ListParagraph"/>
        <w:numPr>
          <w:ilvl w:val="0"/>
          <w:numId w:val="1"/>
        </w:numPr>
        <w:spacing w:after="50"/>
      </w:pPr>
      <w:r>
        <w:rPr>
          <w:sz w:val="19"/>
          <w:szCs w:val="19"/>
        </w:rPr>
        <w:t xml:space="preserve">Fortify n'a de valeur que sur des périmètres précis (injections au second ordre, C/C++ critique, legacy COBOL/ABAP, exigences FedRAMP/DISA). Hors de ces cas — à objectiver par inventaire contractuel puis pilote comparatif sur 2-3 dépôts — son coût (30-150 k$+/an) n'est pas justifié : réduction de périmètre ou non-renouvellement.</w:t>
      </w:r>
    </w:p>
    <w:p>
      <w:pPr>
        <w:pStyle w:val="Heading2"/>
        <w:spacing w:after="80" w:before="140"/>
      </w:pPr>
      <w:r>
        <w:t xml:space="preserve">Prochaines étapes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800"/>
      </w:tblGrid>
      <w:tr>
        <w:trPr>
          <w:tblHeader/>
        </w:trPr>
        <w:tc>
          <w:tcPr>
            <w:tcW w:type="dxa" w:w="1200"/>
            <w:shd w:fill="1F4E3D" w:val="clear"/>
            <w:tcMar>
              <w:top w:type="dxa" w:w="50"/>
              <w:left w:type="dxa" w:w="80"/>
              <w:bottom w:type="dxa" w:w="50"/>
              <w:right w:type="dxa" w:w="80"/>
            </w:tcMar>
          </w:tcPr>
          <w:p>
            <w:pPr>
              <w:jc w:val="center"/>
            </w:pPr>
            <w:r>
              <w:rPr>
                <w:b/>
                <w:bCs/>
                <w:color w:val="FFFFFF"/>
                <w:sz w:val="17"/>
                <w:szCs w:val="17"/>
              </w:rPr>
              <w:t xml:space="preserve">Échéance</w:t>
            </w:r>
          </w:p>
        </w:tc>
        <w:tc>
          <w:tcPr>
            <w:tcW w:type="dxa" w:w="5200"/>
            <w:shd w:fill="1F4E3D" w:val="clear"/>
            <w:tcMar>
              <w:top w:type="dxa" w:w="50"/>
              <w:left w:type="dxa" w:w="80"/>
              <w:bottom w:type="dxa" w:w="50"/>
              <w:right w:type="dxa" w:w="80"/>
            </w:tcMar>
          </w:tcPr>
          <w:p>
            <w:pPr>
              <w:jc w:val="center"/>
            </w:pPr>
            <w:r>
              <w:rPr>
                <w:b/>
                <w:bCs/>
                <w:color w:val="FFFFFF"/>
                <w:sz w:val="17"/>
                <w:szCs w:val="17"/>
              </w:rPr>
              <w:t xml:space="preserve">Action</w:t>
            </w:r>
          </w:p>
        </w:tc>
        <w:tc>
          <w:tcPr>
            <w:tcW w:type="dxa" w:w="2800"/>
            <w:shd w:fill="1F4E3D" w:val="clear"/>
            <w:tcMar>
              <w:top w:type="dxa" w:w="50"/>
              <w:left w:type="dxa" w:w="80"/>
              <w:bottom w:type="dxa" w:w="50"/>
              <w:right w:type="dxa" w:w="80"/>
            </w:tcMar>
          </w:tcPr>
          <w:p>
            <w:pPr>
              <w:jc w:val="center"/>
            </w:pPr>
            <w:r>
              <w:rPr>
                <w:b/>
                <w:bCs/>
                <w:color w:val="FFFFFF"/>
                <w:sz w:val="17"/>
                <w:szCs w:val="17"/>
              </w:rPr>
              <w:t xml:space="preserve">Livrable</w:t>
            </w:r>
          </w:p>
        </w:tc>
      </w:tr>
      <w:tr>
        <w:tc>
          <w:tcPr>
            <w:tcW w:type="dxa" w:w="1200"/>
            <w:shd w:fill="FFFFFF" w:val="clear"/>
            <w:tcMar>
              <w:top w:type="dxa" w:w="50"/>
              <w:left w:type="dxa" w:w="80"/>
              <w:bottom w:type="dxa" w:w="50"/>
              <w:right w:type="dxa" w:w="80"/>
            </w:tcMar>
          </w:tcPr>
          <w:p>
            <w:pPr>
              <w:jc w:val="left"/>
            </w:pPr>
            <w:r>
              <w:rPr>
                <w:b/>
                <w:bCs/>
                <w:sz w:val="17"/>
                <w:szCs w:val="17"/>
              </w:rPr>
              <w:t xml:space="preserve">Mois 1</w:t>
            </w:r>
          </w:p>
        </w:tc>
        <w:tc>
          <w:tcPr>
            <w:tcW w:type="dxa" w:w="5200"/>
            <w:shd w:fill="FFFFFF" w:val="clear"/>
            <w:tcMar>
              <w:top w:type="dxa" w:w="50"/>
              <w:left w:type="dxa" w:w="80"/>
              <w:bottom w:type="dxa" w:w="50"/>
              <w:right w:type="dxa" w:w="80"/>
            </w:tcMar>
          </w:tcPr>
          <w:p>
            <w:pPr>
              <w:jc w:val="left"/>
            </w:pPr>
            <w:r>
              <w:rPr>
                <w:b w:val="false"/>
                <w:bCs w:val="false"/>
                <w:sz w:val="17"/>
                <w:szCs w:val="17"/>
              </w:rPr>
              <w:t xml:space="preserve">Inventaire des exigences contractuelles (FedRAMP/DISA/PCI) et du legacy scanné par Fortify</w:t>
            </w:r>
          </w:p>
        </w:tc>
        <w:tc>
          <w:tcPr>
            <w:tcW w:type="dxa" w:w="2800"/>
            <w:shd w:fill="FFFFFF" w:val="clear"/>
            <w:tcMar>
              <w:top w:type="dxa" w:w="50"/>
              <w:left w:type="dxa" w:w="80"/>
              <w:bottom w:type="dxa" w:w="50"/>
              <w:right w:type="dxa" w:w="80"/>
            </w:tcMar>
          </w:tcPr>
          <w:p>
            <w:pPr>
              <w:jc w:val="left"/>
            </w:pPr>
            <w:r>
              <w:rPr>
                <w:b w:val="false"/>
                <w:bCs w:val="false"/>
                <w:sz w:val="17"/>
                <w:szCs w:val="17"/>
              </w:rPr>
              <w:t xml:space="preserve">Cartographie des périmètres Fortify justifiés</w:t>
            </w:r>
          </w:p>
        </w:tc>
      </w:tr>
      <w:tr>
        <w:tc>
          <w:tcPr>
            <w:tcW w:type="dxa" w:w="1200"/>
            <w:shd w:fill="EFF5F2" w:val="clear"/>
            <w:tcMar>
              <w:top w:type="dxa" w:w="50"/>
              <w:left w:type="dxa" w:w="80"/>
              <w:bottom w:type="dxa" w:w="50"/>
              <w:right w:type="dxa" w:w="80"/>
            </w:tcMar>
          </w:tcPr>
          <w:p>
            <w:pPr>
              <w:jc w:val="left"/>
            </w:pPr>
            <w:r>
              <w:rPr>
                <w:b/>
                <w:bCs/>
                <w:sz w:val="17"/>
                <w:szCs w:val="17"/>
              </w:rPr>
              <w:t xml:space="preserve">Mois 1-2</w:t>
            </w:r>
          </w:p>
        </w:tc>
        <w:tc>
          <w:tcPr>
            <w:tcW w:type="dxa" w:w="5200"/>
            <w:shd w:fill="EFF5F2" w:val="clear"/>
            <w:tcMar>
              <w:top w:type="dxa" w:w="50"/>
              <w:left w:type="dxa" w:w="80"/>
              <w:bottom w:type="dxa" w:w="50"/>
              <w:right w:type="dxa" w:w="80"/>
            </w:tcMar>
          </w:tcPr>
          <w:p>
            <w:pPr>
              <w:jc w:val="left"/>
            </w:pPr>
            <w:r>
              <w:rPr>
                <w:b w:val="false"/>
                <w:bCs w:val="false"/>
                <w:sz w:val="17"/>
                <w:szCs w:val="17"/>
              </w:rPr>
              <w:t xml:space="preserve">Pilote : rejouer SonarQube DC (+ essai Advanced Security) et GitLab Adv. SAST sur 2-3 dépôts couverts par Fortify</w:t>
            </w:r>
          </w:p>
        </w:tc>
        <w:tc>
          <w:tcPr>
            <w:tcW w:type="dxa" w:w="2800"/>
            <w:shd w:fill="EFF5F2" w:val="clear"/>
            <w:tcMar>
              <w:top w:type="dxa" w:w="50"/>
              <w:left w:type="dxa" w:w="80"/>
              <w:bottom w:type="dxa" w:w="50"/>
              <w:right w:type="dxa" w:w="80"/>
            </w:tcMar>
          </w:tcPr>
          <w:p>
            <w:pPr>
              <w:jc w:val="left"/>
            </w:pPr>
            <w:r>
              <w:rPr>
                <w:b w:val="false"/>
                <w:bCs w:val="false"/>
                <w:sz w:val="17"/>
                <w:szCs w:val="17"/>
              </w:rPr>
              <w:t xml:space="preserve">Rapport d'écart de détection chiffré</w:t>
            </w:r>
          </w:p>
        </w:tc>
      </w:tr>
      <w:tr>
        <w:tc>
          <w:tcPr>
            <w:tcW w:type="dxa" w:w="1200"/>
            <w:shd w:fill="FFFFFF" w:val="clear"/>
            <w:tcMar>
              <w:top w:type="dxa" w:w="50"/>
              <w:left w:type="dxa" w:w="80"/>
              <w:bottom w:type="dxa" w:w="50"/>
              <w:right w:type="dxa" w:w="80"/>
            </w:tcMar>
          </w:tcPr>
          <w:p>
            <w:pPr>
              <w:jc w:val="left"/>
            </w:pPr>
            <w:r>
              <w:rPr>
                <w:b/>
                <w:bCs/>
                <w:sz w:val="17"/>
                <w:szCs w:val="17"/>
              </w:rPr>
              <w:t xml:space="preserve">Mois 2-3</w:t>
            </w:r>
          </w:p>
        </w:tc>
        <w:tc>
          <w:tcPr>
            <w:tcW w:type="dxa" w:w="5200"/>
            <w:shd w:fill="FFFFFF" w:val="clear"/>
            <w:tcMar>
              <w:top w:type="dxa" w:w="50"/>
              <w:left w:type="dxa" w:w="80"/>
              <w:bottom w:type="dxa" w:w="50"/>
              <w:right w:type="dxa" w:w="80"/>
            </w:tcMar>
          </w:tcPr>
          <w:p>
            <w:pPr>
              <w:jc w:val="left"/>
            </w:pPr>
            <w:r>
              <w:rPr>
                <w:b w:val="false"/>
                <w:bCs w:val="false"/>
                <w:sz w:val="17"/>
                <w:szCs w:val="17"/>
              </w:rPr>
              <w:t xml:space="preserve">Publier la politique SAST (SonarQube référent, GitLab complément, déduplication) ; durcir les gates sécurité sur le new code</w:t>
            </w:r>
          </w:p>
        </w:tc>
        <w:tc>
          <w:tcPr>
            <w:tcW w:type="dxa" w:w="2800"/>
            <w:shd w:fill="FFFFFF" w:val="clear"/>
            <w:tcMar>
              <w:top w:type="dxa" w:w="50"/>
              <w:left w:type="dxa" w:w="80"/>
              <w:bottom w:type="dxa" w:w="50"/>
              <w:right w:type="dxa" w:w="80"/>
            </w:tcMar>
          </w:tcPr>
          <w:p>
            <w:pPr>
              <w:jc w:val="left"/>
            </w:pPr>
            <w:r>
              <w:rPr>
                <w:b w:val="false"/>
                <w:bCs w:val="false"/>
                <w:sz w:val="17"/>
                <w:szCs w:val="17"/>
              </w:rPr>
              <w:t xml:space="preserve">Politique validée en comité d'architecture</w:t>
            </w:r>
          </w:p>
        </w:tc>
      </w:tr>
      <w:tr>
        <w:tc>
          <w:tcPr>
            <w:tcW w:type="dxa" w:w="1200"/>
            <w:shd w:fill="EFF5F2" w:val="clear"/>
            <w:tcMar>
              <w:top w:type="dxa" w:w="50"/>
              <w:left w:type="dxa" w:w="80"/>
              <w:bottom w:type="dxa" w:w="50"/>
              <w:right w:type="dxa" w:w="80"/>
            </w:tcMar>
          </w:tcPr>
          <w:p>
            <w:pPr>
              <w:jc w:val="left"/>
            </w:pPr>
            <w:r>
              <w:rPr>
                <w:b/>
                <w:bCs/>
                <w:sz w:val="17"/>
                <w:szCs w:val="17"/>
              </w:rPr>
              <w:t xml:space="preserve">Mois 3-6</w:t>
            </w:r>
          </w:p>
        </w:tc>
        <w:tc>
          <w:tcPr>
            <w:tcW w:type="dxa" w:w="5200"/>
            <w:shd w:fill="EFF5F2" w:val="clear"/>
            <w:tcMar>
              <w:top w:type="dxa" w:w="50"/>
              <w:left w:type="dxa" w:w="80"/>
              <w:bottom w:type="dxa" w:w="50"/>
              <w:right w:type="dxa" w:w="80"/>
            </w:tcMar>
          </w:tcPr>
          <w:p>
            <w:pPr>
              <w:jc w:val="left"/>
            </w:pPr>
            <w:r>
              <w:rPr>
                <w:b w:val="false"/>
                <w:bCs w:val="false"/>
                <w:sz w:val="17"/>
                <w:szCs w:val="17"/>
              </w:rPr>
              <w:t xml:space="preserve">Réduire le périmètre Fortify ou préparer la non-reconduction ; migrer le suivi des findings résiduels</w:t>
            </w:r>
          </w:p>
        </w:tc>
        <w:tc>
          <w:tcPr>
            <w:tcW w:type="dxa" w:w="2800"/>
            <w:shd w:fill="EFF5F2" w:val="clear"/>
            <w:tcMar>
              <w:top w:type="dxa" w:w="50"/>
              <w:left w:type="dxa" w:w="80"/>
              <w:bottom w:type="dxa" w:w="50"/>
              <w:right w:type="dxa" w:w="80"/>
            </w:tcMar>
          </w:tcPr>
          <w:p>
            <w:pPr>
              <w:jc w:val="left"/>
            </w:pPr>
            <w:r>
              <w:rPr>
                <w:b w:val="false"/>
                <w:bCs w:val="false"/>
                <w:sz w:val="17"/>
                <w:szCs w:val="17"/>
              </w:rPr>
              <w:t xml:space="preserve">Économie constatée (30-150 k$+/an)</w:t>
            </w:r>
          </w:p>
        </w:tc>
      </w:tr>
    </w:tbl>
    <w:p>
      <w:pPr>
        <w:spacing w:before="100"/>
      </w:pPr>
      <w:r>
        <w:rPr>
          <w:i/>
          <w:iCs/>
          <w:color w:val="555555"/>
          <w:sz w:val="18"/>
          <w:szCs w:val="18"/>
        </w:rPr>
        <w:t xml:space="preserve">Porteur : équipe DevSecOps (plateforme SonarQube) — Validation : comité d'architecture sécurité.</w:t>
      </w:r>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2026-07-13T14:14:16.622Z</dcterms:created>
  <dcterms:modified xsi:type="dcterms:W3CDTF">2026-07-13T14:14:16.651Z</dcterms:modified>
</cp:coreProperties>
</file>

<file path=docProps/custom.xml><?xml version="1.0" encoding="utf-8"?>
<Properties xmlns="http://schemas.openxmlformats.org/officeDocument/2006/custom-properties" xmlns:vt="http://schemas.openxmlformats.org/officeDocument/2006/docPropsVTypes"/>
</file>