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25C6" w14:textId="77777777" w:rsidR="00A94FA8" w:rsidRDefault="007E4F0F"/>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YA-2021-F.A.S.T. 402 TSP-002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YA-2021-F.A.S.T. 402 TSP-002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ABAC Young Adult Program</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$11,095.00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$8,367.86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To educate young adults on the importance of highway safety by hosting educational programs and distributing materials that will help decrease the number of crashes, injuries, and fatalities.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r>
              <w:t>In November there were press releases published. A seat belt check on campus. A program focusing on seniors and safe driving (Driving Into the Future).  94 people were reached during the seat belt check. and 60 people were reached during the Driving Into the Future Graduate Program.  We were also able to meet with all residents during virtual floor meetings to discuss alcohol policies on campus.  January was used for research on highway safety statistics.  We began to plan events to reach students through socially distanced programming. During this event Community, Assistants will hand out information as well as utilize the drunk buster goggles. Held a program entitled drunk history to educate students on the dangers of drinking and driving and to hand out information and GOHS brochures.  The students also took an online quiz while at the event and walked a sobriety line while in impairment goggles.We recruited and trained five new Peer educators. We also hosted Thinkfast and the Arrive Alive Tour, both were educational as well as fun.</w:t>
            </w:r>
          </w:p>
        </w:tc>
      </w:tr>
      <w:tr w:rsidR="00DF6648" w:rsidRPr="00892F64" w14:paraId="7A07CB57" w14:textId="77777777" w:rsidTr="00492ABD">
        <w:tc>
          <w:tcPr>
            <w:tcW w:w="4315" w:type="dxa"/>
          </w:tcPr>
          <w:p>
            <w:r>
              <w:t>Collect highway safety statistics on campus and in surrounding areas where students travel at the beginning of each semester (twice per year).</w:t>
            </w:r>
          </w:p>
        </w:tc>
        <w:tc>
          <w:tcPr>
            <w:tcW w:w="5130" w:type="dxa"/>
          </w:tcPr>
          <w:p>
            <w:r>
              <w:t>The transition of agency administrators has delayed the collection of statistics from the local sheriff's department.</w:t>
            </w:r>
          </w:p>
        </w:tc>
      </w:tr>
      <w:tr w:rsidR="00DF6648" w:rsidRPr="00892F64" w14:paraId="6913903A" w14:textId="77777777" w:rsidTr="00492ABD">
        <w:tc>
          <w:tcPr>
            <w:tcW w:w="4315" w:type="dxa"/>
          </w:tcPr>
          <w:p>
            <w:r>
              <w:t>Review campus alcohol polices at the beginning of each year.</w:t>
            </w:r>
          </w:p>
        </w:tc>
        <w:tc>
          <w:tcPr>
            <w:tcW w:w="5130" w:type="dxa"/>
          </w:tcPr>
          <w:p>
            <w:r>
              <w:tab/>
              <w:t>We had a tabling event as well to distribute brochures and participated in the Spring Fling event as a programming partner to distribute additional brochures.  The ACHA -NCHA survey was also conducted with 45 total respondents.  We also completed a seatbelt check on 4-27 with an overall 72.81% of seatbelts being worn.  A specific breakdown by gender and vehicle type is attached.</w:t>
            </w:r>
          </w:p>
        </w:tc>
      </w:tr>
      <w:tr w:rsidR="00DF6648" w:rsidRPr="00892F64" w14:paraId="1E14BAEB" w14:textId="77777777" w:rsidTr="00492ABD">
        <w:tc>
          <w:tcPr>
            <w:tcW w:w="4315" w:type="dxa"/>
          </w:tcPr>
          <w:p>
            <w:r>
              <w:t>Distribute educational materials at 4 school activities.</w:t>
            </w:r>
          </w:p>
        </w:tc>
        <w:tc>
          <w:tcPr>
            <w:tcW w:w="5130" w:type="dxa"/>
          </w:tcPr>
          <w:p>
            <w:r>
              <w:t>We handed out educational activities at an event on October 30th, Spring Fling in March and two tabling events in a well-traveled area.</w:t>
            </w:r>
          </w:p>
        </w:tc>
      </w:tr>
      <w:tr w:rsidR="00DF6648" w:rsidRPr="00892F64" w14:paraId="13E5682B" w14:textId="77777777" w:rsidTr="0069181D">
        <w:trPr>
          <w:trHeight w:val="332"/>
        </w:trPr>
        <w:tc>
          <w:tcPr>
            <w:tcW w:w="4315" w:type="dxa"/>
          </w:tcPr>
          <w:p>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r>
              <w:t xml:space="preserve">Yes, we did.94 people were reached during the seat belt check and 60 people were reached during the Driving Into the Future Graduate Program in November.We also completed a seatbelt check on 4-27 with an overall 72.81% of seatbelts being worn.  </w:t>
            </w:r>
          </w:p>
        </w:tc>
      </w:tr>
      <w:tr w:rsidR="00DF6648" w:rsidRPr="00892F64" w14:paraId="01F4FA12" w14:textId="77777777" w:rsidTr="00492ABD">
        <w:tc>
          <w:tcPr>
            <w:tcW w:w="4315" w:type="dxa"/>
          </w:tcPr>
          <w:p>
            <w:r>
              <w:t>Collaborate with campus police or local law enforcement to participate in impaired driving/underage drinking campaigns.</w:t>
            </w:r>
          </w:p>
        </w:tc>
        <w:tc>
          <w:tcPr>
            <w:tcW w:w="5130" w:type="dxa"/>
          </w:tcPr>
          <w:p>
            <w:r>
              <w:t>Because of the illness of admin, we did not complete it.</w:t>
            </w:r>
          </w:p>
        </w:tc>
      </w:tr>
      <w:tr w:rsidR="00DF6648" w:rsidRPr="00892F64" w14:paraId="7017B718" w14:textId="77777777" w:rsidTr="00492ABD">
        <w:tc>
          <w:tcPr>
            <w:tcW w:w="4315" w:type="dxa"/>
          </w:tcPr>
          <w:p>
            <w:r>
              <w:t>Distribute GOHS brochures and Impaired Driving educational materials on campus in conjunction with GOHS Impaired Driving campaigns.</w:t>
            </w:r>
          </w:p>
        </w:tc>
        <w:tc>
          <w:tcPr>
            <w:tcW w:w="5130" w:type="dxa"/>
          </w:tcPr>
          <w:p>
            <w:r>
              <w:t>Yes, we had five events distributed the brochures.</w:t>
            </w:r>
          </w:p>
        </w:tc>
      </w:tr>
      <w:tr w:rsidR="00DF6648" w:rsidRPr="00892F64" w14:paraId="4739F7BC" w14:textId="77777777" w:rsidTr="00492ABD">
        <w:tc>
          <w:tcPr>
            <w:tcW w:w="4315" w:type="dxa"/>
          </w:tcPr>
          <w:p>
            <w:r>
              <w:t>Recruit potential peer health educators.</w:t>
            </w:r>
          </w:p>
        </w:tc>
        <w:tc>
          <w:tcPr>
            <w:tcW w:w="5130" w:type="dxa"/>
          </w:tcPr>
          <w:p>
            <w:r>
              <w:t xml:space="preserve">.  The ACHA -NCHA survey was also conducted with 45 total respondents.  </w:t>
            </w:r>
          </w:p>
        </w:tc>
      </w:tr>
      <w:tr w:rsidR="00DF6648" w:rsidRPr="00892F64" w14:paraId="32C993FB" w14:textId="77777777" w:rsidTr="00492ABD">
        <w:tc>
          <w:tcPr>
            <w:tcW w:w="4315" w:type="dxa"/>
          </w:tcPr>
          <w:p>
            <w:r>
              <w:t>Conduct alcohol specific peer health education training (ex: TIPS or BACCHUS)</w:t>
            </w:r>
          </w:p>
        </w:tc>
        <w:tc>
          <w:tcPr>
            <w:tcW w:w="5130" w:type="dxa"/>
          </w:tcPr>
          <w:p>
            <w:r>
              <w:t>We trained 5 Peer Educators.</w:t>
            </w:r>
          </w:p>
        </w:tc>
      </w:tr>
      <w:tr w:rsidR="00DF6648" w:rsidRPr="00892F64" w14:paraId="61F5EABD" w14:textId="77777777" w:rsidTr="00492ABD">
        <w:tc>
          <w:tcPr>
            <w:tcW w:w="4315" w:type="dxa"/>
          </w:tcPr>
          <w:p>
            <w:r>
              <w:t>Conduct campus CORE or ACHA-NCHA survey once every ODD year (Example FFY2017, FFY2019, etc).</w:t>
            </w:r>
          </w:p>
        </w:tc>
        <w:tc>
          <w:tcPr>
            <w:tcW w:w="5130" w:type="dxa"/>
          </w:tcPr>
          <w:p>
            <w:r>
              <w:t xml:space="preserve">.  The ACHA -NCHA survey was  conducted with 45 total respondents.  </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YA-2021-F.A.S.T. 402 TSP-010</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YA-2021-F.A.S.T. 402 TSP-010</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AU GOHS YA Grant 2020</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$17,547.60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$4,893.20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Student Wellness Programs is one of few departments at Augusta University providing education on safe driving and alcohol awareness. Our program has a small budget that is dedicated to the eight dimensions of wellness. This doesn’t include alcohol or safe driving education. Augusta University police provides programming in those areas, but with a very limited budget. Consequently, we depend on GOHS grant funding to conduct essential alcohol awareness and safe driving educational events.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r>
              <w:t xml:space="preserve">The initial objective indicated that we would conduct four activities focused on educating students and faculty about alcohol and highway safety issues.  We were able to complete five that pertained to this objective.  Our events included pedal karts, interactive tabling events where multiple stations were set up with various aspects of impaired driving, DUI simulator, etc.  </w:t>
            </w:r>
          </w:p>
        </w:tc>
      </w:tr>
      <w:tr w:rsidR="00DF6648" w:rsidRPr="00892F64" w14:paraId="7A07CB57" w14:textId="77777777" w:rsidTr="00492ABD">
        <w:tc>
          <w:tcPr>
            <w:tcW w:w="4315" w:type="dxa"/>
          </w:tcPr>
          <w:p>
            <w:r>
              <w:t>Collect highway safety statistics on campus and in surrounding areas where students travel at the beginning of each semester (twice per year).</w:t>
            </w:r>
          </w:p>
        </w:tc>
        <w:tc>
          <w:tcPr>
            <w:tcW w:w="5130" w:type="dxa"/>
          </w:tcPr>
          <w:p>
            <w:r>
              <w:t xml:space="preserve">We partnered with University Police to collect the data and submit for the grant.  </w:t>
            </w:r>
          </w:p>
        </w:tc>
      </w:tr>
      <w:tr w:rsidR="00DF6648" w:rsidRPr="00892F64" w14:paraId="6913903A" w14:textId="77777777" w:rsidTr="00492ABD">
        <w:tc>
          <w:tcPr>
            <w:tcW w:w="4315" w:type="dxa"/>
          </w:tcPr>
          <w:p>
            <w:r>
              <w:t>Review campus alcohol polices at the beginning of each year.</w:t>
            </w:r>
          </w:p>
        </w:tc>
        <w:tc>
          <w:tcPr>
            <w:tcW w:w="5130" w:type="dxa"/>
          </w:tcPr>
          <w:p>
            <w:r>
              <w:t xml:space="preserve">The campus alcohol and other drugs policy is updated regularly and was reviewed at the beginning of the year. </w:t>
            </w:r>
          </w:p>
        </w:tc>
      </w:tr>
      <w:tr w:rsidR="00DF6648" w:rsidRPr="00892F64" w14:paraId="1E14BAEB" w14:textId="77777777" w:rsidTr="00492ABD">
        <w:tc>
          <w:tcPr>
            <w:tcW w:w="4315" w:type="dxa"/>
          </w:tcPr>
          <w:p>
            <w:r>
              <w:t>Distribute educational materials at 4 school activities.</w:t>
            </w:r>
          </w:p>
        </w:tc>
        <w:tc>
          <w:tcPr>
            <w:tcW w:w="5130" w:type="dxa"/>
          </w:tcPr>
          <w:p>
            <w:r>
              <w:t xml:space="preserve">At every event related to alcohol and other drugs, we passed out educational materials. </w:t>
            </w:r>
          </w:p>
        </w:tc>
      </w:tr>
      <w:tr w:rsidR="00DF6648" w:rsidRPr="00892F64" w14:paraId="13E5682B" w14:textId="77777777" w:rsidTr="0069181D">
        <w:trPr>
          <w:trHeight w:val="332"/>
        </w:trPr>
        <w:tc>
          <w:tcPr>
            <w:tcW w:w="4315" w:type="dxa"/>
          </w:tcPr>
          <w:p>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r>
              <w:t xml:space="preserve">Seatbelt surveys were conducted on both of our main campuses--Summerville and Health Sciences campuses. </w:t>
            </w:r>
          </w:p>
        </w:tc>
      </w:tr>
      <w:tr w:rsidR="00DF6648" w:rsidRPr="00892F64" w14:paraId="01F4FA12" w14:textId="77777777" w:rsidTr="00492ABD">
        <w:tc>
          <w:tcPr>
            <w:tcW w:w="4315" w:type="dxa"/>
          </w:tcPr>
          <w:p>
            <w:r>
              <w:t>Collaborate with campus police or local law enforcement to participate in impaired driving/underage drinking campaigns.</w:t>
            </w:r>
          </w:p>
        </w:tc>
        <w:tc>
          <w:tcPr>
            <w:tcW w:w="5130" w:type="dxa"/>
          </w:tcPr>
          <w:p>
            <w:r>
              <w:t xml:space="preserve">We have a wonderful partnership with University Police and have conducted more than the planned events. </w:t>
            </w:r>
          </w:p>
        </w:tc>
      </w:tr>
      <w:tr w:rsidR="00DF6648" w:rsidRPr="00892F64" w14:paraId="7017B718" w14:textId="77777777" w:rsidTr="00492ABD">
        <w:tc>
          <w:tcPr>
            <w:tcW w:w="4315" w:type="dxa"/>
          </w:tcPr>
          <w:p>
            <w:r>
              <w:t>Distribute GOHS brochures and Impaired Driving educational materials on campus in conjunction with GOHS Impaired Driving campaigns.</w:t>
            </w:r>
          </w:p>
        </w:tc>
        <w:tc>
          <w:tcPr>
            <w:tcW w:w="5130" w:type="dxa"/>
          </w:tcPr>
          <w:p>
            <w:r>
              <w:t xml:space="preserve">At every event regarding impaired driving, we handed out educational materials.  </w:t>
            </w:r>
          </w:p>
        </w:tc>
      </w:tr>
      <w:tr w:rsidR="00DF6648" w:rsidRPr="00892F64" w14:paraId="4739F7BC" w14:textId="77777777" w:rsidTr="00492ABD">
        <w:tc>
          <w:tcPr>
            <w:tcW w:w="4315" w:type="dxa"/>
          </w:tcPr>
          <w:p>
            <w:r>
              <w:t>Recruit potential peer health educators.</w:t>
            </w:r>
          </w:p>
        </w:tc>
        <w:tc>
          <w:tcPr>
            <w:tcW w:w="5130" w:type="dxa"/>
          </w:tcPr>
          <w:p>
            <w:r>
              <w:t xml:space="preserve">One of our peer health educators graduated which required us to recruit for new peer health educators multiple times during the grant year. We were successful both times. Additionally, the peer health educator we hired, became unable to work as many hours as we had initially planned, which reduced the amount of money we spent from the personnel line.  </w:t>
            </w:r>
          </w:p>
        </w:tc>
      </w:tr>
      <w:tr w:rsidR="00DF6648" w:rsidRPr="00892F64" w14:paraId="32C993FB" w14:textId="77777777" w:rsidTr="00492ABD">
        <w:tc>
          <w:tcPr>
            <w:tcW w:w="4315" w:type="dxa"/>
          </w:tcPr>
          <w:p>
            <w:r>
              <w:t>Conduct alcohol specific peer health education training (ex: TIPS or BACCHUS)</w:t>
            </w:r>
          </w:p>
        </w:tc>
        <w:tc>
          <w:tcPr>
            <w:tcW w:w="5130" w:type="dxa"/>
          </w:tcPr>
          <w:p>
            <w:r>
              <w:t xml:space="preserve">We held several events for alcohol and other drugs during the year, one of which was to meet the specific objective. </w:t>
            </w:r>
          </w:p>
        </w:tc>
      </w:tr>
      <w:tr w:rsidR="00DF6648" w:rsidRPr="00892F64" w14:paraId="61F5EABD" w14:textId="77777777" w:rsidTr="00492ABD">
        <w:tc>
          <w:tcPr>
            <w:tcW w:w="4315" w:type="dxa"/>
          </w:tcPr>
          <w:p>
            <w:r>
              <w:t>Conduct campus CORE or ACHA-NCHA survey once every ODD year (Example FFY2017, FFY2019, etc).</w:t>
            </w:r>
          </w:p>
        </w:tc>
        <w:tc>
          <w:tcPr>
            <w:tcW w:w="5130" w:type="dxa"/>
          </w:tcPr>
          <w:p>
            <w:r>
              <w:t xml:space="preserve">For many years, we have been conducting the NCHA survey every odd numbered year.  We usually conduct it during the spring months, but the pandemic delayed our plans to conduct this survey.  The survey will be conducted in late 2021 or early 2022, which will be during the 2022 Grant year.  </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YA-2021-F.A.S.T. 402 TSP-005</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YA-2021-F.A.S.T. 402 TSP-005</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Clear Mind... Clear Future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$7,774.00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$619.62</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Peer Health Education group designed to promote alcohol and other drug awareness on campus.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r>
              <w:t>This milestone was completed. However, after filling out the grant application, I was directed to change the projected activity number to the number of people reached, despite having put in the activity number for the previous 10 years I have completed this grant. I was then approved that I would do 550 activities which is ridiculous if now I am being told I did not meet the milestone. We completed 4 school year activities and has an estimated 165 students attend our events during a school year where 50+% of our classes were remote and social distancing measures were in place.</w:t>
            </w:r>
          </w:p>
        </w:tc>
      </w:tr>
      <w:tr w:rsidR="00DF6648" w:rsidRPr="00892F64" w14:paraId="7A07CB57" w14:textId="77777777" w:rsidTr="00492ABD">
        <w:tc>
          <w:tcPr>
            <w:tcW w:w="4315" w:type="dxa"/>
          </w:tcPr>
          <w:p>
            <w:r>
              <w:t>Collect highway safety statistics on campus and in surrounding areas where students travel at the beginning of each semester (twice per year).</w:t>
            </w:r>
          </w:p>
        </w:tc>
        <w:tc>
          <w:tcPr>
            <w:tcW w:w="5130" w:type="dxa"/>
          </w:tcPr>
          <w:p>
            <w:r>
              <w:t>We collected highway safety statics in accordance with the grant application.</w:t>
            </w:r>
          </w:p>
        </w:tc>
      </w:tr>
      <w:tr w:rsidR="00DF6648" w:rsidRPr="00892F64" w14:paraId="6913903A" w14:textId="77777777" w:rsidTr="00492ABD">
        <w:tc>
          <w:tcPr>
            <w:tcW w:w="4315" w:type="dxa"/>
          </w:tcPr>
          <w:p>
            <w:r>
              <w:t>Review campus alcohol polices at the beginning of each year.</w:t>
            </w:r>
          </w:p>
        </w:tc>
        <w:tc>
          <w:tcPr>
            <w:tcW w:w="5130" w:type="dxa"/>
          </w:tcPr>
          <w:p>
            <w:r>
              <w:t>We reviewed the campus alcohol policies as part of our normal review and along with the JED campus team but did not make any changes.Our policies are in line with the USG and JED Campus initiatives.</w:t>
            </w:r>
          </w:p>
        </w:tc>
      </w:tr>
      <w:tr w:rsidR="00DF6648" w:rsidRPr="00892F64" w14:paraId="1E14BAEB" w14:textId="77777777" w:rsidTr="00492ABD">
        <w:tc>
          <w:tcPr>
            <w:tcW w:w="4315" w:type="dxa"/>
          </w:tcPr>
          <w:p>
            <w:r>
              <w:t>Distribute educational materials at 4 school activities.</w:t>
            </w:r>
          </w:p>
        </w:tc>
        <w:tc>
          <w:tcPr>
            <w:tcW w:w="5130" w:type="dxa"/>
          </w:tcPr>
          <w:p>
            <w:r>
              <w:t>This milestone was completed. However, after filling out the grant application, I was directed to change the projected activity number to the number of people reached, despite having put in the activity number for the previous 10 years I have completed this grant. We distributed materials 4 school year activities and has an estimated 167 students attend our events during a school year where 50+% of our classes were remote and social distancing measures were in place.</w:t>
            </w:r>
          </w:p>
        </w:tc>
      </w:tr>
      <w:tr w:rsidR="00DF6648" w:rsidRPr="00892F64" w14:paraId="13E5682B" w14:textId="77777777" w:rsidTr="0069181D">
        <w:trPr>
          <w:trHeight w:val="332"/>
        </w:trPr>
        <w:tc>
          <w:tcPr>
            <w:tcW w:w="4315" w:type="dxa"/>
          </w:tcPr>
          <w:p>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r>
              <w:t>Remote instruction and work for much of the fall, spring and summer 2020-2021 semesters.</w:t>
            </w:r>
          </w:p>
        </w:tc>
      </w:tr>
      <w:tr w:rsidR="00DF6648" w:rsidRPr="00892F64" w14:paraId="01F4FA12" w14:textId="77777777" w:rsidTr="00492ABD">
        <w:tc>
          <w:tcPr>
            <w:tcW w:w="4315" w:type="dxa"/>
          </w:tcPr>
          <w:p>
            <w:r>
              <w:t>Collaborate with campus police or local law enforcement to participate in impaired driving/underage drinking campaigns.</w:t>
            </w:r>
          </w:p>
        </w:tc>
        <w:tc>
          <w:tcPr>
            <w:tcW w:w="5130" w:type="dxa"/>
          </w:tcPr>
          <w:p>
            <w:r>
              <w:t>We worked with Campus Police on the 4/20 event on April 20, 2021.</w:t>
            </w:r>
          </w:p>
        </w:tc>
      </w:tr>
      <w:tr w:rsidR="00DF6648" w:rsidRPr="00892F64" w14:paraId="7017B718" w14:textId="77777777" w:rsidTr="00492ABD">
        <w:tc>
          <w:tcPr>
            <w:tcW w:w="4315" w:type="dxa"/>
          </w:tcPr>
          <w:p>
            <w:r>
              <w:t>Distribute GOHS brochures and Impaired Driving educational materials on campus in conjunction with GOHS Impaired Driving campaigns.</w:t>
            </w:r>
          </w:p>
        </w:tc>
        <w:tc>
          <w:tcPr>
            <w:tcW w:w="5130" w:type="dxa"/>
          </w:tcPr>
          <w:p>
            <w:r>
              <w:t>This milestone was completed. However, after filling out the grant application, I was directed to change the projected activity number to the number of people reached, despite having put in the activity number for the previous 10 years I have completed this grant. We distributed materials 4 school year activities and has an estimated 131 students attend our events during a school year where 50+% of our classes were remote and social distancing measures were in place.</w:t>
            </w:r>
          </w:p>
        </w:tc>
      </w:tr>
      <w:tr w:rsidR="00DF6648" w:rsidRPr="00892F64" w14:paraId="4739F7BC" w14:textId="77777777" w:rsidTr="00492ABD">
        <w:tc>
          <w:tcPr>
            <w:tcW w:w="4315" w:type="dxa"/>
          </w:tcPr>
          <w:p>
            <w:r>
              <w:t>Recruit potential peer health educators.</w:t>
            </w:r>
          </w:p>
        </w:tc>
        <w:tc>
          <w:tcPr>
            <w:tcW w:w="5130" w:type="dxa"/>
          </w:tcPr>
          <w:p>
            <w:r>
              <w:t>This milestone was completed. However, after filling out the grant application, I was directed to change the projected activity number to the number of people reached, despite having put in the activity number for the previous 10 years I have completed this grant. We recruited peer health educators at two activities during the school. year.</w:t>
            </w:r>
          </w:p>
        </w:tc>
      </w:tr>
      <w:tr w:rsidR="00DF6648" w:rsidRPr="00892F64" w14:paraId="32C993FB" w14:textId="77777777" w:rsidTr="00492ABD">
        <w:tc>
          <w:tcPr>
            <w:tcW w:w="4315" w:type="dxa"/>
          </w:tcPr>
          <w:p>
            <w:r>
              <w:t>Conduct alcohol specific peer health education training (ex: TIPS or BACCHUS)</w:t>
            </w:r>
          </w:p>
        </w:tc>
        <w:tc>
          <w:tcPr>
            <w:tcW w:w="5130" w:type="dxa"/>
          </w:tcPr>
          <w:p>
            <w:r>
              <w:t>We offered training once during the year. The number 5 reflected the number of students who hoped to recruit. I was told to change this from my original application.</w:t>
            </w:r>
          </w:p>
        </w:tc>
      </w:tr>
      <w:tr w:rsidR="00DF6648" w:rsidRPr="00892F64" w14:paraId="61F5EABD" w14:textId="77777777" w:rsidTr="00492ABD">
        <w:tc>
          <w:tcPr>
            <w:tcW w:w="4315" w:type="dxa"/>
          </w:tcPr>
          <w:p>
            <w:r>
              <w:t>Conduct campus CORE or ACHA-NCHA survey once every ODD year (Example FFY2017, FFY2019, etc).</w:t>
            </w:r>
          </w:p>
        </w:tc>
        <w:tc>
          <w:tcPr>
            <w:tcW w:w="5130" w:type="dxa"/>
          </w:tcPr>
          <w:p>
            <w:r>
              <w:t>We met this milestone. Enrollment was down so we did not meet the exact number of students listed as projected.</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YA-2021-F.A.S.T. 402 TSP-004</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YA-2021-F.A.S.T. 402 TSP-004</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Be the Sober One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$7,485.50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$2,602.60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"Be the Sober One" is a Peer to Peer social norms campaign designed to increase prevention-oriented knowledge and positive behaviors amongst Fort Valley State University students and residents of middle GA to prevent drinking and driving through the support of Institutional resources and community partners.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r>
              <w:t xml:space="preserve">Our FY 21 Be the Sober One Project experienced a great deal of on and off campus support via its collaborative framing with Federal level support from the Department of Health and Human Services/SAMHSA (Substance Abuse &amp; Mental Health Services Administration.)  Through this directed call for substance abuse prevention training in relationship to HIV/AIDS prevention and additional co-occurring disorders, as well as unmet social determinants of health, our programming gained momentum in Institutional integration through its incorporation within the FVSU 0100 course - a class designed to build the retention skills of our freshmen body with academic struggles as well as risk factors associated with the "emancipated" student, primarily free from parental control, thus prime for risky behavior and misinformed decisions.  Over 10 sections of this class cohort participated in the on line Alcohol Literacy Challenge (ALC) EBP educating over 300 students during the Fall and Spring semesters.  In addition to this on campus integration, our additional Substance Abuse Prevention Peer Educators continued their roles with facilitating peer to peer session with upperclassmen students, furthering our reach within the Campus.  Off campus Community Based Organizational (CBO) partners continued the ALC trainings at their sites as well. </w:t>
            </w:r>
          </w:p>
        </w:tc>
      </w:tr>
      <w:tr w:rsidR="00DF6648" w:rsidRPr="00892F64" w14:paraId="7A07CB57" w14:textId="77777777" w:rsidTr="00492ABD">
        <w:tc>
          <w:tcPr>
            <w:tcW w:w="4315" w:type="dxa"/>
          </w:tcPr>
          <w:p>
            <w:r>
              <w:t>Collect highway safety statistics on campus and in surrounding areas where students travel at the beginning of each semester (twice per year).</w:t>
            </w:r>
          </w:p>
        </w:tc>
        <w:tc>
          <w:tcPr>
            <w:tcW w:w="5130" w:type="dxa"/>
          </w:tcPr>
          <w:p>
            <w:r>
              <w:t>The collection of highway statistics both on and off campus is a collaborative driven (virtual and direct activity) supported by our Student Conduct and Campus Safety units, in particular, in regards to our CLERY mandated reporting.  In addition, relevant online resources are utilized to create a deeper dive with our analysis.</w:t>
            </w:r>
          </w:p>
        </w:tc>
      </w:tr>
      <w:tr w:rsidR="00DF6648" w:rsidRPr="00892F64" w14:paraId="6913903A" w14:textId="77777777" w:rsidTr="00492ABD">
        <w:tc>
          <w:tcPr>
            <w:tcW w:w="4315" w:type="dxa"/>
          </w:tcPr>
          <w:p>
            <w:r>
              <w:t>Review campus alcohol polices at the beginning of each year.</w:t>
            </w:r>
          </w:p>
        </w:tc>
        <w:tc>
          <w:tcPr>
            <w:tcW w:w="5130" w:type="dxa"/>
          </w:tcPr>
          <w:p>
            <w:r>
              <w:t>Alcohol Polices are driven by mandates as released through the Board of Regents University System of GA (USG) and utilized by all schools under its governance</w:t>
            </w:r>
          </w:p>
        </w:tc>
      </w:tr>
      <w:tr w:rsidR="00DF6648" w:rsidRPr="00892F64" w14:paraId="1E14BAEB" w14:textId="77777777" w:rsidTr="00492ABD">
        <w:tc>
          <w:tcPr>
            <w:tcW w:w="4315" w:type="dxa"/>
          </w:tcPr>
          <w:p>
            <w:r>
              <w:t>Distribute educational materials at 4 school activities.</w:t>
            </w:r>
          </w:p>
        </w:tc>
        <w:tc>
          <w:tcPr>
            <w:tcW w:w="5130" w:type="dxa"/>
          </w:tcPr>
          <w:p>
            <w:r>
              <w:t xml:space="preserve">During COVID a great deal of our educational materials, along with contact information for key peer educators, relative to our substance abuse prevention programming were housed online via our Institutional Outreach Webpage.  These resources included access to direct trainings, as well as relative complimenting materials associated with the EBPs.  Although hard copies were distributed, they were done so with smaller, more restrained groups of participants. </w:t>
            </w:r>
          </w:p>
        </w:tc>
      </w:tr>
      <w:tr w:rsidR="00DF6648" w:rsidRPr="00892F64" w14:paraId="13E5682B" w14:textId="77777777" w:rsidTr="0069181D">
        <w:trPr>
          <w:trHeight w:val="332"/>
        </w:trPr>
        <w:tc>
          <w:tcPr>
            <w:tcW w:w="4315" w:type="dxa"/>
          </w:tcPr>
          <w:p>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r>
              <w:t xml:space="preserve">This activity was an activity highly embraced by our on campus police.  Our BTSO leadership joined our campus safety team and posted up in the guard gate at the main entrance to the University.  </w:t>
            </w:r>
          </w:p>
        </w:tc>
      </w:tr>
      <w:tr w:rsidR="00DF6648" w:rsidRPr="00892F64" w14:paraId="01F4FA12" w14:textId="77777777" w:rsidTr="00492ABD">
        <w:tc>
          <w:tcPr>
            <w:tcW w:w="4315" w:type="dxa"/>
          </w:tcPr>
          <w:p>
            <w:r>
              <w:t>Collaborate with campus police or local law enforcement to participate in impaired driving/underage drinking campaigns.</w:t>
            </w:r>
          </w:p>
        </w:tc>
        <w:tc>
          <w:tcPr>
            <w:tcW w:w="5130" w:type="dxa"/>
          </w:tcPr>
          <w:p>
            <w:r>
              <w:t>Our impaired driving/underage drinking campaign was another hit on our campus, especially with our mock impaired driving simulations in the parking area next to our Wildcat stadium.  In spite of the heavy winds which often left our cones in shambles, the student participants, peer leads and campus safety officer - hats off to Officer Greer, all enjoyed themselves tremendously.</w:t>
            </w:r>
          </w:p>
        </w:tc>
      </w:tr>
      <w:tr w:rsidR="00DF6648" w:rsidRPr="00892F64" w14:paraId="7017B718" w14:textId="77777777" w:rsidTr="00492ABD">
        <w:tc>
          <w:tcPr>
            <w:tcW w:w="4315" w:type="dxa"/>
          </w:tcPr>
          <w:p>
            <w:r>
              <w:t>Distribute GOHS brochures and Impaired Driving educational materials on campus in conjunction with GOHS Impaired Driving campaigns.</w:t>
            </w:r>
          </w:p>
        </w:tc>
        <w:tc>
          <w:tcPr>
            <w:tcW w:w="5130" w:type="dxa"/>
          </w:tcPr>
          <w:p>
            <w:r>
              <w:t xml:space="preserve">GOHS brochures were distributed during our smaller group sessions, as guided by COVID best practices and infection control.   </w:t>
            </w:r>
          </w:p>
        </w:tc>
      </w:tr>
      <w:tr w:rsidR="00DF6648" w:rsidRPr="00892F64" w14:paraId="4739F7BC" w14:textId="77777777" w:rsidTr="00492ABD">
        <w:tc>
          <w:tcPr>
            <w:tcW w:w="4315" w:type="dxa"/>
          </w:tcPr>
          <w:p>
            <w:r>
              <w:t>Recruit potential peer health educators.</w:t>
            </w:r>
          </w:p>
        </w:tc>
        <w:tc>
          <w:tcPr>
            <w:tcW w:w="5130" w:type="dxa"/>
          </w:tcPr>
          <w:p>
            <w:r>
              <w:t>Our Be the Sober One Team is an integral unit within our overall Outreach platform.  As most of our leads are fulfilling either an Intern I or II practicum requirement or work study assignment, we are always saturated with student leadership, especially from the academic departments of social work, criminal justice and psychology.  This opportunity for the application of knowledge learned in the theoretical settings is a win win for both our Student Affairs and Academic Affairs divisions.</w:t>
            </w:r>
          </w:p>
        </w:tc>
      </w:tr>
      <w:tr w:rsidR="00DF6648" w:rsidRPr="00892F64" w14:paraId="32C993FB" w14:textId="77777777" w:rsidTr="00492ABD">
        <w:tc>
          <w:tcPr>
            <w:tcW w:w="4315" w:type="dxa"/>
          </w:tcPr>
          <w:p>
            <w:r>
              <w:t>Conduct alcohol specific peer health education training (ex: TIPS or BACCHUS)</w:t>
            </w:r>
          </w:p>
        </w:tc>
        <w:tc>
          <w:tcPr>
            <w:tcW w:w="5130" w:type="dxa"/>
          </w:tcPr>
          <w:p>
            <w:r>
              <w:t>Our Alcohol Literacy Challenge (ALC) EBP was our primary resource in these trainings.  Widely accepted on and off campus, ALC continues to be a hit with our substance abuse evidence guided programming.</w:t>
            </w:r>
          </w:p>
        </w:tc>
      </w:tr>
      <w:tr w:rsidR="00DF6648" w:rsidRPr="00892F64" w14:paraId="61F5EABD" w14:textId="77777777" w:rsidTr="00492ABD">
        <w:tc>
          <w:tcPr>
            <w:tcW w:w="4315" w:type="dxa"/>
          </w:tcPr>
          <w:p>
            <w:r>
              <w:t>Conduct campus CORE or ACHA-NCHA survey once every ODD year (Example FFY2017, FFY2019, etc).</w:t>
            </w:r>
          </w:p>
        </w:tc>
        <w:tc>
          <w:tcPr>
            <w:tcW w:w="5130" w:type="dxa"/>
          </w:tcPr>
          <w:p>
            <w:r>
              <w:t>The CORE survey was converted into a dynamic form and released primarily to members of our athletic teams.  We found that the results of this survey as well as pre and post assessments provided during the delivery of the Alcohol Literacy Challenge proved to be a strong platform through which we could capture emerging threats to new knowledge, negative behaviors and perceptions around alcohol and drug usage.</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YA-2021-F.A.S.T. 402 TSP-007</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YA-2021-F.A.S.T. 402 TSP-007</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Be the Sober One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$7,485.50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$2,602.60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"Be the Sober One" is a Peer to Peer social norms campaign designed to increase prevention-oriented knowledge and positive behaviors amongst Fort Valley State University students and residents of middle GA to prevent drinking and driving through the support of Institutional resources and community partners.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2CB86963" w14:textId="77777777" w:rsidTr="00492ABD">
        <w:trPr>
          <w:tblHeader/>
        </w:trPr>
        <w:tc>
          <w:tcPr>
            <w:tcW w:w="4315" w:type="dxa"/>
            <w:shd w:val="clear" w:color="auto" w:fill="E7E6E6" w:themeFill="background2"/>
          </w:tcPr>
          <w:p w14:paraId="5FD8CA51"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Activities Funded/Implemented</w:t>
            </w:r>
          </w:p>
        </w:tc>
        <w:tc>
          <w:tcPr>
            <w:tcW w:w="5130" w:type="dxa"/>
            <w:shd w:val="clear" w:color="auto" w:fill="E7E6E6" w:themeFill="background2"/>
          </w:tcPr>
          <w:p w14:paraId="1AD65CF2" w14:textId="77777777" w:rsidR="00DF6648" w:rsidRPr="00892F64" w:rsidRDefault="00DF6648" w:rsidP="00492ABD">
            <w:pPr>
              <w:spacing w:line="240" w:lineRule="auto"/>
              <w:rPr>
                <w:rFonts w:ascii="Arial Narrow" w:hAnsi="Arial Narrow"/>
                <w:b/>
                <w:bCs/>
                <w:sz w:val="20"/>
                <w:szCs w:val="20"/>
              </w:rPr>
            </w:pPr>
            <w:r w:rsidRPr="00892F64">
              <w:rPr>
                <w:rFonts w:ascii="Arial Narrow" w:hAnsi="Arial Narrow"/>
                <w:b/>
                <w:bCs/>
                <w:sz w:val="20"/>
                <w:szCs w:val="20"/>
              </w:rPr>
              <w:t>Results</w:t>
            </w:r>
          </w:p>
        </w:tc>
      </w:tr>
      <w:tr w:rsidR="00DF6648" w:rsidRPr="00892F64" w14:paraId="16A23A76" w14:textId="77777777" w:rsidTr="00492ABD">
        <w:tc>
          <w:tcPr>
            <w:tcW w:w="4315" w:type="dxa"/>
          </w:tcPr>
          <w:p w14:paraId="259881A5" w14:textId="732FC5D2" w:rsidR="00DF6648" w:rsidRPr="00892F64" w:rsidRDefault="0069181D" w:rsidP="00492AB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1#####</w:t>
            </w:r>
          </w:p>
          <w:tbl>
            <w:tblPr>
              <w:tblW w:w="0" w:type="auto"/>
              <w:tblCellMar>
                <w:left w:w="0" w:type="dxa"/>
                <w:right w:w="0" w:type="dxa"/>
              </w:tblCellMar>
              <w:tblLook w:val="04A0" w:firstRow="1" w:lastRow="0" w:firstColumn="1" w:lastColumn="0" w:noHBand="0" w:noVBand="1"/>
            </w:tblPr>
            <w:tblGrid>
              <w:gridCol w:w="54"/>
            </w:tblGrid>
            <w:tr w:rsidR="00DF6648" w:rsidRPr="00892F64" w14:paraId="639DFCDB" w14:textId="77777777" w:rsidTr="00492ABD">
              <w:tc>
                <w:tcPr>
                  <w:tcW w:w="54" w:type="dxa"/>
                  <w:tcBorders>
                    <w:top w:val="nil"/>
                    <w:left w:val="nil"/>
                    <w:bottom w:val="nil"/>
                    <w:right w:val="nil"/>
                  </w:tcBorders>
                  <w:vAlign w:val="center"/>
                  <w:hideMark/>
                </w:tcPr>
                <w:p w14:paraId="66B25CC6"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EFA5119" w14:textId="77777777" w:rsidR="00DF6648" w:rsidRPr="00892F64" w:rsidRDefault="00DF6648" w:rsidP="00492ABD">
            <w:pPr>
              <w:spacing w:line="240" w:lineRule="auto"/>
              <w:rPr>
                <w:rFonts w:ascii="Arial Narrow" w:hAnsi="Arial Narrow"/>
                <w:sz w:val="20"/>
                <w:szCs w:val="20"/>
              </w:rPr>
            </w:pPr>
          </w:p>
        </w:tc>
        <w:tc>
          <w:tcPr>
            <w:tcW w:w="5130" w:type="dxa"/>
          </w:tcPr>
          <w:p w14:paraId="2406095F" w14:textId="6D1AB013"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p>
        </w:tc>
      </w:tr>
      <w:tr w:rsidR="00DF6648" w:rsidRPr="00892F64" w14:paraId="7A07CB57" w14:textId="77777777" w:rsidTr="00492ABD">
        <w:tc>
          <w:tcPr>
            <w:tcW w:w="4315" w:type="dxa"/>
          </w:tcPr>
          <w:p w14:paraId="68A97624" w14:textId="75A24322"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w:t>
            </w:r>
          </w:p>
        </w:tc>
        <w:tc>
          <w:tcPr>
            <w:tcW w:w="5130" w:type="dxa"/>
          </w:tcPr>
          <w:p w14:paraId="48262289" w14:textId="14ACCAC2" w:rsidR="00DF6648"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w:t>
            </w:r>
          </w:p>
        </w:tc>
      </w:tr>
      <w:tr w:rsidR="00DF6648" w:rsidRPr="00892F64" w14:paraId="6913903A" w14:textId="77777777" w:rsidTr="00492ABD">
        <w:tc>
          <w:tcPr>
            <w:tcW w:w="4315" w:type="dxa"/>
          </w:tcPr>
          <w:p w14:paraId="1810C630" w14:textId="4419F83B"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568FE365" w14:textId="301225AF" w:rsidR="00DF6648"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w:t>
            </w:r>
          </w:p>
        </w:tc>
      </w:tr>
      <w:tr w:rsidR="00DF6648" w:rsidRPr="00892F64" w14:paraId="1E14BAEB" w14:textId="77777777" w:rsidTr="00492ABD">
        <w:tc>
          <w:tcPr>
            <w:tcW w:w="4315" w:type="dxa"/>
          </w:tcPr>
          <w:p w14:paraId="2E90E88C" w14:textId="57D05AA6"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w:t>
            </w:r>
            <w:r>
              <w:rPr>
                <w:rFonts w:ascii="Arial Narrow" w:hAnsi="Arial Narrow"/>
                <w:color w:val="000000" w:themeColor="text1"/>
                <w:sz w:val="20"/>
                <w:szCs w:val="20"/>
              </w:rPr>
              <w:t>#####</w:t>
            </w:r>
          </w:p>
        </w:tc>
        <w:tc>
          <w:tcPr>
            <w:tcW w:w="5130" w:type="dxa"/>
          </w:tcPr>
          <w:p w14:paraId="083616C8" w14:textId="01AE1F55" w:rsidR="00DF6648" w:rsidRPr="00892F64" w:rsidRDefault="0069181D" w:rsidP="00492ABD">
            <w:pPr>
              <w:spacing w:line="240" w:lineRule="auto"/>
              <w:rPr>
                <w:rFonts w:ascii="Arial Narrow" w:hAnsi="Arial Narrow"/>
                <w:sz w:val="20"/>
                <w:szCs w:val="20"/>
              </w:rPr>
            </w:pPr>
            <w:r>
              <w:rPr>
                <w:rFonts w:ascii="Arial Narrow" w:hAnsi="Arial Narrow"/>
                <w:sz w:val="20"/>
                <w:szCs w:val="20"/>
              </w:rPr>
              <w:t>4</w:t>
            </w:r>
            <w:r>
              <w:rPr>
                <w:rFonts w:ascii="Arial Narrow" w:hAnsi="Arial Narrow"/>
                <w:sz w:val="20"/>
                <w:szCs w:val="20"/>
              </w:rPr>
              <w:t>$$$$$</w:t>
            </w:r>
          </w:p>
        </w:tc>
      </w:tr>
      <w:tr w:rsidR="00DF6648" w:rsidRPr="00892F64" w14:paraId="13E5682B" w14:textId="77777777" w:rsidTr="0069181D">
        <w:trPr>
          <w:trHeight w:val="332"/>
        </w:trPr>
        <w:tc>
          <w:tcPr>
            <w:tcW w:w="4315" w:type="dxa"/>
          </w:tcPr>
          <w:p w14:paraId="1C538F0F" w14:textId="7F6B1694" w:rsidR="00DF6648" w:rsidRPr="00E87942"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5</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2"/>
            </w:tblGrid>
            <w:tr w:rsidR="00DF6648" w:rsidRPr="00892F64" w14:paraId="464B4BAF" w14:textId="77777777" w:rsidTr="00492ABD">
              <w:tc>
                <w:tcPr>
                  <w:tcW w:w="42" w:type="dxa"/>
                  <w:tcBorders>
                    <w:top w:val="nil"/>
                    <w:left w:val="nil"/>
                    <w:bottom w:val="nil"/>
                    <w:right w:val="nil"/>
                  </w:tcBorders>
                  <w:vAlign w:val="center"/>
                  <w:hideMark/>
                </w:tcPr>
                <w:p w14:paraId="4CA3E314"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51A3551C" w14:textId="77777777" w:rsidR="00DF6648" w:rsidRPr="00892F64" w:rsidRDefault="00DF6648" w:rsidP="00492ABD">
            <w:pPr>
              <w:spacing w:line="240" w:lineRule="auto"/>
              <w:rPr>
                <w:rFonts w:ascii="Arial Narrow" w:hAnsi="Arial Narrow"/>
                <w:sz w:val="20"/>
                <w:szCs w:val="20"/>
              </w:rPr>
            </w:pPr>
          </w:p>
        </w:tc>
        <w:tc>
          <w:tcPr>
            <w:tcW w:w="5130" w:type="dxa"/>
          </w:tcPr>
          <w:p w14:paraId="0204F987" w14:textId="3AD08D61" w:rsidR="00DF6648" w:rsidRPr="00892F64" w:rsidRDefault="0069181D" w:rsidP="00492ABD">
            <w:pPr>
              <w:spacing w:line="240" w:lineRule="auto"/>
              <w:rPr>
                <w:rFonts w:ascii="Arial Narrow" w:hAnsi="Arial Narrow"/>
                <w:sz w:val="20"/>
                <w:szCs w:val="20"/>
              </w:rPr>
            </w:pPr>
            <w:r>
              <w:rPr>
                <w:rFonts w:ascii="Arial Narrow" w:hAnsi="Arial Narrow"/>
                <w:sz w:val="20"/>
                <w:szCs w:val="20"/>
              </w:rPr>
              <w:t>5</w:t>
            </w:r>
            <w:r>
              <w:rPr>
                <w:rFonts w:ascii="Arial Narrow" w:hAnsi="Arial Narrow"/>
                <w:sz w:val="20"/>
                <w:szCs w:val="20"/>
              </w:rPr>
              <w: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YA-2021-F.A.S.T. 402 TSP-003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YA-2021-F.A.S.T. 402 TSP-003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Georgia State University Young Adult</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$14,399.00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$862.66</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purpose of the 2020-2021 GOHS grant at Georgia State University will be to continue building a comprehensive alcohol prevention program to reach all Georgia State University campuses.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r>
              <w:t xml:space="preserve">Each month we highlighted a GOHS highway safety topic during the Wellness Wednesdays Instagram Live program. Each program was followed with trivia about the topic within an Instagram story. CHOICES &amp; BASICS for alcohol and other drug was completed by 35 students through Microsoft Office Teams. Students also completed Alcohol eCheckUp (n=22) and Marijuana eCheckUp (n=23) as part of the mandated programming for students sanctioned for a policy violation. The Monday Mile, each Monday on Instagram Live, included pedestrian safety information. </w:t>
            </w:r>
          </w:p>
        </w:tc>
      </w:tr>
      <w:tr w:rsidR="00DF6648" w:rsidRPr="00892F64" w14:paraId="7A07CB57" w14:textId="77777777" w:rsidTr="00492ABD">
        <w:tc>
          <w:tcPr>
            <w:tcW w:w="4315" w:type="dxa"/>
          </w:tcPr>
          <w:p>
            <w:r>
              <w:t>Collect highway safety statistics on campus and in surrounding areas where students travel at the beginning of each semester (twice per year).</w:t>
            </w:r>
          </w:p>
        </w:tc>
        <w:tc>
          <w:tcPr>
            <w:tcW w:w="5130" w:type="dxa"/>
          </w:tcPr>
          <w:p>
            <w:r>
              <w:t xml:space="preserve">We over projected to include each campus, but Georgia State University Police collect 2 times a year for all campuses. </w:t>
            </w:r>
          </w:p>
        </w:tc>
      </w:tr>
      <w:tr w:rsidR="00DF6648" w:rsidRPr="00892F64" w14:paraId="6913903A" w14:textId="77777777" w:rsidTr="00492ABD">
        <w:tc>
          <w:tcPr>
            <w:tcW w:w="4315" w:type="dxa"/>
          </w:tcPr>
          <w:p>
            <w:r>
              <w:t>Review campus alcohol polices at the beginning of each year.</w:t>
            </w:r>
          </w:p>
        </w:tc>
        <w:tc>
          <w:tcPr>
            <w:tcW w:w="5130" w:type="dxa"/>
          </w:tcPr>
          <w:p>
            <w:r>
              <w:t xml:space="preserve">Campus policies were reviewed in October 2020 and May 2021 in preparation for customizing AlcoholEdu. </w:t>
            </w:r>
          </w:p>
        </w:tc>
      </w:tr>
      <w:tr w:rsidR="00DF6648" w:rsidRPr="00892F64" w14:paraId="1E14BAEB" w14:textId="77777777" w:rsidTr="00492ABD">
        <w:tc>
          <w:tcPr>
            <w:tcW w:w="4315" w:type="dxa"/>
          </w:tcPr>
          <w:p>
            <w:r>
              <w:t>Distribute educational materials at 4 school activities.</w:t>
            </w:r>
          </w:p>
        </w:tc>
        <w:tc>
          <w:tcPr>
            <w:tcW w:w="5130" w:type="dxa"/>
          </w:tcPr>
          <w:p>
            <w:r>
              <w:t xml:space="preserve">Educational material was distributed during tabling outreach events, but most material was mailed directly to students within health education packets they requested from Student Health Promotion. </w:t>
            </w:r>
          </w:p>
        </w:tc>
      </w:tr>
      <w:tr w:rsidR="00DF6648" w:rsidRPr="00892F64" w14:paraId="13E5682B" w14:textId="77777777" w:rsidTr="0069181D">
        <w:trPr>
          <w:trHeight w:val="332"/>
        </w:trPr>
        <w:tc>
          <w:tcPr>
            <w:tcW w:w="4315" w:type="dxa"/>
          </w:tcPr>
          <w:p>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r>
              <w:t>We did complete 12 seat belt checks (2 checks on each of the 6 Georgia State University campuses). November 2020 and March 2021.</w:t>
            </w:r>
          </w:p>
        </w:tc>
      </w:tr>
      <w:tr w:rsidR="00DF6648" w:rsidRPr="00892F64" w14:paraId="01F4FA12" w14:textId="77777777" w:rsidTr="00492ABD">
        <w:tc>
          <w:tcPr>
            <w:tcW w:w="4315" w:type="dxa"/>
          </w:tcPr>
          <w:p>
            <w:r>
              <w:t>Collaborate with campus police or local law enforcement to participate in impaired driving/underage drinking campaigns.</w:t>
            </w:r>
          </w:p>
        </w:tc>
        <w:tc>
          <w:tcPr>
            <w:tcW w:w="5130" w:type="dxa"/>
          </w:tcPr>
          <w:p>
            <w:r>
              <w:t xml:space="preserve">We used NHTSA material to collaborate with law enforcement, via social media to share material at high-risk alcohol times (e.g., Thanksgiving, winter holidays, spring break, superbowl). Additionally the University Police participate in our Wellness Wednesday, Instagram Live program, once per semester. </w:t>
            </w:r>
          </w:p>
        </w:tc>
      </w:tr>
      <w:tr w:rsidR="00DF6648" w:rsidRPr="00892F64" w14:paraId="7017B718" w14:textId="77777777" w:rsidTr="00492ABD">
        <w:tc>
          <w:tcPr>
            <w:tcW w:w="4315" w:type="dxa"/>
          </w:tcPr>
          <w:p>
            <w:r>
              <w:t>Distribute GOHS brochures and Impaired Driving educational materials on campus in conjunction with GOHS Impaired Driving campaigns.</w:t>
            </w:r>
          </w:p>
        </w:tc>
        <w:tc>
          <w:tcPr>
            <w:tcW w:w="5130" w:type="dxa"/>
          </w:tcPr>
          <w:p>
            <w:r>
              <w:t xml:space="preserve">Students are mailed packets on a monthly basis of health education material, at their request. </w:t>
            </w:r>
          </w:p>
        </w:tc>
      </w:tr>
      <w:tr w:rsidR="00DF6648" w:rsidRPr="00892F64" w14:paraId="4739F7BC" w14:textId="77777777" w:rsidTr="00492ABD">
        <w:tc>
          <w:tcPr>
            <w:tcW w:w="4315" w:type="dxa"/>
          </w:tcPr>
          <w:p>
            <w:r>
              <w:t>Recruit potential peer health educators.</w:t>
            </w:r>
          </w:p>
        </w:tc>
        <w:tc>
          <w:tcPr>
            <w:tcW w:w="5130" w:type="dxa"/>
          </w:tcPr>
          <w:p>
            <w:r>
              <w:t xml:space="preserve">Peer health education has been challenging because we are understaffed, professional staff. </w:t>
            </w:r>
          </w:p>
        </w:tc>
      </w:tr>
      <w:tr w:rsidR="00DF6648" w:rsidRPr="00892F64" w14:paraId="32C993FB" w14:textId="77777777" w:rsidTr="00492ABD">
        <w:tc>
          <w:tcPr>
            <w:tcW w:w="4315" w:type="dxa"/>
          </w:tcPr>
          <w:p>
            <w:r>
              <w:t>Conduct alcohol specific peer health education training (ex: TIPS or BACCHUS)</w:t>
            </w:r>
          </w:p>
        </w:tc>
        <w:tc>
          <w:tcPr>
            <w:tcW w:w="5130" w:type="dxa"/>
          </w:tcPr>
          <w:p>
            <w:r>
              <w:t>The NASPA Certified Peer Education program was completed by students working within Student Health Promotion, the online course was useful for students throughout COVID</w:t>
            </w:r>
          </w:p>
        </w:tc>
      </w:tr>
      <w:tr w:rsidR="00DF6648" w:rsidRPr="00892F64" w14:paraId="61F5EABD" w14:textId="77777777" w:rsidTr="00492ABD">
        <w:tc>
          <w:tcPr>
            <w:tcW w:w="4315" w:type="dxa"/>
          </w:tcPr>
          <w:p>
            <w:r>
              <w:t>Conduct campus CORE or ACHA-NCHA survey once every ODD year (Example FFY2017, FFY2019, etc).</w:t>
            </w:r>
          </w:p>
        </w:tc>
        <w:tc>
          <w:tcPr>
            <w:tcW w:w="5130" w:type="dxa"/>
          </w:tcPr>
          <w:p>
            <w:r>
              <w:t>AlcoholEdu was implemented.</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YA-2021-F.A.S.T. 402 TSP-012</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YA-2021-F.A.S.T. 402 TSP-012</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 xml:space="preserve"> Georgia Tech Health Initiatives: GOHS </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$10,500.00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$2,500.00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 xml:space="preserve">Health Initiatives, guided by the social ecological framework, will collaborate with campus entities to enhance alcohol prevention and safety efforts across campus. </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r>
              <w:t xml:space="preserve">The Parent Handbook provides education and awareness related to alcohol and other drugs to allow parents to identify best practice strategies on how to have a conversation related to alcohol and other drugs. Every incoming student at Georgia Tech is required to complete alcohol education training, which reaches over 4,000 students. The department provides alcohol education to class, student organizations and athletes each semester. </w:t>
            </w:r>
          </w:p>
        </w:tc>
      </w:tr>
      <w:tr w:rsidR="00DF6648" w:rsidRPr="00892F64" w14:paraId="7A07CB57" w14:textId="77777777" w:rsidTr="00492ABD">
        <w:tc>
          <w:tcPr>
            <w:tcW w:w="4315" w:type="dxa"/>
          </w:tcPr>
          <w:p>
            <w:r>
              <w:t>Collect highway safety statistics on campus and in surrounding areas where students travel at the beginning of each semester (twice per year).</w:t>
            </w:r>
          </w:p>
        </w:tc>
        <w:tc>
          <w:tcPr>
            <w:tcW w:w="5130" w:type="dxa"/>
          </w:tcPr>
          <w:p>
            <w:r>
              <w:t xml:space="preserve">Due to the shortage of staff we were unable to collect highway safety statistics on campus and in surrounding areas where students travel at the beginning of the semester. </w:t>
            </w:r>
          </w:p>
        </w:tc>
      </w:tr>
      <w:tr w:rsidR="00DF6648" w:rsidRPr="00892F64" w14:paraId="6913903A" w14:textId="77777777" w:rsidTr="00492ABD">
        <w:tc>
          <w:tcPr>
            <w:tcW w:w="4315" w:type="dxa"/>
          </w:tcPr>
          <w:p>
            <w:r>
              <w:t>Review campus alcohol polices at the beginning of each year.</w:t>
            </w:r>
          </w:p>
        </w:tc>
        <w:tc>
          <w:tcPr>
            <w:tcW w:w="5130" w:type="dxa"/>
          </w:tcPr>
          <w:p>
            <w:r>
              <w:t xml:space="preserve">The alcohol policy was reviewed at the beginning of each year, as standard procedure. We are also reviewing the alcohol policy as a part of the JED strategic plan. </w:t>
            </w:r>
          </w:p>
        </w:tc>
      </w:tr>
      <w:tr w:rsidR="00DF6648" w:rsidRPr="00892F64" w14:paraId="1E14BAEB" w14:textId="77777777" w:rsidTr="00492ABD">
        <w:tc>
          <w:tcPr>
            <w:tcW w:w="4315" w:type="dxa"/>
          </w:tcPr>
          <w:p>
            <w:r>
              <w:t>Distribute educational materials at 4 school activities.</w:t>
            </w:r>
          </w:p>
        </w:tc>
        <w:tc>
          <w:tcPr>
            <w:tcW w:w="5130" w:type="dxa"/>
          </w:tcPr>
          <w:p>
            <w:r>
              <w:t>-NA-</w:t>
            </w:r>
          </w:p>
        </w:tc>
      </w:tr>
      <w:tr w:rsidR="00DF6648" w:rsidRPr="00892F64" w14:paraId="13E5682B" w14:textId="77777777" w:rsidTr="0069181D">
        <w:trPr>
          <w:trHeight w:val="332"/>
        </w:trPr>
        <w:tc>
          <w:tcPr>
            <w:tcW w:w="4315" w:type="dxa"/>
          </w:tcPr>
          <w:p>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r>
              <w:t xml:space="preserve">We were unable to complete this this activity due to shortage of staff. </w:t>
            </w:r>
          </w:p>
        </w:tc>
      </w:tr>
      <w:tr w:rsidR="00DF6648" w:rsidRPr="00892F64" w14:paraId="01F4FA12" w14:textId="77777777" w:rsidTr="00492ABD">
        <w:tc>
          <w:tcPr>
            <w:tcW w:w="4315" w:type="dxa"/>
          </w:tcPr>
          <w:p>
            <w:r>
              <w:t>Collaborate with campus police or local law enforcement to participate in impaired driving/underage drinking campaigns.</w:t>
            </w:r>
          </w:p>
        </w:tc>
        <w:tc>
          <w:tcPr>
            <w:tcW w:w="5130" w:type="dxa"/>
          </w:tcPr>
          <w:p>
            <w:r>
              <w:t xml:space="preserve">We were able to partner with GT Police Department with Campus Safety day, which occurs annually and allows students to learn about impaired driving and underage drinking consequences. </w:t>
            </w:r>
          </w:p>
        </w:tc>
      </w:tr>
      <w:tr w:rsidR="00DF6648" w:rsidRPr="00892F64" w14:paraId="7017B718" w14:textId="77777777" w:rsidTr="00492ABD">
        <w:tc>
          <w:tcPr>
            <w:tcW w:w="4315" w:type="dxa"/>
          </w:tcPr>
          <w:p>
            <w:r>
              <w:t>Distribute GOHS brochures and Impaired Driving educational materials on campus in conjunction with GOHS Impaired Driving campaigns.</w:t>
            </w:r>
          </w:p>
        </w:tc>
        <w:tc>
          <w:tcPr>
            <w:tcW w:w="5130" w:type="dxa"/>
          </w:tcPr>
          <w:p>
            <w:r>
              <w:t xml:space="preserve">We did not have the GOHS brochures on campus to distribute but we did provide education on impaired driving. </w:t>
            </w:r>
          </w:p>
        </w:tc>
      </w:tr>
      <w:tr w:rsidR="00DF6648" w:rsidRPr="00892F64" w14:paraId="4739F7BC" w14:textId="77777777" w:rsidTr="00492ABD">
        <w:tc>
          <w:tcPr>
            <w:tcW w:w="4315" w:type="dxa"/>
          </w:tcPr>
          <w:p>
            <w:r>
              <w:t>Recruit potential peer health educators.</w:t>
            </w:r>
          </w:p>
        </w:tc>
        <w:tc>
          <w:tcPr>
            <w:tcW w:w="5130" w:type="dxa"/>
          </w:tcPr>
          <w:p>
            <w:r>
              <w:t xml:space="preserve">We were able to recruit once, but three times were challenging because of the pandemic. </w:t>
            </w:r>
          </w:p>
        </w:tc>
      </w:tr>
      <w:tr w:rsidR="00DF6648" w:rsidRPr="00892F64" w14:paraId="32C993FB" w14:textId="77777777" w:rsidTr="00492ABD">
        <w:tc>
          <w:tcPr>
            <w:tcW w:w="4315" w:type="dxa"/>
          </w:tcPr>
          <w:p>
            <w:r>
              <w:t>Conduct alcohol specific peer health education training (ex: TIPS or BACCHUS)</w:t>
            </w:r>
          </w:p>
        </w:tc>
        <w:tc>
          <w:tcPr>
            <w:tcW w:w="5130" w:type="dxa"/>
          </w:tcPr>
          <w:p>
            <w:r>
              <w:t xml:space="preserve">We provide alcohol education training to peer health educators each semester to allow them to learn the importance of alcohol prevention and how to have conversations with their peers about alcohol. </w:t>
            </w:r>
          </w:p>
        </w:tc>
      </w:tr>
      <w:tr w:rsidR="00DF6648" w:rsidRPr="00892F64" w14:paraId="61F5EABD" w14:textId="77777777" w:rsidTr="00492ABD">
        <w:tc>
          <w:tcPr>
            <w:tcW w:w="4315" w:type="dxa"/>
          </w:tcPr>
          <w:p>
            <w:r>
              <w:t>Conduct campus CORE or ACHA-NCHA survey once every ODD year (Example FFY2017, FFY2019, etc).</w:t>
            </w:r>
          </w:p>
        </w:tc>
        <w:tc>
          <w:tcPr>
            <w:tcW w:w="5130" w:type="dxa"/>
          </w:tcPr>
          <w:p>
            <w:r>
              <w:t xml:space="preserve">We conducted the ACHA-NCHA survey this year and utilized this data to determine the health needs of students. </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YA-2021-F.A.S.T. 402 TSP-009</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YA-2021-F.A.S.T. 402 TSP-009</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GOHS YA Kennesaw State University</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$21,571.76</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$12,992.42</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YA application to improve the health of the Kennesaw State University community as it relates to impaired driving and alcohol use.</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p>
        </w:tc>
        <w:tc>
          <w:tcPr>
            <w:tcW w:w="5130" w:type="dxa"/>
          </w:tcPr>
          <w:p>
            <w:r/>
          </w:p>
        </w:tc>
      </w:tr>
      <w:tr w:rsidR="00DF6648" w:rsidRPr="00892F64" w14:paraId="7A07CB57" w14:textId="77777777" w:rsidTr="00492ABD">
        <w:tc>
          <w:tcPr>
            <w:tcW w:w="4315" w:type="dxa"/>
          </w:tcPr>
          <w:p>
            <w:r/>
          </w:p>
        </w:tc>
        <w:tc>
          <w:tcPr>
            <w:tcW w:w="5130" w:type="dxa"/>
          </w:tcPr>
          <w:p>
            <w:r/>
          </w:p>
        </w:tc>
      </w:tr>
      <w:tr w:rsidR="00DF6648" w:rsidRPr="00892F64" w14:paraId="6913903A" w14:textId="77777777" w:rsidTr="00492ABD">
        <w:tc>
          <w:tcPr>
            <w:tcW w:w="4315" w:type="dxa"/>
          </w:tcPr>
          <w:p w14:paraId="1810C630" w14:textId="4419F83B" w:rsidR="00DF6648" w:rsidRPr="0069181D" w:rsidRDefault="0069181D" w:rsidP="0069181D">
            <w:pPr>
              <w:autoSpaceDE w:val="0"/>
              <w:autoSpaceDN w:val="0"/>
              <w:adjustRightInd w:val="0"/>
              <w:spacing w:line="240" w:lineRule="auto"/>
              <w:rPr>
                <w:rFonts w:ascii="Arial Narrow"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568FE365" w14:textId="301225AF" w:rsidR="00DF6648"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w:t>
            </w:r>
          </w:p>
        </w:tc>
      </w:tr>
      <w:tr w:rsidR="00DF6648" w:rsidRPr="00892F64" w14:paraId="1E14BAEB" w14:textId="77777777" w:rsidTr="00492ABD">
        <w:tc>
          <w:tcPr>
            <w:tcW w:w="4315" w:type="dxa"/>
          </w:tcPr>
          <w:p w14:paraId="2E90E88C" w14:textId="57D05AA6"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w:t>
            </w:r>
            <w:r>
              <w:rPr>
                <w:rFonts w:ascii="Arial Narrow" w:hAnsi="Arial Narrow"/>
                <w:color w:val="000000" w:themeColor="text1"/>
                <w:sz w:val="20"/>
                <w:szCs w:val="20"/>
              </w:rPr>
              <w:t>#####</w:t>
            </w:r>
          </w:p>
        </w:tc>
        <w:tc>
          <w:tcPr>
            <w:tcW w:w="5130" w:type="dxa"/>
          </w:tcPr>
          <w:p w14:paraId="083616C8" w14:textId="01AE1F55" w:rsidR="00DF6648" w:rsidRPr="00892F64" w:rsidRDefault="0069181D" w:rsidP="00492ABD">
            <w:pPr>
              <w:spacing w:line="240" w:lineRule="auto"/>
              <w:rPr>
                <w:rFonts w:ascii="Arial Narrow" w:hAnsi="Arial Narrow"/>
                <w:sz w:val="20"/>
                <w:szCs w:val="20"/>
              </w:rPr>
            </w:pPr>
            <w:r>
              <w:rPr>
                <w:rFonts w:ascii="Arial Narrow" w:hAnsi="Arial Narrow"/>
                <w:sz w:val="20"/>
                <w:szCs w:val="20"/>
              </w:rPr>
              <w:t>4</w:t>
            </w:r>
            <w:r>
              <w:rPr>
                <w:rFonts w:ascii="Arial Narrow" w:hAnsi="Arial Narrow"/>
                <w:sz w:val="20"/>
                <w:szCs w:val="20"/>
              </w:rPr>
              <w:t>$$$$$</w:t>
            </w:r>
          </w:p>
        </w:tc>
      </w:tr>
      <w:tr w:rsidR="00DF6648" w:rsidRPr="00892F64" w14:paraId="13E5682B" w14:textId="77777777" w:rsidTr="0069181D">
        <w:trPr>
          <w:trHeight w:val="332"/>
        </w:trPr>
        <w:tc>
          <w:tcPr>
            <w:tcW w:w="4315" w:type="dxa"/>
          </w:tcPr>
          <w:p w14:paraId="1C538F0F" w14:textId="7F6B1694" w:rsidR="00DF6648" w:rsidRPr="00E87942"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5</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2"/>
            </w:tblGrid>
            <w:tr w:rsidR="00DF6648" w:rsidRPr="00892F64" w14:paraId="464B4BAF" w14:textId="77777777" w:rsidTr="00492ABD">
              <w:tc>
                <w:tcPr>
                  <w:tcW w:w="42" w:type="dxa"/>
                  <w:tcBorders>
                    <w:top w:val="nil"/>
                    <w:left w:val="nil"/>
                    <w:bottom w:val="nil"/>
                    <w:right w:val="nil"/>
                  </w:tcBorders>
                  <w:vAlign w:val="center"/>
                  <w:hideMark/>
                </w:tcPr>
                <w:p w14:paraId="4CA3E314"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51A3551C" w14:textId="77777777" w:rsidR="00DF6648" w:rsidRPr="00892F64" w:rsidRDefault="00DF6648" w:rsidP="00492ABD">
            <w:pPr>
              <w:spacing w:line="240" w:lineRule="auto"/>
              <w:rPr>
                <w:rFonts w:ascii="Arial Narrow" w:hAnsi="Arial Narrow"/>
                <w:sz w:val="20"/>
                <w:szCs w:val="20"/>
              </w:rPr>
            </w:pPr>
          </w:p>
        </w:tc>
        <w:tc>
          <w:tcPr>
            <w:tcW w:w="5130" w:type="dxa"/>
          </w:tcPr>
          <w:p w14:paraId="0204F987" w14:textId="3AD08D61" w:rsidR="00DF6648" w:rsidRPr="00892F64" w:rsidRDefault="0069181D" w:rsidP="00492ABD">
            <w:pPr>
              <w:spacing w:line="240" w:lineRule="auto"/>
              <w:rPr>
                <w:rFonts w:ascii="Arial Narrow" w:hAnsi="Arial Narrow"/>
                <w:sz w:val="20"/>
                <w:szCs w:val="20"/>
              </w:rPr>
            </w:pPr>
            <w:r>
              <w:rPr>
                <w:rFonts w:ascii="Arial Narrow" w:hAnsi="Arial Narrow"/>
                <w:sz w:val="20"/>
                <w:szCs w:val="20"/>
              </w:rPr>
              <w:t>5</w:t>
            </w:r>
            <w:r>
              <w:rPr>
                <w:rFonts w:ascii="Arial Narrow" w:hAnsi="Arial Narrow"/>
                <w:sz w:val="20"/>
                <w:szCs w:val="20"/>
              </w:rPr>
              <w:t>$$$$$</w:t>
            </w:r>
          </w:p>
        </w:tc>
      </w:tr>
      <w:tr w:rsidR="00DF6648" w:rsidRPr="00892F64" w14:paraId="01F4FA12" w14:textId="77777777" w:rsidTr="00492ABD">
        <w:tc>
          <w:tcPr>
            <w:tcW w:w="4315" w:type="dxa"/>
          </w:tcPr>
          <w:p w14:paraId="62D9EEF8" w14:textId="35BFC668"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5DB19D86" w14:textId="5B9E132E"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6</w:t>
            </w:r>
            <w:r>
              <w:rPr>
                <w:rFonts w:ascii="Arial Narrow" w:hAnsi="Arial Narrow"/>
                <w:sz w:val="20"/>
                <w:szCs w:val="20"/>
              </w:rPr>
              <w:t>$$$$$</w:t>
            </w:r>
          </w:p>
        </w:tc>
      </w:tr>
      <w:tr w:rsidR="00DF6648" w:rsidRPr="00892F64" w14:paraId="7017B718" w14:textId="77777777" w:rsidTr="00492ABD">
        <w:tc>
          <w:tcPr>
            <w:tcW w:w="4315" w:type="dxa"/>
          </w:tcPr>
          <w:p w14:paraId="2E2A3698" w14:textId="30D5C15F"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7</w:t>
            </w:r>
            <w:r>
              <w:rPr>
                <w:rFonts w:ascii="Arial Narrow" w:hAnsi="Arial Narrow"/>
                <w:color w:val="000000" w:themeColor="text1"/>
                <w:sz w:val="20"/>
                <w:szCs w:val="20"/>
              </w:rPr>
              <w:t>#####</w:t>
            </w:r>
          </w:p>
        </w:tc>
        <w:tc>
          <w:tcPr>
            <w:tcW w:w="5130" w:type="dxa"/>
          </w:tcPr>
          <w:p w14:paraId="247D2596" w14:textId="3257C4DC" w:rsidR="00DF6648" w:rsidRPr="00892F64" w:rsidRDefault="0069181D" w:rsidP="00492ABD">
            <w:pPr>
              <w:spacing w:line="240" w:lineRule="auto"/>
              <w:rPr>
                <w:rFonts w:ascii="Arial Narrow" w:hAnsi="Arial Narrow"/>
                <w:sz w:val="20"/>
                <w:szCs w:val="20"/>
              </w:rPr>
            </w:pPr>
            <w:r>
              <w:rPr>
                <w:rFonts w:ascii="Arial Narrow" w:hAnsi="Arial Narrow"/>
                <w:sz w:val="20"/>
                <w:szCs w:val="20"/>
              </w:rPr>
              <w:t>7</w:t>
            </w:r>
            <w:r>
              <w:rPr>
                <w:rFonts w:ascii="Arial Narrow" w:hAnsi="Arial Narrow"/>
                <w:sz w:val="20"/>
                <w:szCs w:val="20"/>
              </w:rPr>
              <w:t>$$$$$</w:t>
            </w:r>
          </w:p>
        </w:tc>
      </w:tr>
      <w:tr w:rsidR="00DF6648" w:rsidRPr="00892F64" w14:paraId="4739F7BC" w14:textId="77777777" w:rsidTr="00492ABD">
        <w:tc>
          <w:tcPr>
            <w:tcW w:w="4315" w:type="dxa"/>
          </w:tcPr>
          <w:p w14:paraId="58D7F81F" w14:textId="2052EC30"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056A662" w14:textId="51E2D004"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8</w:t>
            </w:r>
            <w:r>
              <w:rPr>
                <w:rFonts w:ascii="Arial Narrow" w:hAnsi="Arial Narrow"/>
                <w:sz w:val="20"/>
                <w:szCs w:val="20"/>
              </w:rPr>
              <w:t>$$$$$</w:t>
            </w:r>
          </w:p>
        </w:tc>
      </w:tr>
      <w:tr w:rsidR="00DF6648" w:rsidRPr="00892F64" w14:paraId="32C993FB" w14:textId="77777777" w:rsidTr="00492ABD">
        <w:tc>
          <w:tcPr>
            <w:tcW w:w="4315" w:type="dxa"/>
          </w:tcPr>
          <w:p w14:paraId="15E1C423" w14:textId="60277E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112E2838" w14:textId="03C72B95" w:rsidR="00DF6648" w:rsidRPr="00892F64" w:rsidRDefault="0069181D" w:rsidP="00492ABD">
            <w:pPr>
              <w:spacing w:line="240" w:lineRule="auto"/>
              <w:rPr>
                <w:rFonts w:ascii="Arial Narrow" w:hAnsi="Arial Narrow"/>
                <w:sz w:val="20"/>
                <w:szCs w:val="20"/>
              </w:rPr>
            </w:pPr>
            <w:r>
              <w:rPr>
                <w:rFonts w:ascii="Arial Narrow" w:hAnsi="Arial Narrow"/>
                <w:sz w:val="20"/>
                <w:szCs w:val="20"/>
              </w:rPr>
              <w:t>9</w:t>
            </w:r>
            <w:r>
              <w:rPr>
                <w:rFonts w:ascii="Arial Narrow" w:hAnsi="Arial Narrow"/>
                <w:sz w:val="20"/>
                <w:szCs w:val="20"/>
              </w:rPr>
              <w:t>$$$$$</w:t>
            </w:r>
          </w:p>
        </w:tc>
      </w:tr>
      <w:tr w:rsidR="00DF6648" w:rsidRPr="00892F64" w14:paraId="61F5EABD" w14:textId="77777777" w:rsidTr="00492ABD">
        <w:tc>
          <w:tcPr>
            <w:tcW w:w="4315" w:type="dxa"/>
          </w:tcPr>
          <w:p w14:paraId="7A3EE164" w14:textId="661CE81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0</w:t>
            </w:r>
            <w:r>
              <w:rPr>
                <w:rFonts w:ascii="Arial Narrow" w:hAnsi="Arial Narrow"/>
                <w:color w:val="000000" w:themeColor="text1"/>
                <w:sz w:val="20"/>
                <w:szCs w:val="20"/>
              </w:rPr>
              <w:t>#####</w:t>
            </w:r>
          </w:p>
        </w:tc>
        <w:tc>
          <w:tcPr>
            <w:tcW w:w="5130" w:type="dxa"/>
          </w:tcPr>
          <w:p w14:paraId="5959B808" w14:textId="0ADFB212" w:rsidR="00DF6648"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0</w:t>
            </w:r>
            <w:r>
              <w:rPr>
                <w:rFonts w:ascii="Arial Narrow" w:hAnsi="Arial Narrow"/>
                <w:sz w:val="20"/>
                <w:szCs w:val="20"/>
              </w:rPr>
              <w:t>$$$$$</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YA-2021-F.A.S.T. 402 TSP-008</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YA-2021-F.A.S.T. 402 TSP-008</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Peer Health Educators Educating UNG Student Community on Highway Safety</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$17,805.28</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$5,707.78</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The University of North Georgia seeks funding for developing, promoting and implementing programs and events to educate our students on the major contributing factors of highway-related injuries and fatalities among college students. The primary concern addressed is the high percentage of alcohol-related crashes, injuries, and fatalities among college students/youth. The grant gives us opportunities that we would not otherwise have to reach our UNG community and to play a role in their safety.</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r>
              <w:t xml:space="preserve">COVID 19 protocols set in place by the State of Georgia and the University of North Georgia prevented Peer Health Educators from hosting scheduled programming, due to restrictions of in-person activities. </w:t>
            </w:r>
          </w:p>
        </w:tc>
      </w:tr>
      <w:tr w:rsidR="00DF6648" w:rsidRPr="00892F64" w14:paraId="7A07CB57" w14:textId="77777777" w:rsidTr="00492ABD">
        <w:tc>
          <w:tcPr>
            <w:tcW w:w="4315" w:type="dxa"/>
          </w:tcPr>
          <w:p>
            <w:r>
              <w:t>Collect highway safety statistics on campus and in surrounding areas where students travel at the beginning of each semester (twice per year).</w:t>
            </w:r>
          </w:p>
        </w:tc>
        <w:tc>
          <w:tcPr>
            <w:tcW w:w="5130" w:type="dxa"/>
          </w:tcPr>
          <w:p>
            <w:r>
              <w:t xml:space="preserve">Highway safety statistics were collected as scheduled. </w:t>
            </w:r>
          </w:p>
        </w:tc>
      </w:tr>
      <w:tr w:rsidR="00DF6648" w:rsidRPr="00892F64" w14:paraId="6913903A" w14:textId="77777777" w:rsidTr="00492ABD">
        <w:tc>
          <w:tcPr>
            <w:tcW w:w="4315" w:type="dxa"/>
          </w:tcPr>
          <w:p>
            <w:r>
              <w:t>Review campus alcohol polices at the beginning of each year.</w:t>
            </w:r>
          </w:p>
        </w:tc>
        <w:tc>
          <w:tcPr>
            <w:tcW w:w="5130" w:type="dxa"/>
          </w:tcPr>
          <w:p>
            <w:r>
              <w:t xml:space="preserve">Campus Alcohol Policies were reviewed as part of an audit process associated with the University Cleary Report. </w:t>
            </w:r>
          </w:p>
        </w:tc>
      </w:tr>
      <w:tr w:rsidR="00DF6648" w:rsidRPr="00892F64" w14:paraId="1E14BAEB" w14:textId="77777777" w:rsidTr="00492ABD">
        <w:tc>
          <w:tcPr>
            <w:tcW w:w="4315" w:type="dxa"/>
          </w:tcPr>
          <w:p>
            <w:r>
              <w:t>Distribute educational materials at 4 school activities.</w:t>
            </w:r>
          </w:p>
        </w:tc>
        <w:tc>
          <w:tcPr>
            <w:tcW w:w="5130" w:type="dxa"/>
          </w:tcPr>
          <w:p>
            <w:r>
              <w:t>Due to COVID-19, many events were canceled or not able to be scheduled due to restrictions put in place by the state government and local university policies. This limited the number of events we could distribute educational materials.</w:t>
            </w:r>
          </w:p>
        </w:tc>
      </w:tr>
      <w:tr w:rsidR="00DF6648" w:rsidRPr="00892F64" w14:paraId="13E5682B" w14:textId="77777777" w:rsidTr="0069181D">
        <w:trPr>
          <w:trHeight w:val="332"/>
        </w:trPr>
        <w:tc>
          <w:tcPr>
            <w:tcW w:w="4315" w:type="dxa"/>
          </w:tcPr>
          <w:p>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r>
              <w:t xml:space="preserve">Reduced traffic on campus made it difficult to determine when a sizeable number of vehicles would be present. </w:t>
            </w:r>
          </w:p>
        </w:tc>
      </w:tr>
      <w:tr w:rsidR="00DF6648" w:rsidRPr="00892F64" w14:paraId="01F4FA12" w14:textId="77777777" w:rsidTr="00492ABD">
        <w:tc>
          <w:tcPr>
            <w:tcW w:w="4315" w:type="dxa"/>
          </w:tcPr>
          <w:p>
            <w:r>
              <w:t>Collaborate with campus police or local law enforcement to participate in impaired driving/underage drinking campaigns.</w:t>
            </w:r>
          </w:p>
        </w:tc>
        <w:tc>
          <w:tcPr>
            <w:tcW w:w="5130" w:type="dxa"/>
          </w:tcPr>
          <w:p>
            <w:r>
              <w:t xml:space="preserve">Campus Police had a reduced staff and it was difficult to schedule events when police could have a presence. </w:t>
            </w:r>
          </w:p>
        </w:tc>
      </w:tr>
      <w:tr w:rsidR="00DF6648" w:rsidRPr="00892F64" w14:paraId="7017B718" w14:textId="77777777" w:rsidTr="00492ABD">
        <w:tc>
          <w:tcPr>
            <w:tcW w:w="4315" w:type="dxa"/>
          </w:tcPr>
          <w:p>
            <w:r>
              <w:t>Distribute GOHS brochures and Impaired Driving educational materials on campus in conjunction with GOHS Impaired Driving campaigns.</w:t>
            </w:r>
          </w:p>
        </w:tc>
        <w:tc>
          <w:tcPr>
            <w:tcW w:w="5130" w:type="dxa"/>
          </w:tcPr>
          <w:p>
            <w:r>
              <w:t>Materials were distributed as appropriate at scheduled events.</w:t>
            </w:r>
          </w:p>
        </w:tc>
      </w:tr>
      <w:tr w:rsidR="00DF6648" w:rsidRPr="00892F64" w14:paraId="4739F7BC" w14:textId="77777777" w:rsidTr="00492ABD">
        <w:tc>
          <w:tcPr>
            <w:tcW w:w="4315" w:type="dxa"/>
          </w:tcPr>
          <w:p>
            <w:r>
              <w:t>Recruit potential peer health educators.</w:t>
            </w:r>
          </w:p>
        </w:tc>
        <w:tc>
          <w:tcPr>
            <w:tcW w:w="5130" w:type="dxa"/>
          </w:tcPr>
          <w:p>
            <w:r>
              <w:t>Peer Health Education recruitment went extremely well, considering we had limitations for events. The Peer Health Education group on the Gainesville Campus is showing the strongest growth.</w:t>
            </w:r>
          </w:p>
        </w:tc>
      </w:tr>
      <w:tr w:rsidR="00DF6648" w:rsidRPr="00892F64" w14:paraId="32C993FB" w14:textId="77777777" w:rsidTr="00492ABD">
        <w:tc>
          <w:tcPr>
            <w:tcW w:w="4315" w:type="dxa"/>
          </w:tcPr>
          <w:p>
            <w:r>
              <w:t>Conduct alcohol specific peer health education training (ex: TIPS or BACCHUS)</w:t>
            </w:r>
          </w:p>
        </w:tc>
        <w:tc>
          <w:tcPr>
            <w:tcW w:w="5130" w:type="dxa"/>
          </w:tcPr>
          <w:p>
            <w:r>
              <w:t>Due to COVID 19 training participation was extremely low, but due to system Mental Health Initiatives (including alcohol and other drugs) Peer Health Educators were granted 50 slots to certify future Peer Health Educators through eh NASPA Certified Peer Educator program.</w:t>
            </w:r>
          </w:p>
        </w:tc>
      </w:tr>
      <w:tr w:rsidR="00DF6648" w:rsidRPr="00892F64" w14:paraId="61F5EABD" w14:textId="77777777" w:rsidTr="00492ABD">
        <w:tc>
          <w:tcPr>
            <w:tcW w:w="4315" w:type="dxa"/>
          </w:tcPr>
          <w:p>
            <w:r>
              <w:t>Conduct campus CORE or ACHA-NCHA survey once every ODD year (Example FFY2017, FFY2019, etc).</w:t>
            </w:r>
          </w:p>
        </w:tc>
        <w:tc>
          <w:tcPr>
            <w:tcW w:w="5130" w:type="dxa"/>
          </w:tcPr>
          <w:p>
            <w:r>
              <w:t>Surveys were conducted as reported.</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YA-2021-F.A.S.T. 402 TSP-013</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YA-2021-F.A.S.T. 402 TSP-013</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YA 2021</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$4,810.00</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$4,652.00</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Increase awareness and compliance with DUI and Underage drinking laws among the VSU and Valdosta, Georgia community through the Office of Alcohol and Other Drug Education.</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r>
              <w:t xml:space="preserve">During the start of fall semester 2020, we were able to partner with University Police and Housing and Residence Life to provide educational fairs outside to increase the safety measures due to the pandemic. One of these fair-like activities included a rebranding of an event now called The Buzz: Alcohol and Safety Awareness Fair. It is with the strong partnership we have with University Police that we are able to acomplish so many of these events. </w:t>
            </w:r>
          </w:p>
        </w:tc>
      </w:tr>
      <w:tr w:rsidR="00DF6648" w:rsidRPr="00892F64" w14:paraId="7A07CB57" w14:textId="77777777" w:rsidTr="00492ABD">
        <w:tc>
          <w:tcPr>
            <w:tcW w:w="4315" w:type="dxa"/>
          </w:tcPr>
          <w:p>
            <w:r>
              <w:t>Collect highway safety statistics on campus and in surrounding areas where students travel at the beginning of each semester (twice per year).</w:t>
            </w:r>
          </w:p>
        </w:tc>
        <w:tc>
          <w:tcPr>
            <w:tcW w:w="5130" w:type="dxa"/>
          </w:tcPr>
          <w:p>
            <w:r>
              <w:t>This data was obtained from our University Police. The information was reviewed and used in our planning sessions for future events.</w:t>
            </w:r>
          </w:p>
        </w:tc>
      </w:tr>
      <w:tr w:rsidR="00DF6648" w:rsidRPr="00892F64" w14:paraId="6913903A" w14:textId="77777777" w:rsidTr="00492ABD">
        <w:tc>
          <w:tcPr>
            <w:tcW w:w="4315" w:type="dxa"/>
          </w:tcPr>
          <w:p>
            <w:r>
              <w:t>Review campus alcohol polices at the beginning of each year.</w:t>
            </w:r>
          </w:p>
        </w:tc>
        <w:tc>
          <w:tcPr>
            <w:tcW w:w="5130" w:type="dxa"/>
          </w:tcPr>
          <w:p>
            <w:r>
              <w:t xml:space="preserve">Health Promotions and UPD outreach staff reviewed campus policy in July. No changes were made at this time. Our Student Conduct Office is currently in transition due to retirement. Any needed changes are to be postponed until a replacement is hired. </w:t>
            </w:r>
          </w:p>
        </w:tc>
      </w:tr>
      <w:tr w:rsidR="00DF6648" w:rsidRPr="00892F64" w14:paraId="1E14BAEB" w14:textId="77777777" w:rsidTr="00492ABD">
        <w:tc>
          <w:tcPr>
            <w:tcW w:w="4315" w:type="dxa"/>
          </w:tcPr>
          <w:p>
            <w:r>
              <w:t>Distribute educational materials at 4 school activities.</w:t>
            </w:r>
          </w:p>
        </w:tc>
        <w:tc>
          <w:tcPr>
            <w:tcW w:w="5130" w:type="dxa"/>
          </w:tcPr>
          <w:p>
            <w:r>
              <w:t xml:space="preserve">Educational materials were distributed during the campus events such as The Buzz, Drunk Coloring, Safety Week, ThinkFast, Orientations, Fresh Check Day, and Smart Choices events. </w:t>
            </w:r>
          </w:p>
        </w:tc>
      </w:tr>
      <w:tr w:rsidR="00DF6648" w:rsidRPr="00892F64" w14:paraId="13E5682B" w14:textId="77777777" w:rsidTr="0069181D">
        <w:trPr>
          <w:trHeight w:val="332"/>
        </w:trPr>
        <w:tc>
          <w:tcPr>
            <w:tcW w:w="4315" w:type="dxa"/>
          </w:tcPr>
          <w:p>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r>
              <w:t xml:space="preserve">The seatbelt survey was completed by Graduate Assistants working in the Office of Health Promotions and Wellness. They observed drivers at a busy intersection of the campus and made note of the number wearing a seat belt and those not wearing a seat belt. All three surveys indicated a large majority do wear a seatbelt but it is not 100%. </w:t>
            </w:r>
          </w:p>
        </w:tc>
      </w:tr>
      <w:tr w:rsidR="00DF6648" w:rsidRPr="00892F64" w14:paraId="01F4FA12" w14:textId="77777777" w:rsidTr="00492ABD">
        <w:tc>
          <w:tcPr>
            <w:tcW w:w="4315" w:type="dxa"/>
          </w:tcPr>
          <w:p>
            <w:r>
              <w:t>Collaborate with campus police or local law enforcement to participate in impaired driving/underage drinking campaigns.</w:t>
            </w:r>
          </w:p>
        </w:tc>
        <w:tc>
          <w:tcPr>
            <w:tcW w:w="5130" w:type="dxa"/>
          </w:tcPr>
          <w:p>
            <w:r>
              <w:t xml:space="preserve">These campaigns were accomplished in conjunction with our educational events. </w:t>
            </w:r>
          </w:p>
        </w:tc>
      </w:tr>
      <w:tr w:rsidR="00DF6648" w:rsidRPr="00892F64" w14:paraId="7017B718" w14:textId="77777777" w:rsidTr="00492ABD">
        <w:tc>
          <w:tcPr>
            <w:tcW w:w="4315" w:type="dxa"/>
          </w:tcPr>
          <w:p>
            <w:r>
              <w:t>Distribute GOHS brochures and Impaired Driving educational materials on campus in conjunction with GOHS Impaired Driving campaigns.</w:t>
            </w:r>
          </w:p>
        </w:tc>
        <w:tc>
          <w:tcPr>
            <w:tcW w:w="5130" w:type="dxa"/>
          </w:tcPr>
          <w:p>
            <w:r>
              <w:t xml:space="preserve">This was accomplished during our large campus events (The Buzz and Safety Week). During these events, we had local law enforcement join us along with the DUI court. </w:t>
            </w:r>
          </w:p>
        </w:tc>
      </w:tr>
      <w:tr w:rsidR="00DF6648" w:rsidRPr="00892F64" w14:paraId="4739F7BC" w14:textId="77777777" w:rsidTr="00492ABD">
        <w:tc>
          <w:tcPr>
            <w:tcW w:w="4315" w:type="dxa"/>
          </w:tcPr>
          <w:p>
            <w:r>
              <w:t>Recruit potential peer health educators.</w:t>
            </w:r>
          </w:p>
        </w:tc>
        <w:tc>
          <w:tcPr>
            <w:tcW w:w="5130" w:type="dxa"/>
          </w:tcPr>
          <w:p>
            <w:r>
              <w:t xml:space="preserve">Fall of 2020, we began rebuilding the Peer Education program on VSU's campus. Several recruiting events took place to recruit participants. All were done virtually and through the use of Faculty referrals and general campus announcements. The new cohort began meeting in the spring of 2021. Additional recruiting continued in the summer at orientation sessions and other campus events. </w:t>
            </w:r>
          </w:p>
        </w:tc>
      </w:tr>
      <w:tr w:rsidR="00DF6648" w:rsidRPr="00892F64" w14:paraId="32C993FB" w14:textId="77777777" w:rsidTr="00492ABD">
        <w:tc>
          <w:tcPr>
            <w:tcW w:w="4315" w:type="dxa"/>
          </w:tcPr>
          <w:p>
            <w:r>
              <w:t>Conduct alcohol specific peer health education training (ex: TIPS or BACCHUS)</w:t>
            </w:r>
          </w:p>
        </w:tc>
        <w:tc>
          <w:tcPr>
            <w:tcW w:w="5130" w:type="dxa"/>
          </w:tcPr>
          <w:p>
            <w:r>
              <w:t xml:space="preserve">Given the dynamics of the pandemic and the slow rebuilding of the peer education program, this objective was especially challenging. We were able to have several training sessions in late summer and early fall of 2021 that allowed us to complete this objective. </w:t>
            </w:r>
          </w:p>
        </w:tc>
      </w:tr>
      <w:tr w:rsidR="00DF6648" w:rsidRPr="00892F64" w14:paraId="61F5EABD" w14:textId="77777777" w:rsidTr="00492ABD">
        <w:tc>
          <w:tcPr>
            <w:tcW w:w="4315" w:type="dxa"/>
          </w:tcPr>
          <w:p>
            <w:r>
              <w:t>Conduct campus CORE or ACHA-NCHA survey once every ODD year (Example FFY2017, FFY2019, etc).</w:t>
            </w:r>
          </w:p>
        </w:tc>
        <w:tc>
          <w:tcPr>
            <w:tcW w:w="5130" w:type="dxa"/>
          </w:tcPr>
          <w:p>
            <w:r>
              <w:t xml:space="preserve">During the fall of 2020, data was obtained from the AlcoholEdu course instead of using the CORE survey. Data collection using CORE was postponed due to the campus participating in a 5-year strategic mental health initiative with the Jed campus that included survey data collection end of fall 2020/early spring 2021. The Core survey will be conducted with the campus in November 2021. This will get us back on track with the every odd year fall collection of data. </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tbl>
      <w:tblPr>
        <w:tblStyle w:val="TableGridLight"/>
        <w:tblW w:w="947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448"/>
        <w:gridCol w:w="3045"/>
        <w:gridCol w:w="382"/>
        <w:gridCol w:w="1923"/>
        <w:gridCol w:w="2679"/>
      </w:tblGrid>
      <w:tr w:rsidR="00DF6648" w:rsidRPr="00892F64" w14:paraId="14EF6D83" w14:textId="77777777" w:rsidTr="00492ABD">
        <w:trPr>
          <w:trHeight w:val="571"/>
        </w:trPr>
        <w:tc>
          <w:tcPr>
            <w:tcW w:w="1448" w:type="dxa"/>
            <w:shd w:val="clear" w:color="auto" w:fill="D9E2F3" w:themeFill="accent1" w:themeFillTint="33"/>
            <w:vAlign w:val="center"/>
          </w:tcPr>
          <w:p w14:paraId="377A89ED" w14:textId="77777777" w:rsidR="00DF6648" w:rsidRPr="00892F64" w:rsidRDefault="00DF6648" w:rsidP="00492ABD">
            <w:pPr>
              <w:spacing w:line="240" w:lineRule="auto"/>
            </w:pPr>
            <w:r w:rsidRPr="00892F64">
              <w:t>Grantee:</w:t>
            </w:r>
          </w:p>
        </w:tc>
        <w:tc>
          <w:tcPr>
            <w:tcW w:w="3045" w:type="dxa"/>
            <w:shd w:val="clear" w:color="auto" w:fill="D9E2F3" w:themeFill="accent1" w:themeFillTint="33"/>
            <w:vAlign w:val="center"/>
          </w:tcPr>
          <w:p>
            <w:r>
              <w:t>YA-2021-F.A.S.T. 402 TSP-006</w:t>
            </w:r>
          </w:p>
        </w:tc>
        <w:tc>
          <w:tcPr>
            <w:tcW w:w="382" w:type="dxa"/>
            <w:shd w:val="clear" w:color="auto" w:fill="D9E2F3" w:themeFill="accent1" w:themeFillTint="33"/>
            <w:vAlign w:val="center"/>
          </w:tcPr>
          <w:p w14:paraId="67AE9A10" w14:textId="77777777" w:rsidR="00DF6648" w:rsidRPr="00892F64" w:rsidRDefault="00DF6648" w:rsidP="00492ABD">
            <w:pPr>
              <w:spacing w:line="240" w:lineRule="auto"/>
            </w:pPr>
          </w:p>
        </w:tc>
        <w:tc>
          <w:tcPr>
            <w:tcW w:w="1923" w:type="dxa"/>
            <w:shd w:val="clear" w:color="auto" w:fill="D9E2F3" w:themeFill="accent1" w:themeFillTint="33"/>
            <w:vAlign w:val="center"/>
          </w:tcPr>
          <w:p w14:paraId="30594C07" w14:textId="77777777" w:rsidR="00DF6648" w:rsidRPr="00892F64" w:rsidRDefault="00DF6648" w:rsidP="00492ABD">
            <w:pPr>
              <w:spacing w:line="240" w:lineRule="auto"/>
            </w:pPr>
            <w:r w:rsidRPr="00892F64">
              <w:t>Grant Number:</w:t>
            </w:r>
          </w:p>
        </w:tc>
        <w:tc>
          <w:tcPr>
            <w:tcW w:w="2677" w:type="dxa"/>
            <w:shd w:val="clear" w:color="auto" w:fill="D9E2F3" w:themeFill="accent1" w:themeFillTint="33"/>
            <w:vAlign w:val="center"/>
          </w:tcPr>
          <w:p>
            <w:r>
              <w:t>YA-2021-F.A.S.T. 402 TSP-006</w:t>
            </w:r>
          </w:p>
        </w:tc>
      </w:tr>
      <w:tr w:rsidR="00DF6648" w:rsidRPr="00892F64" w14:paraId="5C392244" w14:textId="77777777" w:rsidTr="00492ABD">
        <w:trPr>
          <w:trHeight w:val="561"/>
        </w:trPr>
        <w:tc>
          <w:tcPr>
            <w:tcW w:w="1448" w:type="dxa"/>
            <w:shd w:val="clear" w:color="auto" w:fill="D9E2F3" w:themeFill="accent1" w:themeFillTint="33"/>
            <w:vAlign w:val="center"/>
          </w:tcPr>
          <w:p w14:paraId="4048F350" w14:textId="77777777" w:rsidR="00DF6648" w:rsidRPr="00892F64" w:rsidRDefault="00DF6648" w:rsidP="00492ABD">
            <w:pPr>
              <w:spacing w:line="240" w:lineRule="auto"/>
            </w:pPr>
            <w:r w:rsidRPr="00892F64">
              <w:t>Project Title:</w:t>
            </w:r>
          </w:p>
        </w:tc>
        <w:tc>
          <w:tcPr>
            <w:tcW w:w="3045" w:type="dxa"/>
            <w:shd w:val="clear" w:color="auto" w:fill="D9E2F3" w:themeFill="accent1" w:themeFillTint="33"/>
            <w:vAlign w:val="center"/>
          </w:tcPr>
          <w:p>
            <w:r>
              <w:t>UWG &amp; GOHS Collaborative Safety Initiative</w:t>
            </w:r>
          </w:p>
        </w:tc>
        <w:tc>
          <w:tcPr>
            <w:tcW w:w="382" w:type="dxa"/>
            <w:shd w:val="clear" w:color="auto" w:fill="D9E2F3" w:themeFill="accent1" w:themeFillTint="33"/>
            <w:vAlign w:val="center"/>
          </w:tcPr>
          <w:p w14:paraId="41C9F991" w14:textId="77777777" w:rsidR="00DF6648" w:rsidRPr="00892F64" w:rsidRDefault="00DF6648" w:rsidP="00492ABD">
            <w:pPr>
              <w:spacing w:line="240" w:lineRule="auto"/>
            </w:pPr>
          </w:p>
        </w:tc>
        <w:tc>
          <w:tcPr>
            <w:tcW w:w="1923" w:type="dxa"/>
            <w:shd w:val="clear" w:color="auto" w:fill="D9E2F3" w:themeFill="accent1" w:themeFillTint="33"/>
            <w:vAlign w:val="center"/>
          </w:tcPr>
          <w:p w14:paraId="7C78181F" w14:textId="77777777" w:rsidR="00DF6648" w:rsidRPr="00892F64" w:rsidRDefault="00DF6648" w:rsidP="00492ABD">
            <w:pPr>
              <w:spacing w:line="240" w:lineRule="auto"/>
            </w:pPr>
            <w:r w:rsidRPr="00892F64">
              <w:t>Funding Source:</w:t>
            </w:r>
          </w:p>
        </w:tc>
        <w:tc>
          <w:tcPr>
            <w:tcW w:w="2677" w:type="dxa"/>
            <w:shd w:val="clear" w:color="auto" w:fill="D9E2F3" w:themeFill="accent1" w:themeFillTint="33"/>
            <w:vAlign w:val="center"/>
          </w:tcPr>
          <w:p>
            <w:r>
              <w:t>F.A.S.T. 402 TSP</w:t>
            </w:r>
          </w:p>
        </w:tc>
      </w:tr>
      <w:tr w:rsidR="00DF6648" w:rsidRPr="00892F64" w14:paraId="524BEB2C" w14:textId="77777777" w:rsidTr="00492ABD">
        <w:trPr>
          <w:trHeight w:val="561"/>
        </w:trPr>
        <w:tc>
          <w:tcPr>
            <w:tcW w:w="1448" w:type="dxa"/>
            <w:shd w:val="clear" w:color="auto" w:fill="D9E2F3" w:themeFill="accent1" w:themeFillTint="33"/>
            <w:vAlign w:val="center"/>
          </w:tcPr>
          <w:p w14:paraId="16E48297" w14:textId="77777777" w:rsidR="00DF6648" w:rsidRPr="00892F64" w:rsidRDefault="00DF6648" w:rsidP="00492ABD">
            <w:pPr>
              <w:spacing w:line="240" w:lineRule="auto"/>
            </w:pPr>
            <w:r w:rsidRPr="00892F64">
              <w:t>Funded Amount:</w:t>
            </w:r>
          </w:p>
        </w:tc>
        <w:tc>
          <w:tcPr>
            <w:tcW w:w="3045" w:type="dxa"/>
            <w:shd w:val="clear" w:color="auto" w:fill="D9E2F3" w:themeFill="accent1" w:themeFillTint="33"/>
            <w:vAlign w:val="center"/>
          </w:tcPr>
          <w:p>
            <w:r>
              <w:t>$18,183.41</w:t>
            </w:r>
          </w:p>
        </w:tc>
        <w:tc>
          <w:tcPr>
            <w:tcW w:w="382" w:type="dxa"/>
            <w:shd w:val="clear" w:color="auto" w:fill="D9E2F3" w:themeFill="accent1" w:themeFillTint="33"/>
            <w:vAlign w:val="center"/>
          </w:tcPr>
          <w:p w14:paraId="6462FB2A" w14:textId="77777777" w:rsidR="00DF6648" w:rsidRPr="00892F64" w:rsidRDefault="00DF6648" w:rsidP="00492ABD">
            <w:pPr>
              <w:spacing w:line="240" w:lineRule="auto"/>
            </w:pPr>
          </w:p>
        </w:tc>
        <w:tc>
          <w:tcPr>
            <w:tcW w:w="1923" w:type="dxa"/>
            <w:shd w:val="clear" w:color="auto" w:fill="D9E2F3" w:themeFill="accent1" w:themeFillTint="33"/>
            <w:vAlign w:val="center"/>
          </w:tcPr>
          <w:p w14:paraId="444A6BA0" w14:textId="77777777" w:rsidR="00DF6648" w:rsidRPr="00892F64" w:rsidRDefault="00DF6648" w:rsidP="00492ABD">
            <w:pPr>
              <w:spacing w:line="240" w:lineRule="auto"/>
            </w:pPr>
            <w:r w:rsidRPr="00892F64">
              <w:t>Total Expended:</w:t>
            </w:r>
          </w:p>
        </w:tc>
        <w:tc>
          <w:tcPr>
            <w:tcW w:w="2677" w:type="dxa"/>
            <w:shd w:val="clear" w:color="auto" w:fill="D9E2F3" w:themeFill="accent1" w:themeFillTint="33"/>
            <w:vAlign w:val="center"/>
          </w:tcPr>
          <w:p>
            <w:r>
              <w:t>$17,247.43</w:t>
            </w:r>
          </w:p>
        </w:tc>
      </w:tr>
      <w:tr w:rsidR="00DF6648" w:rsidRPr="00892F64" w14:paraId="69A0A6A9" w14:textId="77777777" w:rsidTr="00492ABD">
        <w:trPr>
          <w:trHeight w:val="823"/>
        </w:trPr>
        <w:tc>
          <w:tcPr>
            <w:tcW w:w="1448" w:type="dxa"/>
            <w:shd w:val="clear" w:color="auto" w:fill="D9E2F3" w:themeFill="accent1" w:themeFillTint="33"/>
          </w:tcPr>
          <w:p w14:paraId="4589C7D5" w14:textId="77777777" w:rsidR="00DF6648" w:rsidRPr="00892F64" w:rsidRDefault="00DF6648" w:rsidP="00492ABD">
            <w:pPr>
              <w:spacing w:line="240" w:lineRule="auto"/>
            </w:pPr>
            <w:r w:rsidRPr="00892F64">
              <w:t>Project Description:</w:t>
            </w:r>
          </w:p>
        </w:tc>
        <w:tc>
          <w:tcPr>
            <w:tcW w:w="8029" w:type="dxa"/>
            <w:gridSpan w:val="4"/>
            <w:shd w:val="clear" w:color="auto" w:fill="D9E2F3" w:themeFill="accent1" w:themeFillTint="33"/>
          </w:tcPr>
          <w:p>
            <w:r>
              <w:t>To continue our partnership with GOHS to provide alcohol/highway safety education to UWG students, high school students, and to citizens in our service area through multiple programs and initiatives.</w:t>
            </w:r>
          </w:p>
        </w:tc>
      </w:tr>
      <w:tr w:rsidR="00DF6648" w:rsidRPr="00892F64" w14:paraId="05C7DF93" w14:textId="77777777" w:rsidTr="00492ABD">
        <w:trPr>
          <w:trHeight w:val="973"/>
        </w:trPr>
        <w:tc>
          <w:tcPr>
            <w:tcW w:w="1448" w:type="dxa"/>
            <w:shd w:val="clear" w:color="auto" w:fill="D9E2F3" w:themeFill="accent1" w:themeFillTint="33"/>
          </w:tcPr>
          <w:p w14:paraId="53268F63" w14:textId="77777777" w:rsidR="00DF6648" w:rsidRPr="00892F64" w:rsidRDefault="00DF6648" w:rsidP="00492ABD">
            <w:pPr>
              <w:spacing w:line="240" w:lineRule="auto"/>
            </w:pPr>
            <w:r w:rsidRPr="00892F64">
              <w:t>State Targets:</w:t>
            </w:r>
          </w:p>
        </w:tc>
        <w:tc>
          <w:tcPr>
            <w:tcW w:w="8029" w:type="dxa"/>
            <w:gridSpan w:val="4"/>
            <w:shd w:val="clear" w:color="auto" w:fill="D9E2F3" w:themeFill="accent1" w:themeFillTint="33"/>
          </w:tcPr>
          <w:p>
            <w:r/>
          </w:p>
        </w:tc>
      </w:tr>
    </w:tbl>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DF6648" w:rsidRPr="00892F64" w14:paraId="16A23A76" w14:textId="77777777" w:rsidTr="00492ABD">
        <w:tc>
          <w:tcPr>
            <w:tcW w:w="4315" w:type="dxa"/>
          </w:tcPr>
          <w:p>
            <w:r>
              <w:t>Conduct four school year activities focused on educating students and faculty about alcohol and highway safety issues. Example: Implement alcohol awareness seasonal campaigns surround graduation, spring break, new student orientation, sporting events, holidays, etc. to reduce high risk drinking.</w:t>
            </w:r>
          </w:p>
        </w:tc>
        <w:tc>
          <w:tcPr>
            <w:tcW w:w="5130" w:type="dxa"/>
          </w:tcPr>
          <w:p>
            <w:r>
              <w:t xml:space="preserve">Yes, this was something we were able to accomplish. We were able to go above and beyond what our intended activities were. We hosted several school year activities focused on educating students, faculty, and staff. Some examples included National Collegiate Alcohol Awareness Week, Health and Safety Week, Greek Week, Safe Spring Break, Arrive Alive Tour, and Think Fast Trivia. </w:t>
            </w:r>
          </w:p>
        </w:tc>
      </w:tr>
      <w:tr w:rsidR="00DF6648" w:rsidRPr="00892F64" w14:paraId="7A07CB57" w14:textId="77777777" w:rsidTr="00492ABD">
        <w:tc>
          <w:tcPr>
            <w:tcW w:w="4315" w:type="dxa"/>
          </w:tcPr>
          <w:p>
            <w:r>
              <w:t>Collect highway safety statistics on campus and in surrounding areas where students travel at the beginning of each semester (twice per year).</w:t>
            </w:r>
          </w:p>
        </w:tc>
        <w:tc>
          <w:tcPr>
            <w:tcW w:w="5130" w:type="dxa"/>
          </w:tcPr>
          <w:p>
            <w:r>
              <w:t xml:space="preserve">We were able to complete only one activity this time around. We We didn't have enough staff to complete the second. </w:t>
            </w:r>
          </w:p>
        </w:tc>
      </w:tr>
      <w:tr w:rsidR="00DF6648" w:rsidRPr="00892F64" w14:paraId="6913903A" w14:textId="77777777" w:rsidTr="00492ABD">
        <w:tc>
          <w:tcPr>
            <w:tcW w:w="4315" w:type="dxa"/>
          </w:tcPr>
          <w:p>
            <w:r>
              <w:t>Review campus alcohol polices at the beginning of each year.</w:t>
            </w:r>
          </w:p>
        </w:tc>
        <w:tc>
          <w:tcPr>
            <w:tcW w:w="5130" w:type="dxa"/>
          </w:tcPr>
          <w:p>
            <w:r>
              <w:t xml:space="preserve">At the beginning of the year, we review the alcohol policies during orientations, seminars, and first six weeks classes. </w:t>
            </w:r>
          </w:p>
        </w:tc>
      </w:tr>
      <w:tr w:rsidR="00DF6648" w:rsidRPr="00892F64" w14:paraId="1E14BAEB" w14:textId="77777777" w:rsidTr="00492ABD">
        <w:tc>
          <w:tcPr>
            <w:tcW w:w="4315" w:type="dxa"/>
          </w:tcPr>
          <w:p>
            <w:r>
              <w:t>Distribute educational materials at 4 school activities.</w:t>
            </w:r>
          </w:p>
        </w:tc>
        <w:tc>
          <w:tcPr>
            <w:tcW w:w="5130" w:type="dxa"/>
          </w:tcPr>
          <w:p>
            <w:r>
              <w:t>During tabling events, programs, and school activities we would distribute educational materials.</w:t>
            </w:r>
          </w:p>
        </w:tc>
      </w:tr>
      <w:tr w:rsidR="00DF6648" w:rsidRPr="00892F64" w14:paraId="13E5682B" w14:textId="77777777" w:rsidTr="0069181D">
        <w:trPr>
          <w:trHeight w:val="332"/>
        </w:trPr>
        <w:tc>
          <w:tcPr>
            <w:tcW w:w="4315" w:type="dxa"/>
          </w:tcPr>
          <w:p>
            <w:r>
              <w:t>Complete the first seat belt survey in the first quarter of the grant period (Oct. - Dec.). Complete the second seat belt survey prior to the close of the school year. Announce results of each seat belt survey (media, website, social media).</w:t>
            </w:r>
          </w:p>
        </w:tc>
        <w:tc>
          <w:tcPr>
            <w:tcW w:w="5130" w:type="dxa"/>
          </w:tcPr>
          <w:p>
            <w:r>
              <w:t>We were able to complete both scheduled seat belt checks.</w:t>
            </w:r>
          </w:p>
        </w:tc>
      </w:tr>
      <w:tr w:rsidR="00DF6648" w:rsidRPr="00892F64" w14:paraId="01F4FA12" w14:textId="77777777" w:rsidTr="00492ABD">
        <w:tc>
          <w:tcPr>
            <w:tcW w:w="4315" w:type="dxa"/>
          </w:tcPr>
          <w:p>
            <w:r>
              <w:t>Collaborate with campus police or local law enforcement to participate in impaired driving/underage drinking campaigns.</w:t>
            </w:r>
          </w:p>
        </w:tc>
        <w:tc>
          <w:tcPr>
            <w:tcW w:w="5130" w:type="dxa"/>
          </w:tcPr>
          <w:p>
            <w:r>
              <w:t xml:space="preserve">Although we tried to collaborate with the UPD on multiple occasions, their large turnover ratio present a challenge to complete the number of projected activities. </w:t>
            </w:r>
          </w:p>
        </w:tc>
      </w:tr>
      <w:tr w:rsidR="00DF6648" w:rsidRPr="00892F64" w14:paraId="7017B718" w14:textId="77777777" w:rsidTr="00492ABD">
        <w:tc>
          <w:tcPr>
            <w:tcW w:w="4315" w:type="dxa"/>
          </w:tcPr>
          <w:p>
            <w:r>
              <w:t>Distribute GOHS brochures and Impaired Driving educational materials on campus in conjunction with GOHS Impaired Driving campaigns.</w:t>
            </w:r>
          </w:p>
        </w:tc>
        <w:tc>
          <w:tcPr>
            <w:tcW w:w="5130" w:type="dxa"/>
          </w:tcPr>
          <w:p>
            <w:r>
              <w:t xml:space="preserve">During our GOHS Signature events we distributed GOHS brochures and impaired Driving educational materials. </w:t>
            </w:r>
          </w:p>
        </w:tc>
      </w:tr>
      <w:tr w:rsidR="00DF6648" w:rsidRPr="00892F64" w14:paraId="4739F7BC" w14:textId="77777777" w:rsidTr="00492ABD">
        <w:tc>
          <w:tcPr>
            <w:tcW w:w="4315" w:type="dxa"/>
          </w:tcPr>
          <w:p>
            <w:r>
              <w:t>Recruit potential peer health educators.</w:t>
            </w:r>
          </w:p>
        </w:tc>
        <w:tc>
          <w:tcPr>
            <w:tcW w:w="5130" w:type="dxa"/>
          </w:tcPr>
          <w:p>
            <w:r>
              <w:t xml:space="preserve">Because peer education is a paid position it was a challenge to recruit peer educators and not have enough in the budget to hire them. </w:t>
            </w:r>
          </w:p>
        </w:tc>
      </w:tr>
      <w:tr w:rsidR="00DF6648" w:rsidRPr="00892F64" w14:paraId="32C993FB" w14:textId="77777777" w:rsidTr="00492ABD">
        <w:tc>
          <w:tcPr>
            <w:tcW w:w="4315" w:type="dxa"/>
          </w:tcPr>
          <w:p>
            <w:r>
              <w:t>Conduct alcohol specific peer health education training (ex: TIPS or BACCHUS)</w:t>
            </w:r>
          </w:p>
        </w:tc>
        <w:tc>
          <w:tcPr>
            <w:tcW w:w="5130" w:type="dxa"/>
          </w:tcPr>
          <w:p>
            <w:r>
              <w:t xml:space="preserve">We had alcohol-specific peer health education training internally. Due to Covid-19, there was no BACCHUS Conference nor did the grant pay for TIPS training. </w:t>
            </w:r>
          </w:p>
        </w:tc>
      </w:tr>
      <w:tr w:rsidR="00DF6648" w:rsidRPr="00892F64" w14:paraId="61F5EABD" w14:textId="77777777" w:rsidTr="00492ABD">
        <w:tc>
          <w:tcPr>
            <w:tcW w:w="4315" w:type="dxa"/>
          </w:tcPr>
          <w:p>
            <w:r>
              <w:t>Conduct campus CORE or ACHA-NCHA survey once every ODD year (Example FFY2017, FFY2019, etc).</w:t>
            </w:r>
          </w:p>
        </w:tc>
        <w:tc>
          <w:tcPr>
            <w:tcW w:w="5130" w:type="dxa"/>
          </w:tcPr>
          <w:p>
            <w:r>
              <w:t>GOHS approved of the USG Alcohol EDU training that every incoming freshman, transfer, athlete, or greek student as a substitute for CORE or ACHA-NCHA.</w:t>
            </w:r>
          </w:p>
        </w:tc>
      </w:tr>
      <w:tr w:rsidR="00DF6648" w:rsidRPr="00892F64" w14:paraId="5FF5FB8D" w14:textId="77777777" w:rsidTr="00492ABD">
        <w:tc>
          <w:tcPr>
            <w:tcW w:w="4315" w:type="dxa"/>
          </w:tcPr>
          <w:p w14:paraId="323B3AB7" w14:textId="1A2DA8AB"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1</w:t>
            </w:r>
            <w:r>
              <w:rPr>
                <w:rFonts w:ascii="Arial Narrow" w:hAnsi="Arial Narrow"/>
                <w:color w:val="000000" w:themeColor="text1"/>
                <w:sz w:val="20"/>
                <w:szCs w:val="20"/>
              </w:rPr>
              <w:t>#####</w:t>
            </w:r>
          </w:p>
        </w:tc>
        <w:tc>
          <w:tcPr>
            <w:tcW w:w="5130" w:type="dxa"/>
          </w:tcPr>
          <w:p w14:paraId="25484118" w14:textId="42BF2632"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1</w:t>
            </w:r>
            <w:r>
              <w:rPr>
                <w:rFonts w:ascii="Arial Narrow" w:hAnsi="Arial Narrow"/>
                <w:sz w:val="20"/>
                <w:szCs w:val="20"/>
              </w:rPr>
              <w:t>$$$$$</w:t>
            </w:r>
          </w:p>
        </w:tc>
      </w:tr>
      <w:tr w:rsidR="00DF6648" w:rsidRPr="00892F64" w14:paraId="28BDF461" w14:textId="77777777" w:rsidTr="0069181D">
        <w:trPr>
          <w:trHeight w:val="431"/>
        </w:trPr>
        <w:tc>
          <w:tcPr>
            <w:tcW w:w="4315" w:type="dxa"/>
          </w:tcPr>
          <w:p w14:paraId="7AC03526" w14:textId="64AC60C4" w:rsidR="00DF6648"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DF6648" w:rsidRPr="00892F64" w14:paraId="08689B68" w14:textId="77777777" w:rsidTr="00492ABD">
              <w:tc>
                <w:tcPr>
                  <w:tcW w:w="49" w:type="dxa"/>
                  <w:tcBorders>
                    <w:top w:val="nil"/>
                    <w:left w:val="nil"/>
                    <w:bottom w:val="nil"/>
                    <w:right w:val="nil"/>
                  </w:tcBorders>
                  <w:vAlign w:val="center"/>
                  <w:hideMark/>
                </w:tcPr>
                <w:p w14:paraId="3AC3E658" w14:textId="77777777" w:rsidR="00DF6648" w:rsidRPr="00892F64" w:rsidRDefault="00DF6648" w:rsidP="00492ABD">
                  <w:pPr>
                    <w:spacing w:after="0" w:line="240" w:lineRule="auto"/>
                    <w:rPr>
                      <w:rFonts w:ascii="Arial Narrow" w:eastAsia="Times New Roman" w:hAnsi="Arial Narrow"/>
                      <w:color w:val="000000" w:themeColor="text1"/>
                      <w:sz w:val="20"/>
                      <w:szCs w:val="20"/>
                    </w:rPr>
                  </w:pPr>
                </w:p>
              </w:tc>
            </w:tr>
          </w:tbl>
          <w:p w14:paraId="301EABAA" w14:textId="77777777" w:rsidR="00DF6648" w:rsidRPr="00892F64" w:rsidRDefault="00DF6648" w:rsidP="00492ABD">
            <w:pPr>
              <w:spacing w:line="240" w:lineRule="auto"/>
              <w:rPr>
                <w:rFonts w:ascii="Arial Narrow" w:hAnsi="Arial Narrow"/>
                <w:sz w:val="20"/>
                <w:szCs w:val="20"/>
              </w:rPr>
            </w:pPr>
          </w:p>
        </w:tc>
        <w:tc>
          <w:tcPr>
            <w:tcW w:w="5130" w:type="dxa"/>
          </w:tcPr>
          <w:p w14:paraId="23AC6C28" w14:textId="3A2914D8"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2</w:t>
            </w:r>
            <w:r>
              <w:rPr>
                <w:rFonts w:ascii="Arial Narrow" w:hAnsi="Arial Narrow"/>
                <w:sz w:val="20"/>
                <w:szCs w:val="20"/>
              </w:rPr>
              <w:t>$$$$$</w:t>
            </w:r>
          </w:p>
        </w:tc>
      </w:tr>
      <w:tr w:rsidR="00DF6648" w:rsidRPr="00892F64" w14:paraId="5FD112DF" w14:textId="77777777" w:rsidTr="00492ABD">
        <w:tc>
          <w:tcPr>
            <w:tcW w:w="4315" w:type="dxa"/>
          </w:tcPr>
          <w:p w14:paraId="1A54E969" w14:textId="44092555" w:rsidR="00DF6648"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3</w:t>
            </w:r>
            <w:r>
              <w:rPr>
                <w:rFonts w:ascii="Arial Narrow" w:hAnsi="Arial Narrow"/>
                <w:color w:val="000000" w:themeColor="text1"/>
                <w:sz w:val="20"/>
                <w:szCs w:val="20"/>
              </w:rPr>
              <w:t>#####</w:t>
            </w:r>
          </w:p>
        </w:tc>
        <w:tc>
          <w:tcPr>
            <w:tcW w:w="5130" w:type="dxa"/>
          </w:tcPr>
          <w:p w14:paraId="468B0F27" w14:textId="551183A6" w:rsidR="00DF6648"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3</w:t>
            </w:r>
            <w:r>
              <w:rPr>
                <w:rFonts w:ascii="Arial Narrow" w:hAnsi="Arial Narrow"/>
                <w:sz w:val="20"/>
                <w:szCs w:val="20"/>
              </w:rPr>
              <w:t>$$$$$</w:t>
            </w:r>
          </w:p>
        </w:tc>
      </w:tr>
    </w:tbl>
    <w:p w14:paraId="3DC7DF98" w14:textId="27D93ED1" w:rsidR="00A94FA8" w:rsidRDefault="00403596"/>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21C75A0D" w14:textId="77777777" w:rsidTr="00492ABD">
        <w:tc>
          <w:tcPr>
            <w:tcW w:w="4315" w:type="dxa"/>
          </w:tcPr>
          <w:p w14:paraId="7496B8E7" w14:textId="1AFB714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14</w:t>
            </w:r>
            <w:r>
              <w:rPr>
                <w:rFonts w:ascii="Arial Narrow" w:hAnsi="Arial Narrow"/>
                <w:color w:val="000000" w:themeColor="text1"/>
                <w:sz w:val="20"/>
                <w:szCs w:val="20"/>
              </w:rPr>
              <w:t>#####</w:t>
            </w:r>
          </w:p>
        </w:tc>
        <w:tc>
          <w:tcPr>
            <w:tcW w:w="5130" w:type="dxa"/>
          </w:tcPr>
          <w:p w14:paraId="5540609D" w14:textId="20203C4D" w:rsidR="0069181D" w:rsidRPr="00892F64" w:rsidRDefault="0069181D" w:rsidP="00492ABD">
            <w:pPr>
              <w:spacing w:line="240" w:lineRule="auto"/>
              <w:rPr>
                <w:rFonts w:ascii="Arial Narrow" w:hAnsi="Arial Narrow"/>
                <w:sz w:val="20"/>
                <w:szCs w:val="20"/>
              </w:rPr>
            </w:pPr>
            <w:r>
              <w:rPr>
                <w:rFonts w:ascii="Arial Narrow" w:hAnsi="Arial Narrow"/>
                <w:sz w:val="20"/>
                <w:szCs w:val="20"/>
              </w:rPr>
              <w:t>14</w:t>
            </w:r>
            <w:r>
              <w:rPr>
                <w:rFonts w:ascii="Arial Narrow" w:hAnsi="Arial Narrow"/>
                <w:sz w:val="20"/>
                <w:szCs w:val="20"/>
              </w:rPr>
              <w:t>$$$$$</w:t>
            </w:r>
          </w:p>
        </w:tc>
      </w:tr>
      <w:tr w:rsidR="0069181D" w:rsidRPr="00892F64" w14:paraId="7689C42D" w14:textId="77777777" w:rsidTr="00492ABD">
        <w:tc>
          <w:tcPr>
            <w:tcW w:w="4315" w:type="dxa"/>
          </w:tcPr>
          <w:p w14:paraId="77D67797" w14:textId="643B538A"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9B6D802" w14:textId="5830347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5</w:t>
            </w:r>
            <w:r>
              <w:rPr>
                <w:rFonts w:ascii="Arial Narrow" w:hAnsi="Arial Narrow"/>
                <w:sz w:val="20"/>
                <w:szCs w:val="20"/>
              </w:rPr>
              <w:t>$$$$$</w:t>
            </w:r>
          </w:p>
        </w:tc>
      </w:tr>
      <w:tr w:rsidR="0069181D" w:rsidRPr="00892F64" w14:paraId="0E302BFC" w14:textId="77777777" w:rsidTr="00492ABD">
        <w:tc>
          <w:tcPr>
            <w:tcW w:w="4315" w:type="dxa"/>
          </w:tcPr>
          <w:p w14:paraId="1E37F181" w14:textId="5EFA18F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3389EC7" w14:textId="070EF1E4"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6</w:t>
            </w:r>
            <w:r>
              <w:rPr>
                <w:rFonts w:ascii="Arial Narrow" w:hAnsi="Arial Narrow"/>
                <w:sz w:val="20"/>
                <w:szCs w:val="20"/>
              </w:rPr>
              <w:t>$$$$$</w:t>
            </w:r>
          </w:p>
        </w:tc>
      </w:tr>
      <w:tr w:rsidR="0069181D" w:rsidRPr="00892F64" w14:paraId="7FE162DA" w14:textId="77777777" w:rsidTr="00492ABD">
        <w:trPr>
          <w:trHeight w:val="431"/>
        </w:trPr>
        <w:tc>
          <w:tcPr>
            <w:tcW w:w="4315" w:type="dxa"/>
          </w:tcPr>
          <w:p w14:paraId="69142767" w14:textId="7BF5AF5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lastRenderedPageBreak/>
              <w:t>1</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27263C38" w14:textId="77777777" w:rsidTr="00492ABD">
              <w:tc>
                <w:tcPr>
                  <w:tcW w:w="49" w:type="dxa"/>
                  <w:tcBorders>
                    <w:top w:val="nil"/>
                    <w:left w:val="nil"/>
                    <w:bottom w:val="nil"/>
                    <w:right w:val="nil"/>
                  </w:tcBorders>
                  <w:vAlign w:val="center"/>
                  <w:hideMark/>
                </w:tcPr>
                <w:p w14:paraId="453897D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00E108C3" w14:textId="77777777" w:rsidR="0069181D" w:rsidRPr="00892F64" w:rsidRDefault="0069181D" w:rsidP="00492ABD">
            <w:pPr>
              <w:spacing w:line="240" w:lineRule="auto"/>
              <w:rPr>
                <w:rFonts w:ascii="Arial Narrow" w:hAnsi="Arial Narrow"/>
                <w:sz w:val="20"/>
                <w:szCs w:val="20"/>
              </w:rPr>
            </w:pPr>
          </w:p>
        </w:tc>
        <w:tc>
          <w:tcPr>
            <w:tcW w:w="5130" w:type="dxa"/>
          </w:tcPr>
          <w:p w14:paraId="5419E134" w14:textId="53A9CAC3"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7</w:t>
            </w:r>
            <w:r>
              <w:rPr>
                <w:rFonts w:ascii="Arial Narrow" w:hAnsi="Arial Narrow"/>
                <w:sz w:val="20"/>
                <w:szCs w:val="20"/>
              </w:rPr>
              <w:t>$$$$$</w:t>
            </w:r>
          </w:p>
        </w:tc>
      </w:tr>
      <w:tr w:rsidR="0069181D" w:rsidRPr="00892F64" w14:paraId="54A2F84E" w14:textId="77777777" w:rsidTr="00492ABD">
        <w:tc>
          <w:tcPr>
            <w:tcW w:w="4315" w:type="dxa"/>
          </w:tcPr>
          <w:p w14:paraId="049A3E22" w14:textId="03FFC9F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2C4E586C" w14:textId="7B7E26FF" w:rsidR="0069181D" w:rsidRPr="00892F64" w:rsidRDefault="0069181D" w:rsidP="00492ABD">
            <w:pPr>
              <w:spacing w:line="240" w:lineRule="auto"/>
              <w:rPr>
                <w:rFonts w:ascii="Arial Narrow" w:hAnsi="Arial Narrow"/>
                <w:sz w:val="20"/>
                <w:szCs w:val="20"/>
              </w:rPr>
            </w:pPr>
            <w:r>
              <w:rPr>
                <w:rFonts w:ascii="Arial Narrow" w:hAnsi="Arial Narrow"/>
                <w:sz w:val="20"/>
                <w:szCs w:val="20"/>
              </w:rPr>
              <w:t>1</w:t>
            </w:r>
            <w:r>
              <w:rPr>
                <w:rFonts w:ascii="Arial Narrow" w:hAnsi="Arial Narrow"/>
                <w:sz w:val="20"/>
                <w:szCs w:val="20"/>
              </w:rPr>
              <w:t>8</w:t>
            </w:r>
            <w:r>
              <w:rPr>
                <w:rFonts w:ascii="Arial Narrow" w:hAnsi="Arial Narrow"/>
                <w:sz w:val="20"/>
                <w:szCs w:val="20"/>
              </w:rPr>
              <w:t>$$$$$</w:t>
            </w:r>
          </w:p>
        </w:tc>
      </w:tr>
    </w:tbl>
    <w:p w14:paraId="11EDAAE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3E4CD20B" w14:textId="77777777" w:rsidTr="00492ABD">
        <w:tc>
          <w:tcPr>
            <w:tcW w:w="4315" w:type="dxa"/>
          </w:tcPr>
          <w:p w14:paraId="65C11071" w14:textId="55A1617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1</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3AA09A50" w14:textId="192BEE6C" w:rsidR="0069181D" w:rsidRPr="00892F64" w:rsidRDefault="0069181D" w:rsidP="00492ABD">
            <w:pPr>
              <w:spacing w:line="240" w:lineRule="auto"/>
              <w:rPr>
                <w:rFonts w:ascii="Arial Narrow" w:hAnsi="Arial Narrow"/>
                <w:sz w:val="20"/>
                <w:szCs w:val="20"/>
              </w:rPr>
            </w:pPr>
            <w:r>
              <w:rPr>
                <w:rFonts w:ascii="Arial Narrow" w:hAnsi="Arial Narrow"/>
                <w:sz w:val="20"/>
                <w:szCs w:val="20"/>
              </w:rPr>
              <w:t>19</w:t>
            </w:r>
            <w:r>
              <w:rPr>
                <w:rFonts w:ascii="Arial Narrow" w:hAnsi="Arial Narrow"/>
                <w:sz w:val="20"/>
                <w:szCs w:val="20"/>
              </w:rPr>
              <w:t>$$$$$</w:t>
            </w:r>
          </w:p>
        </w:tc>
      </w:tr>
      <w:tr w:rsidR="0069181D" w:rsidRPr="00892F64" w14:paraId="0764D8DA" w14:textId="77777777" w:rsidTr="00492ABD">
        <w:tc>
          <w:tcPr>
            <w:tcW w:w="4315" w:type="dxa"/>
          </w:tcPr>
          <w:p w14:paraId="2422C7D0" w14:textId="6275E30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20</w:t>
            </w:r>
            <w:r>
              <w:rPr>
                <w:rFonts w:ascii="Arial Narrow" w:hAnsi="Arial Narrow"/>
                <w:color w:val="000000" w:themeColor="text1"/>
                <w:sz w:val="20"/>
                <w:szCs w:val="20"/>
              </w:rPr>
              <w:t>#####</w:t>
            </w:r>
          </w:p>
        </w:tc>
        <w:tc>
          <w:tcPr>
            <w:tcW w:w="5130" w:type="dxa"/>
          </w:tcPr>
          <w:p w14:paraId="65584BE7" w14:textId="2146A332"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20</w:t>
            </w:r>
            <w:r>
              <w:rPr>
                <w:rFonts w:ascii="Arial Narrow" w:hAnsi="Arial Narrow"/>
                <w:sz w:val="20"/>
                <w:szCs w:val="20"/>
              </w:rPr>
              <w:t>$$$$$</w:t>
            </w:r>
          </w:p>
        </w:tc>
      </w:tr>
      <w:tr w:rsidR="0069181D" w:rsidRPr="00892F64" w14:paraId="4074E9A6" w14:textId="77777777" w:rsidTr="00492ABD">
        <w:tc>
          <w:tcPr>
            <w:tcW w:w="4315" w:type="dxa"/>
          </w:tcPr>
          <w:p w14:paraId="42DFE74E" w14:textId="7F3590F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21</w:t>
            </w:r>
            <w:r>
              <w:rPr>
                <w:rFonts w:ascii="Arial Narrow" w:hAnsi="Arial Narrow"/>
                <w:color w:val="000000" w:themeColor="text1"/>
                <w:sz w:val="20"/>
                <w:szCs w:val="20"/>
              </w:rPr>
              <w:t>#####</w:t>
            </w:r>
          </w:p>
        </w:tc>
        <w:tc>
          <w:tcPr>
            <w:tcW w:w="5130" w:type="dxa"/>
          </w:tcPr>
          <w:p w14:paraId="22B97973" w14:textId="15ABEC81" w:rsidR="0069181D" w:rsidRPr="00892F64" w:rsidRDefault="0069181D" w:rsidP="00492ABD">
            <w:pPr>
              <w:spacing w:line="240" w:lineRule="auto"/>
              <w:rPr>
                <w:rFonts w:ascii="Arial Narrow" w:hAnsi="Arial Narrow"/>
                <w:sz w:val="20"/>
                <w:szCs w:val="20"/>
              </w:rPr>
            </w:pPr>
            <w:r>
              <w:rPr>
                <w:rFonts w:ascii="Arial Narrow" w:hAnsi="Arial Narrow"/>
                <w:sz w:val="20"/>
                <w:szCs w:val="20"/>
              </w:rPr>
              <w:t>21</w:t>
            </w:r>
            <w:r>
              <w:rPr>
                <w:rFonts w:ascii="Arial Narrow" w:hAnsi="Arial Narrow"/>
                <w:sz w:val="20"/>
                <w:szCs w:val="20"/>
              </w:rPr>
              <w:t>$$$$$</w:t>
            </w:r>
          </w:p>
        </w:tc>
      </w:tr>
      <w:tr w:rsidR="0069181D" w:rsidRPr="00892F64" w14:paraId="704D2DB6" w14:textId="77777777" w:rsidTr="00492ABD">
        <w:trPr>
          <w:trHeight w:val="431"/>
        </w:trPr>
        <w:tc>
          <w:tcPr>
            <w:tcW w:w="4315" w:type="dxa"/>
          </w:tcPr>
          <w:p w14:paraId="603459F9" w14:textId="60DF89EF"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05D20779" w14:textId="77777777" w:rsidTr="00492ABD">
              <w:tc>
                <w:tcPr>
                  <w:tcW w:w="49" w:type="dxa"/>
                  <w:tcBorders>
                    <w:top w:val="nil"/>
                    <w:left w:val="nil"/>
                    <w:bottom w:val="nil"/>
                    <w:right w:val="nil"/>
                  </w:tcBorders>
                  <w:vAlign w:val="center"/>
                  <w:hideMark/>
                </w:tcPr>
                <w:p w14:paraId="536C8909"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5756154" w14:textId="77777777" w:rsidR="0069181D" w:rsidRPr="00892F64" w:rsidRDefault="0069181D" w:rsidP="00492ABD">
            <w:pPr>
              <w:spacing w:line="240" w:lineRule="auto"/>
              <w:rPr>
                <w:rFonts w:ascii="Arial Narrow" w:hAnsi="Arial Narrow"/>
                <w:sz w:val="20"/>
                <w:szCs w:val="20"/>
              </w:rPr>
            </w:pPr>
          </w:p>
        </w:tc>
        <w:tc>
          <w:tcPr>
            <w:tcW w:w="5130" w:type="dxa"/>
          </w:tcPr>
          <w:p w14:paraId="6323D271" w14:textId="756E8580" w:rsidR="0069181D" w:rsidRPr="00892F64" w:rsidRDefault="0069181D" w:rsidP="00492ABD">
            <w:pPr>
              <w:spacing w:line="240" w:lineRule="auto"/>
              <w:rPr>
                <w:rFonts w:ascii="Arial Narrow" w:hAnsi="Arial Narrow"/>
                <w:sz w:val="20"/>
                <w:szCs w:val="20"/>
              </w:rPr>
            </w:pPr>
            <w:r>
              <w:rPr>
                <w:rFonts w:ascii="Arial Narrow" w:hAnsi="Arial Narrow"/>
                <w:sz w:val="20"/>
                <w:szCs w:val="20"/>
              </w:rPr>
              <w:t>22</w:t>
            </w:r>
            <w:r>
              <w:rPr>
                <w:rFonts w:ascii="Arial Narrow" w:hAnsi="Arial Narrow"/>
                <w:sz w:val="20"/>
                <w:szCs w:val="20"/>
              </w:rPr>
              <w:t>$$$$$</w:t>
            </w:r>
          </w:p>
        </w:tc>
      </w:tr>
      <w:tr w:rsidR="0069181D" w:rsidRPr="00892F64" w14:paraId="1D14E2A5" w14:textId="77777777" w:rsidTr="00492ABD">
        <w:tc>
          <w:tcPr>
            <w:tcW w:w="4315" w:type="dxa"/>
          </w:tcPr>
          <w:p w14:paraId="5BDF9833" w14:textId="1CA0874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23</w:t>
            </w:r>
            <w:r>
              <w:rPr>
                <w:rFonts w:ascii="Arial Narrow" w:hAnsi="Arial Narrow"/>
                <w:color w:val="000000" w:themeColor="text1"/>
                <w:sz w:val="20"/>
                <w:szCs w:val="20"/>
              </w:rPr>
              <w:t>#####</w:t>
            </w:r>
          </w:p>
        </w:tc>
        <w:tc>
          <w:tcPr>
            <w:tcW w:w="5130" w:type="dxa"/>
          </w:tcPr>
          <w:p w14:paraId="2BDECAC0" w14:textId="129F48CD" w:rsidR="0069181D" w:rsidRPr="00892F64" w:rsidRDefault="0069181D" w:rsidP="00492ABD">
            <w:pPr>
              <w:spacing w:line="240" w:lineRule="auto"/>
              <w:rPr>
                <w:rFonts w:ascii="Arial Narrow" w:hAnsi="Arial Narrow"/>
                <w:sz w:val="20"/>
                <w:szCs w:val="20"/>
              </w:rPr>
            </w:pPr>
            <w:r>
              <w:rPr>
                <w:rFonts w:ascii="Arial Narrow" w:hAnsi="Arial Narrow"/>
                <w:sz w:val="20"/>
                <w:szCs w:val="20"/>
              </w:rPr>
              <w:t>23</w:t>
            </w:r>
            <w:r>
              <w:rPr>
                <w:rFonts w:ascii="Arial Narrow" w:hAnsi="Arial Narrow"/>
                <w:sz w:val="20"/>
                <w:szCs w:val="20"/>
              </w:rPr>
              <w:t>$$$$$</w:t>
            </w:r>
          </w:p>
        </w:tc>
      </w:tr>
    </w:tbl>
    <w:p w14:paraId="4547A4F0"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7C223DBD" w14:textId="77777777" w:rsidTr="00492ABD">
        <w:tc>
          <w:tcPr>
            <w:tcW w:w="4315" w:type="dxa"/>
          </w:tcPr>
          <w:p w14:paraId="16438D1B" w14:textId="0AD5A650"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24</w:t>
            </w:r>
            <w:r>
              <w:rPr>
                <w:rFonts w:ascii="Arial Narrow" w:hAnsi="Arial Narrow"/>
                <w:color w:val="000000" w:themeColor="text1"/>
                <w:sz w:val="20"/>
                <w:szCs w:val="20"/>
              </w:rPr>
              <w:t>#####</w:t>
            </w:r>
          </w:p>
        </w:tc>
        <w:tc>
          <w:tcPr>
            <w:tcW w:w="5130" w:type="dxa"/>
          </w:tcPr>
          <w:p w14:paraId="388908C5" w14:textId="3FC000A1" w:rsidR="0069181D" w:rsidRPr="00892F64" w:rsidRDefault="0069181D" w:rsidP="00492ABD">
            <w:pPr>
              <w:spacing w:line="240" w:lineRule="auto"/>
              <w:rPr>
                <w:rFonts w:ascii="Arial Narrow" w:hAnsi="Arial Narrow"/>
                <w:sz w:val="20"/>
                <w:szCs w:val="20"/>
              </w:rPr>
            </w:pPr>
            <w:r>
              <w:rPr>
                <w:rFonts w:ascii="Arial Narrow" w:hAnsi="Arial Narrow"/>
                <w:sz w:val="20"/>
                <w:szCs w:val="20"/>
              </w:rPr>
              <w:t>24</w:t>
            </w:r>
            <w:r>
              <w:rPr>
                <w:rFonts w:ascii="Arial Narrow" w:hAnsi="Arial Narrow"/>
                <w:sz w:val="20"/>
                <w:szCs w:val="20"/>
              </w:rPr>
              <w:t>$$$$$</w:t>
            </w:r>
          </w:p>
        </w:tc>
      </w:tr>
      <w:tr w:rsidR="0069181D" w:rsidRPr="00892F64" w14:paraId="1BE85659" w14:textId="77777777" w:rsidTr="00492ABD">
        <w:tc>
          <w:tcPr>
            <w:tcW w:w="4315" w:type="dxa"/>
          </w:tcPr>
          <w:p w14:paraId="48A76323" w14:textId="32A99B4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589309B5" w14:textId="433330E0"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5</w:t>
            </w:r>
            <w:r>
              <w:rPr>
                <w:rFonts w:ascii="Arial Narrow" w:hAnsi="Arial Narrow"/>
                <w:sz w:val="20"/>
                <w:szCs w:val="20"/>
              </w:rPr>
              <w:t>$$$$$</w:t>
            </w:r>
          </w:p>
        </w:tc>
      </w:tr>
      <w:tr w:rsidR="0069181D" w:rsidRPr="00892F64" w14:paraId="1F6484D9" w14:textId="77777777" w:rsidTr="00492ABD">
        <w:tc>
          <w:tcPr>
            <w:tcW w:w="4315" w:type="dxa"/>
          </w:tcPr>
          <w:p w14:paraId="3B4555E5" w14:textId="0C0D02A4"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6DFD098E" w14:textId="3DEA4DD7"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6</w:t>
            </w:r>
            <w:r>
              <w:rPr>
                <w:rFonts w:ascii="Arial Narrow" w:hAnsi="Arial Narrow"/>
                <w:sz w:val="20"/>
                <w:szCs w:val="20"/>
              </w:rPr>
              <w:t>$$$$$</w:t>
            </w:r>
          </w:p>
        </w:tc>
      </w:tr>
      <w:tr w:rsidR="0069181D" w:rsidRPr="00892F64" w14:paraId="5DC99A81" w14:textId="77777777" w:rsidTr="00492ABD">
        <w:trPr>
          <w:trHeight w:val="431"/>
        </w:trPr>
        <w:tc>
          <w:tcPr>
            <w:tcW w:w="4315" w:type="dxa"/>
          </w:tcPr>
          <w:p w14:paraId="6E4940D6" w14:textId="0E16904C"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44CFFF2" w14:textId="77777777" w:rsidTr="00492ABD">
              <w:tc>
                <w:tcPr>
                  <w:tcW w:w="49" w:type="dxa"/>
                  <w:tcBorders>
                    <w:top w:val="nil"/>
                    <w:left w:val="nil"/>
                    <w:bottom w:val="nil"/>
                    <w:right w:val="nil"/>
                  </w:tcBorders>
                  <w:vAlign w:val="center"/>
                  <w:hideMark/>
                </w:tcPr>
                <w:p w14:paraId="0B4940F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903A8B3" w14:textId="77777777" w:rsidR="0069181D" w:rsidRPr="00892F64" w:rsidRDefault="0069181D" w:rsidP="00492ABD">
            <w:pPr>
              <w:spacing w:line="240" w:lineRule="auto"/>
              <w:rPr>
                <w:rFonts w:ascii="Arial Narrow" w:hAnsi="Arial Narrow"/>
                <w:sz w:val="20"/>
                <w:szCs w:val="20"/>
              </w:rPr>
            </w:pPr>
          </w:p>
        </w:tc>
        <w:tc>
          <w:tcPr>
            <w:tcW w:w="5130" w:type="dxa"/>
          </w:tcPr>
          <w:p w14:paraId="4C6BC74C" w14:textId="36083609"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7</w:t>
            </w:r>
            <w:r>
              <w:rPr>
                <w:rFonts w:ascii="Arial Narrow" w:hAnsi="Arial Narrow"/>
                <w:sz w:val="20"/>
                <w:szCs w:val="20"/>
              </w:rPr>
              <w:t>$$$$$</w:t>
            </w:r>
          </w:p>
        </w:tc>
      </w:tr>
      <w:tr w:rsidR="0069181D" w:rsidRPr="00892F64" w14:paraId="13573EB7" w14:textId="77777777" w:rsidTr="00492ABD">
        <w:tc>
          <w:tcPr>
            <w:tcW w:w="4315" w:type="dxa"/>
          </w:tcPr>
          <w:p w14:paraId="1A393649" w14:textId="2EB4837E"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1FE445D2" w14:textId="4F6144C2" w:rsidR="0069181D" w:rsidRPr="00892F64" w:rsidRDefault="0069181D" w:rsidP="00492ABD">
            <w:pPr>
              <w:spacing w:line="240" w:lineRule="auto"/>
              <w:rPr>
                <w:rFonts w:ascii="Arial Narrow" w:hAnsi="Arial Narrow"/>
                <w:sz w:val="20"/>
                <w:szCs w:val="20"/>
              </w:rPr>
            </w:pPr>
            <w:r>
              <w:rPr>
                <w:rFonts w:ascii="Arial Narrow" w:hAnsi="Arial Narrow"/>
                <w:sz w:val="20"/>
                <w:szCs w:val="20"/>
              </w:rPr>
              <w:t>2</w:t>
            </w:r>
            <w:r>
              <w:rPr>
                <w:rFonts w:ascii="Arial Narrow" w:hAnsi="Arial Narrow"/>
                <w:sz w:val="20"/>
                <w:szCs w:val="20"/>
              </w:rPr>
              <w:t>8</w:t>
            </w:r>
            <w:r>
              <w:rPr>
                <w:rFonts w:ascii="Arial Narrow" w:hAnsi="Arial Narrow"/>
                <w:sz w:val="20"/>
                <w:szCs w:val="20"/>
              </w:rPr>
              <w:t>$$$$$</w:t>
            </w:r>
          </w:p>
        </w:tc>
      </w:tr>
    </w:tbl>
    <w:p w14:paraId="00091D85"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1B007F43" w14:textId="77777777" w:rsidTr="00492ABD">
        <w:tc>
          <w:tcPr>
            <w:tcW w:w="4315" w:type="dxa"/>
          </w:tcPr>
          <w:p w14:paraId="78BE1609" w14:textId="171A07D6"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2</w:t>
            </w:r>
            <w:r>
              <w:rPr>
                <w:rFonts w:ascii="Arial Narrow" w:hAnsi="Arial Narrow"/>
                <w:color w:val="000000" w:themeColor="text1"/>
                <w:sz w:val="20"/>
                <w:szCs w:val="20"/>
              </w:rPr>
              <w:t>9</w:t>
            </w:r>
            <w:r>
              <w:rPr>
                <w:rFonts w:ascii="Arial Narrow" w:hAnsi="Arial Narrow"/>
                <w:color w:val="000000" w:themeColor="text1"/>
                <w:sz w:val="20"/>
                <w:szCs w:val="20"/>
              </w:rPr>
              <w:t>#####</w:t>
            </w:r>
          </w:p>
        </w:tc>
        <w:tc>
          <w:tcPr>
            <w:tcW w:w="5130" w:type="dxa"/>
          </w:tcPr>
          <w:p w14:paraId="2F60433E" w14:textId="2A0C434F" w:rsidR="0069181D" w:rsidRPr="00892F64" w:rsidRDefault="0069181D" w:rsidP="00492ABD">
            <w:pPr>
              <w:spacing w:line="240" w:lineRule="auto"/>
              <w:rPr>
                <w:rFonts w:ascii="Arial Narrow" w:hAnsi="Arial Narrow"/>
                <w:sz w:val="20"/>
                <w:szCs w:val="20"/>
              </w:rPr>
            </w:pPr>
            <w:r>
              <w:rPr>
                <w:rFonts w:ascii="Arial Narrow" w:hAnsi="Arial Narrow"/>
                <w:sz w:val="20"/>
                <w:szCs w:val="20"/>
              </w:rPr>
              <w:t>29</w:t>
            </w:r>
            <w:r>
              <w:rPr>
                <w:rFonts w:ascii="Arial Narrow" w:hAnsi="Arial Narrow"/>
                <w:sz w:val="20"/>
                <w:szCs w:val="20"/>
              </w:rPr>
              <w:t>$$$$$</w:t>
            </w:r>
          </w:p>
        </w:tc>
      </w:tr>
      <w:tr w:rsidR="0069181D" w:rsidRPr="00892F64" w14:paraId="72B79708" w14:textId="77777777" w:rsidTr="00492ABD">
        <w:tc>
          <w:tcPr>
            <w:tcW w:w="4315" w:type="dxa"/>
          </w:tcPr>
          <w:p w14:paraId="7D1EE9BB" w14:textId="4FD8DCF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30</w:t>
            </w:r>
            <w:r>
              <w:rPr>
                <w:rFonts w:ascii="Arial Narrow" w:hAnsi="Arial Narrow"/>
                <w:color w:val="000000" w:themeColor="text1"/>
                <w:sz w:val="20"/>
                <w:szCs w:val="20"/>
              </w:rPr>
              <w:t>#####</w:t>
            </w:r>
          </w:p>
        </w:tc>
        <w:tc>
          <w:tcPr>
            <w:tcW w:w="5130" w:type="dxa"/>
          </w:tcPr>
          <w:p w14:paraId="25F99436" w14:textId="14685F66"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30</w:t>
            </w:r>
            <w:r>
              <w:rPr>
                <w:rFonts w:ascii="Arial Narrow" w:hAnsi="Arial Narrow"/>
                <w:sz w:val="20"/>
                <w:szCs w:val="20"/>
              </w:rPr>
              <w:t>$$$$$</w:t>
            </w:r>
          </w:p>
        </w:tc>
      </w:tr>
      <w:tr w:rsidR="0069181D" w:rsidRPr="00892F64" w14:paraId="69EEFC8F" w14:textId="77777777" w:rsidTr="00492ABD">
        <w:tc>
          <w:tcPr>
            <w:tcW w:w="4315" w:type="dxa"/>
          </w:tcPr>
          <w:p w14:paraId="082A0FB0" w14:textId="58282A9F"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31</w:t>
            </w:r>
            <w:r>
              <w:rPr>
                <w:rFonts w:ascii="Arial Narrow" w:hAnsi="Arial Narrow"/>
                <w:color w:val="000000" w:themeColor="text1"/>
                <w:sz w:val="20"/>
                <w:szCs w:val="20"/>
              </w:rPr>
              <w:t>#####</w:t>
            </w:r>
          </w:p>
        </w:tc>
        <w:tc>
          <w:tcPr>
            <w:tcW w:w="5130" w:type="dxa"/>
          </w:tcPr>
          <w:p w14:paraId="50A87721" w14:textId="5AC8F0B8" w:rsidR="0069181D" w:rsidRPr="00892F64" w:rsidRDefault="0069181D" w:rsidP="00492ABD">
            <w:pPr>
              <w:spacing w:line="240" w:lineRule="auto"/>
              <w:rPr>
                <w:rFonts w:ascii="Arial Narrow" w:hAnsi="Arial Narrow"/>
                <w:sz w:val="20"/>
                <w:szCs w:val="20"/>
              </w:rPr>
            </w:pPr>
            <w:r>
              <w:rPr>
                <w:rFonts w:ascii="Arial Narrow" w:hAnsi="Arial Narrow"/>
                <w:sz w:val="20"/>
                <w:szCs w:val="20"/>
              </w:rPr>
              <w:t>31</w:t>
            </w:r>
            <w:r>
              <w:rPr>
                <w:rFonts w:ascii="Arial Narrow" w:hAnsi="Arial Narrow"/>
                <w:sz w:val="20"/>
                <w:szCs w:val="20"/>
              </w:rPr>
              <w:t>$$$$$</w:t>
            </w:r>
          </w:p>
        </w:tc>
      </w:tr>
      <w:tr w:rsidR="0069181D" w:rsidRPr="00892F64" w14:paraId="57C5DD87" w14:textId="77777777" w:rsidTr="00492ABD">
        <w:trPr>
          <w:trHeight w:val="431"/>
        </w:trPr>
        <w:tc>
          <w:tcPr>
            <w:tcW w:w="4315" w:type="dxa"/>
          </w:tcPr>
          <w:p w14:paraId="105BF669" w14:textId="7B7B050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721311F6" w14:textId="77777777" w:rsidTr="00492ABD">
              <w:tc>
                <w:tcPr>
                  <w:tcW w:w="49" w:type="dxa"/>
                  <w:tcBorders>
                    <w:top w:val="nil"/>
                    <w:left w:val="nil"/>
                    <w:bottom w:val="nil"/>
                    <w:right w:val="nil"/>
                  </w:tcBorders>
                  <w:vAlign w:val="center"/>
                  <w:hideMark/>
                </w:tcPr>
                <w:p w14:paraId="3308C24F"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60A4EC39" w14:textId="77777777" w:rsidR="0069181D" w:rsidRPr="00892F64" w:rsidRDefault="0069181D" w:rsidP="00492ABD">
            <w:pPr>
              <w:spacing w:line="240" w:lineRule="auto"/>
              <w:rPr>
                <w:rFonts w:ascii="Arial Narrow" w:hAnsi="Arial Narrow"/>
                <w:sz w:val="20"/>
                <w:szCs w:val="20"/>
              </w:rPr>
            </w:pPr>
          </w:p>
        </w:tc>
        <w:tc>
          <w:tcPr>
            <w:tcW w:w="5130" w:type="dxa"/>
          </w:tcPr>
          <w:p w14:paraId="3207293D" w14:textId="357A5277" w:rsidR="0069181D" w:rsidRPr="00892F64" w:rsidRDefault="0069181D" w:rsidP="00492ABD">
            <w:pPr>
              <w:spacing w:line="240" w:lineRule="auto"/>
              <w:rPr>
                <w:rFonts w:ascii="Arial Narrow" w:hAnsi="Arial Narrow"/>
                <w:sz w:val="20"/>
                <w:szCs w:val="20"/>
              </w:rPr>
            </w:pPr>
            <w:r>
              <w:rPr>
                <w:rFonts w:ascii="Arial Narrow" w:hAnsi="Arial Narrow"/>
                <w:sz w:val="20"/>
                <w:szCs w:val="20"/>
              </w:rPr>
              <w:t>32</w:t>
            </w:r>
            <w:r>
              <w:rPr>
                <w:rFonts w:ascii="Arial Narrow" w:hAnsi="Arial Narrow"/>
                <w:sz w:val="20"/>
                <w:szCs w:val="20"/>
              </w:rPr>
              <w:t>$$$$$</w:t>
            </w:r>
          </w:p>
        </w:tc>
      </w:tr>
      <w:tr w:rsidR="0069181D" w:rsidRPr="00892F64" w14:paraId="4E9FCBCC" w14:textId="77777777" w:rsidTr="00492ABD">
        <w:tc>
          <w:tcPr>
            <w:tcW w:w="4315" w:type="dxa"/>
          </w:tcPr>
          <w:p w14:paraId="5CD0721C" w14:textId="342845A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33</w:t>
            </w:r>
            <w:r>
              <w:rPr>
                <w:rFonts w:ascii="Arial Narrow" w:hAnsi="Arial Narrow"/>
                <w:color w:val="000000" w:themeColor="text1"/>
                <w:sz w:val="20"/>
                <w:szCs w:val="20"/>
              </w:rPr>
              <w:t>#####</w:t>
            </w:r>
          </w:p>
        </w:tc>
        <w:tc>
          <w:tcPr>
            <w:tcW w:w="5130" w:type="dxa"/>
          </w:tcPr>
          <w:p w14:paraId="43B695DB" w14:textId="1B7E18D8" w:rsidR="0069181D" w:rsidRPr="00892F64" w:rsidRDefault="0069181D" w:rsidP="00492ABD">
            <w:pPr>
              <w:spacing w:line="240" w:lineRule="auto"/>
              <w:rPr>
                <w:rFonts w:ascii="Arial Narrow" w:hAnsi="Arial Narrow"/>
                <w:sz w:val="20"/>
                <w:szCs w:val="20"/>
              </w:rPr>
            </w:pPr>
            <w:r>
              <w:rPr>
                <w:rFonts w:ascii="Arial Narrow" w:hAnsi="Arial Narrow"/>
                <w:sz w:val="20"/>
                <w:szCs w:val="20"/>
              </w:rPr>
              <w:t>33</w:t>
            </w:r>
            <w:r>
              <w:rPr>
                <w:rFonts w:ascii="Arial Narrow" w:hAnsi="Arial Narrow"/>
                <w:sz w:val="20"/>
                <w:szCs w:val="20"/>
              </w:rPr>
              <w:t>$$$$$</w:t>
            </w:r>
          </w:p>
        </w:tc>
      </w:tr>
    </w:tbl>
    <w:p w14:paraId="160F24D8"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6C4855D" w14:textId="77777777" w:rsidTr="00492ABD">
        <w:tc>
          <w:tcPr>
            <w:tcW w:w="4315" w:type="dxa"/>
          </w:tcPr>
          <w:p w14:paraId="5E0527AB" w14:textId="420BB42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34</w:t>
            </w:r>
            <w:r>
              <w:rPr>
                <w:rFonts w:ascii="Arial Narrow" w:hAnsi="Arial Narrow"/>
                <w:color w:val="000000" w:themeColor="text1"/>
                <w:sz w:val="20"/>
                <w:szCs w:val="20"/>
              </w:rPr>
              <w:t>#####</w:t>
            </w:r>
          </w:p>
        </w:tc>
        <w:tc>
          <w:tcPr>
            <w:tcW w:w="5130" w:type="dxa"/>
          </w:tcPr>
          <w:p w14:paraId="06CFA39D" w14:textId="62AC8296" w:rsidR="0069181D" w:rsidRPr="00892F64" w:rsidRDefault="0069181D" w:rsidP="00492ABD">
            <w:pPr>
              <w:spacing w:line="240" w:lineRule="auto"/>
              <w:rPr>
                <w:rFonts w:ascii="Arial Narrow" w:hAnsi="Arial Narrow"/>
                <w:sz w:val="20"/>
                <w:szCs w:val="20"/>
              </w:rPr>
            </w:pPr>
            <w:r>
              <w:rPr>
                <w:rFonts w:ascii="Arial Narrow" w:hAnsi="Arial Narrow"/>
                <w:sz w:val="20"/>
                <w:szCs w:val="20"/>
              </w:rPr>
              <w:t>34</w:t>
            </w:r>
            <w:r>
              <w:rPr>
                <w:rFonts w:ascii="Arial Narrow" w:hAnsi="Arial Narrow"/>
                <w:sz w:val="20"/>
                <w:szCs w:val="20"/>
              </w:rPr>
              <w:t>$$$$$</w:t>
            </w:r>
          </w:p>
        </w:tc>
      </w:tr>
      <w:tr w:rsidR="0069181D" w:rsidRPr="00892F64" w14:paraId="6DA9D0E4" w14:textId="77777777" w:rsidTr="00492ABD">
        <w:tc>
          <w:tcPr>
            <w:tcW w:w="4315" w:type="dxa"/>
          </w:tcPr>
          <w:p w14:paraId="1C3D3DFE" w14:textId="78DE098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5</w:t>
            </w:r>
            <w:r>
              <w:rPr>
                <w:rFonts w:ascii="Arial Narrow" w:hAnsi="Arial Narrow"/>
                <w:color w:val="000000" w:themeColor="text1"/>
                <w:sz w:val="20"/>
                <w:szCs w:val="20"/>
              </w:rPr>
              <w:t>#####</w:t>
            </w:r>
          </w:p>
        </w:tc>
        <w:tc>
          <w:tcPr>
            <w:tcW w:w="5130" w:type="dxa"/>
          </w:tcPr>
          <w:p w14:paraId="748000C1" w14:textId="0FE4D159"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35</w:t>
            </w:r>
            <w:r>
              <w:rPr>
                <w:rFonts w:ascii="Arial Narrow" w:hAnsi="Arial Narrow"/>
                <w:sz w:val="20"/>
                <w:szCs w:val="20"/>
              </w:rPr>
              <w:t>$$$$$</w:t>
            </w:r>
          </w:p>
        </w:tc>
      </w:tr>
      <w:tr w:rsidR="0069181D" w:rsidRPr="00892F64" w14:paraId="050FC0BC" w14:textId="77777777" w:rsidTr="00492ABD">
        <w:tc>
          <w:tcPr>
            <w:tcW w:w="4315" w:type="dxa"/>
          </w:tcPr>
          <w:p w14:paraId="26BFA082" w14:textId="09A3CE95"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6</w:t>
            </w:r>
            <w:r>
              <w:rPr>
                <w:rFonts w:ascii="Arial Narrow" w:hAnsi="Arial Narrow"/>
                <w:color w:val="000000" w:themeColor="text1"/>
                <w:sz w:val="20"/>
                <w:szCs w:val="20"/>
              </w:rPr>
              <w:t>#####</w:t>
            </w:r>
          </w:p>
        </w:tc>
        <w:tc>
          <w:tcPr>
            <w:tcW w:w="5130" w:type="dxa"/>
          </w:tcPr>
          <w:p w14:paraId="207D6170" w14:textId="2839FCE4"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6</w:t>
            </w:r>
            <w:r>
              <w:rPr>
                <w:rFonts w:ascii="Arial Narrow" w:hAnsi="Arial Narrow"/>
                <w:sz w:val="20"/>
                <w:szCs w:val="20"/>
              </w:rPr>
              <w:t>$$$$$</w:t>
            </w:r>
          </w:p>
        </w:tc>
      </w:tr>
      <w:tr w:rsidR="0069181D" w:rsidRPr="00892F64" w14:paraId="2AD00CF3" w14:textId="77777777" w:rsidTr="00492ABD">
        <w:trPr>
          <w:trHeight w:val="431"/>
        </w:trPr>
        <w:tc>
          <w:tcPr>
            <w:tcW w:w="4315" w:type="dxa"/>
          </w:tcPr>
          <w:p w14:paraId="4861A4DE" w14:textId="5E498194"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7</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1ADE4DE7" w14:textId="77777777" w:rsidTr="00492ABD">
              <w:tc>
                <w:tcPr>
                  <w:tcW w:w="49" w:type="dxa"/>
                  <w:tcBorders>
                    <w:top w:val="nil"/>
                    <w:left w:val="nil"/>
                    <w:bottom w:val="nil"/>
                    <w:right w:val="nil"/>
                  </w:tcBorders>
                  <w:vAlign w:val="center"/>
                  <w:hideMark/>
                </w:tcPr>
                <w:p w14:paraId="64FEB7CE"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D5F5841" w14:textId="77777777" w:rsidR="0069181D" w:rsidRPr="00892F64" w:rsidRDefault="0069181D" w:rsidP="00492ABD">
            <w:pPr>
              <w:spacing w:line="240" w:lineRule="auto"/>
              <w:rPr>
                <w:rFonts w:ascii="Arial Narrow" w:hAnsi="Arial Narrow"/>
                <w:sz w:val="20"/>
                <w:szCs w:val="20"/>
              </w:rPr>
            </w:pPr>
          </w:p>
        </w:tc>
        <w:tc>
          <w:tcPr>
            <w:tcW w:w="5130" w:type="dxa"/>
          </w:tcPr>
          <w:p w14:paraId="2DC99E70" w14:textId="5C605912"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7</w:t>
            </w:r>
            <w:r>
              <w:rPr>
                <w:rFonts w:ascii="Arial Narrow" w:hAnsi="Arial Narrow"/>
                <w:sz w:val="20"/>
                <w:szCs w:val="20"/>
              </w:rPr>
              <w:t>$$$$$</w:t>
            </w:r>
          </w:p>
        </w:tc>
      </w:tr>
      <w:tr w:rsidR="0069181D" w:rsidRPr="00892F64" w14:paraId="50C25A33" w14:textId="77777777" w:rsidTr="00492ABD">
        <w:tc>
          <w:tcPr>
            <w:tcW w:w="4315" w:type="dxa"/>
          </w:tcPr>
          <w:p w14:paraId="0A8D8D17" w14:textId="39E2A60B"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w:t>
            </w:r>
            <w:r>
              <w:rPr>
                <w:rFonts w:ascii="Arial Narrow" w:hAnsi="Arial Narrow"/>
                <w:color w:val="000000" w:themeColor="text1"/>
                <w:sz w:val="20"/>
                <w:szCs w:val="20"/>
              </w:rPr>
              <w:t>8</w:t>
            </w:r>
            <w:r>
              <w:rPr>
                <w:rFonts w:ascii="Arial Narrow" w:hAnsi="Arial Narrow"/>
                <w:color w:val="000000" w:themeColor="text1"/>
                <w:sz w:val="20"/>
                <w:szCs w:val="20"/>
              </w:rPr>
              <w:t>#####</w:t>
            </w:r>
          </w:p>
        </w:tc>
        <w:tc>
          <w:tcPr>
            <w:tcW w:w="5130" w:type="dxa"/>
          </w:tcPr>
          <w:p w14:paraId="736A516B" w14:textId="50C14271" w:rsidR="0069181D" w:rsidRPr="00892F64" w:rsidRDefault="0069181D" w:rsidP="00492ABD">
            <w:pPr>
              <w:spacing w:line="240" w:lineRule="auto"/>
              <w:rPr>
                <w:rFonts w:ascii="Arial Narrow" w:hAnsi="Arial Narrow"/>
                <w:sz w:val="20"/>
                <w:szCs w:val="20"/>
              </w:rPr>
            </w:pPr>
            <w:r>
              <w:rPr>
                <w:rFonts w:ascii="Arial Narrow" w:hAnsi="Arial Narrow"/>
                <w:sz w:val="20"/>
                <w:szCs w:val="20"/>
              </w:rPr>
              <w:t>3</w:t>
            </w:r>
            <w:r>
              <w:rPr>
                <w:rFonts w:ascii="Arial Narrow" w:hAnsi="Arial Narrow"/>
                <w:sz w:val="20"/>
                <w:szCs w:val="20"/>
              </w:rPr>
              <w:t>8</w:t>
            </w:r>
            <w:r>
              <w:rPr>
                <w:rFonts w:ascii="Arial Narrow" w:hAnsi="Arial Narrow"/>
                <w:sz w:val="20"/>
                <w:szCs w:val="20"/>
              </w:rPr>
              <w:t>$$$$$</w:t>
            </w:r>
          </w:p>
        </w:tc>
      </w:tr>
    </w:tbl>
    <w:p w14:paraId="0FC04224" w14:textId="77777777" w:rsidR="0069181D" w:rsidRDefault="0069181D" w:rsidP="0069181D"/>
    <w:tbl>
      <w:tblPr>
        <w:tblStyle w:val="TableGrid"/>
        <w:tblW w:w="944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315"/>
        <w:gridCol w:w="5130"/>
      </w:tblGrid>
      <w:tr w:rsidR="0069181D" w:rsidRPr="00892F64" w14:paraId="6BD2641C" w14:textId="77777777" w:rsidTr="00492ABD">
        <w:tc>
          <w:tcPr>
            <w:tcW w:w="4315" w:type="dxa"/>
          </w:tcPr>
          <w:p w14:paraId="5DB607C3" w14:textId="25BDBFCC"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39</w:t>
            </w:r>
            <w:r>
              <w:rPr>
                <w:rFonts w:ascii="Arial Narrow" w:hAnsi="Arial Narrow"/>
                <w:color w:val="000000" w:themeColor="text1"/>
                <w:sz w:val="20"/>
                <w:szCs w:val="20"/>
              </w:rPr>
              <w:t>#####</w:t>
            </w:r>
          </w:p>
        </w:tc>
        <w:tc>
          <w:tcPr>
            <w:tcW w:w="5130" w:type="dxa"/>
          </w:tcPr>
          <w:p w14:paraId="2B54B5E2" w14:textId="0E15D141" w:rsidR="0069181D" w:rsidRPr="00892F64" w:rsidRDefault="0069181D" w:rsidP="00492ABD">
            <w:pPr>
              <w:spacing w:line="240" w:lineRule="auto"/>
              <w:rPr>
                <w:rFonts w:ascii="Arial Narrow" w:hAnsi="Arial Narrow"/>
                <w:sz w:val="20"/>
                <w:szCs w:val="20"/>
              </w:rPr>
            </w:pPr>
            <w:r>
              <w:rPr>
                <w:rFonts w:ascii="Arial Narrow" w:hAnsi="Arial Narrow"/>
                <w:sz w:val="20"/>
                <w:szCs w:val="20"/>
              </w:rPr>
              <w:t>39</w:t>
            </w:r>
            <w:r>
              <w:rPr>
                <w:rFonts w:ascii="Arial Narrow" w:hAnsi="Arial Narrow"/>
                <w:sz w:val="20"/>
                <w:szCs w:val="20"/>
              </w:rPr>
              <w:t>$$$$$</w:t>
            </w:r>
          </w:p>
        </w:tc>
      </w:tr>
      <w:tr w:rsidR="0069181D" w:rsidRPr="00892F64" w14:paraId="4589C7F0" w14:textId="77777777" w:rsidTr="00492ABD">
        <w:tc>
          <w:tcPr>
            <w:tcW w:w="4315" w:type="dxa"/>
          </w:tcPr>
          <w:p w14:paraId="01576B2E" w14:textId="45E2D799"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40</w:t>
            </w:r>
            <w:r>
              <w:rPr>
                <w:rFonts w:ascii="Arial Narrow" w:hAnsi="Arial Narrow"/>
                <w:color w:val="000000" w:themeColor="text1"/>
                <w:sz w:val="20"/>
                <w:szCs w:val="20"/>
              </w:rPr>
              <w:t>#####</w:t>
            </w:r>
          </w:p>
        </w:tc>
        <w:tc>
          <w:tcPr>
            <w:tcW w:w="5130" w:type="dxa"/>
          </w:tcPr>
          <w:p w14:paraId="11B7717F" w14:textId="520B34C7" w:rsidR="0069181D" w:rsidRPr="00892F64" w:rsidRDefault="0069181D" w:rsidP="00492ABD">
            <w:pPr>
              <w:autoSpaceDE w:val="0"/>
              <w:autoSpaceDN w:val="0"/>
              <w:adjustRightInd w:val="0"/>
              <w:spacing w:line="240" w:lineRule="auto"/>
              <w:rPr>
                <w:rFonts w:ascii="Arial Narrow" w:hAnsi="Arial Narrow"/>
                <w:sz w:val="20"/>
                <w:szCs w:val="20"/>
              </w:rPr>
            </w:pPr>
            <w:r>
              <w:rPr>
                <w:rFonts w:ascii="Arial Narrow" w:hAnsi="Arial Narrow"/>
                <w:sz w:val="20"/>
                <w:szCs w:val="20"/>
              </w:rPr>
              <w:t>40</w:t>
            </w:r>
            <w:r>
              <w:rPr>
                <w:rFonts w:ascii="Arial Narrow" w:hAnsi="Arial Narrow"/>
                <w:sz w:val="20"/>
                <w:szCs w:val="20"/>
              </w:rPr>
              <w:t>$$$$$</w:t>
            </w:r>
          </w:p>
        </w:tc>
      </w:tr>
      <w:tr w:rsidR="0069181D" w:rsidRPr="00892F64" w14:paraId="0D8AEAFF" w14:textId="77777777" w:rsidTr="00492ABD">
        <w:tc>
          <w:tcPr>
            <w:tcW w:w="4315" w:type="dxa"/>
          </w:tcPr>
          <w:p w14:paraId="51C82D5F" w14:textId="4AA40C9D"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41</w:t>
            </w:r>
            <w:r>
              <w:rPr>
                <w:rFonts w:ascii="Arial Narrow" w:hAnsi="Arial Narrow"/>
                <w:color w:val="000000" w:themeColor="text1"/>
                <w:sz w:val="20"/>
                <w:szCs w:val="20"/>
              </w:rPr>
              <w:t>#####</w:t>
            </w:r>
          </w:p>
        </w:tc>
        <w:tc>
          <w:tcPr>
            <w:tcW w:w="5130" w:type="dxa"/>
          </w:tcPr>
          <w:p w14:paraId="07817C51" w14:textId="6105B7CD" w:rsidR="0069181D" w:rsidRPr="00892F64" w:rsidRDefault="0069181D" w:rsidP="00492ABD">
            <w:pPr>
              <w:spacing w:line="240" w:lineRule="auto"/>
              <w:rPr>
                <w:rFonts w:ascii="Arial Narrow" w:hAnsi="Arial Narrow"/>
                <w:sz w:val="20"/>
                <w:szCs w:val="20"/>
              </w:rPr>
            </w:pPr>
            <w:r>
              <w:rPr>
                <w:rFonts w:ascii="Arial Narrow" w:hAnsi="Arial Narrow"/>
                <w:sz w:val="20"/>
                <w:szCs w:val="20"/>
              </w:rPr>
              <w:t>41</w:t>
            </w:r>
            <w:r>
              <w:rPr>
                <w:rFonts w:ascii="Arial Narrow" w:hAnsi="Arial Narrow"/>
                <w:sz w:val="20"/>
                <w:szCs w:val="20"/>
              </w:rPr>
              <w:t>$$$$$</w:t>
            </w:r>
          </w:p>
        </w:tc>
      </w:tr>
      <w:tr w:rsidR="0069181D" w:rsidRPr="00892F64" w14:paraId="3982F17C" w14:textId="77777777" w:rsidTr="00492ABD">
        <w:trPr>
          <w:trHeight w:val="431"/>
        </w:trPr>
        <w:tc>
          <w:tcPr>
            <w:tcW w:w="4315" w:type="dxa"/>
          </w:tcPr>
          <w:p w14:paraId="2565FBA0" w14:textId="15A00446" w:rsidR="0069181D" w:rsidRPr="00892F64" w:rsidRDefault="0069181D" w:rsidP="00492ABD">
            <w:pPr>
              <w:spacing w:after="0" w:line="240" w:lineRule="auto"/>
              <w:rPr>
                <w:rFonts w:ascii="Arial Narrow" w:eastAsia="Times New Roman" w:hAnsi="Arial Narrow"/>
                <w:color w:val="000000" w:themeColor="text1"/>
                <w:sz w:val="20"/>
                <w:szCs w:val="20"/>
              </w:rPr>
            </w:pPr>
            <w:r>
              <w:rPr>
                <w:rFonts w:ascii="Arial Narrow" w:hAnsi="Arial Narrow"/>
                <w:color w:val="000000" w:themeColor="text1"/>
                <w:sz w:val="20"/>
                <w:szCs w:val="20"/>
              </w:rPr>
              <w:t>42</w:t>
            </w:r>
            <w:r>
              <w:rPr>
                <w:rFonts w:ascii="Arial Narrow" w:hAnsi="Arial Narrow"/>
                <w:color w:val="000000" w:themeColor="text1"/>
                <w:sz w:val="20"/>
                <w:szCs w:val="20"/>
              </w:rPr>
              <w:t>#####</w:t>
            </w:r>
          </w:p>
          <w:tbl>
            <w:tblPr>
              <w:tblW w:w="0" w:type="auto"/>
              <w:tblCellMar>
                <w:left w:w="0" w:type="dxa"/>
                <w:right w:w="0" w:type="dxa"/>
              </w:tblCellMar>
              <w:tblLook w:val="04A0" w:firstRow="1" w:lastRow="0" w:firstColumn="1" w:lastColumn="0" w:noHBand="0" w:noVBand="1"/>
            </w:tblPr>
            <w:tblGrid>
              <w:gridCol w:w="49"/>
            </w:tblGrid>
            <w:tr w:rsidR="0069181D" w:rsidRPr="00892F64" w14:paraId="57BEF802" w14:textId="77777777" w:rsidTr="00492ABD">
              <w:tc>
                <w:tcPr>
                  <w:tcW w:w="49" w:type="dxa"/>
                  <w:tcBorders>
                    <w:top w:val="nil"/>
                    <w:left w:val="nil"/>
                    <w:bottom w:val="nil"/>
                    <w:right w:val="nil"/>
                  </w:tcBorders>
                  <w:vAlign w:val="center"/>
                  <w:hideMark/>
                </w:tcPr>
                <w:p w14:paraId="5472EB70" w14:textId="77777777" w:rsidR="0069181D" w:rsidRPr="00892F64" w:rsidRDefault="0069181D" w:rsidP="00492ABD">
                  <w:pPr>
                    <w:spacing w:after="0" w:line="240" w:lineRule="auto"/>
                    <w:rPr>
                      <w:rFonts w:ascii="Arial Narrow" w:eastAsia="Times New Roman" w:hAnsi="Arial Narrow"/>
                      <w:color w:val="000000" w:themeColor="text1"/>
                      <w:sz w:val="20"/>
                      <w:szCs w:val="20"/>
                    </w:rPr>
                  </w:pPr>
                </w:p>
              </w:tc>
            </w:tr>
          </w:tbl>
          <w:p w14:paraId="543D5A23" w14:textId="77777777" w:rsidR="0069181D" w:rsidRPr="00892F64" w:rsidRDefault="0069181D" w:rsidP="00492ABD">
            <w:pPr>
              <w:spacing w:line="240" w:lineRule="auto"/>
              <w:rPr>
                <w:rFonts w:ascii="Arial Narrow" w:hAnsi="Arial Narrow"/>
                <w:sz w:val="20"/>
                <w:szCs w:val="20"/>
              </w:rPr>
            </w:pPr>
          </w:p>
        </w:tc>
        <w:tc>
          <w:tcPr>
            <w:tcW w:w="5130" w:type="dxa"/>
          </w:tcPr>
          <w:p w14:paraId="50B7E2C1" w14:textId="76BA424A" w:rsidR="0069181D" w:rsidRPr="00892F64" w:rsidRDefault="0069181D" w:rsidP="00492ABD">
            <w:pPr>
              <w:spacing w:line="240" w:lineRule="auto"/>
              <w:rPr>
                <w:rFonts w:ascii="Arial Narrow" w:hAnsi="Arial Narrow"/>
                <w:sz w:val="20"/>
                <w:szCs w:val="20"/>
              </w:rPr>
            </w:pPr>
            <w:r>
              <w:rPr>
                <w:rFonts w:ascii="Arial Narrow" w:hAnsi="Arial Narrow"/>
                <w:sz w:val="20"/>
                <w:szCs w:val="20"/>
              </w:rPr>
              <w:t>42</w:t>
            </w:r>
            <w:r>
              <w:rPr>
                <w:rFonts w:ascii="Arial Narrow" w:hAnsi="Arial Narrow"/>
                <w:sz w:val="20"/>
                <w:szCs w:val="20"/>
              </w:rPr>
              <w:t>$$$$$</w:t>
            </w:r>
          </w:p>
        </w:tc>
      </w:tr>
      <w:tr w:rsidR="0069181D" w:rsidRPr="00892F64" w14:paraId="3E8F8AE3" w14:textId="77777777" w:rsidTr="00492ABD">
        <w:tc>
          <w:tcPr>
            <w:tcW w:w="4315" w:type="dxa"/>
          </w:tcPr>
          <w:p w14:paraId="6F77070C" w14:textId="00C920C8" w:rsidR="0069181D" w:rsidRPr="00892F64" w:rsidRDefault="0069181D" w:rsidP="00492ABD">
            <w:pPr>
              <w:spacing w:line="240" w:lineRule="auto"/>
              <w:rPr>
                <w:rFonts w:ascii="Arial Narrow" w:hAnsi="Arial Narrow"/>
                <w:sz w:val="20"/>
                <w:szCs w:val="20"/>
              </w:rPr>
            </w:pPr>
            <w:r>
              <w:rPr>
                <w:rFonts w:ascii="Arial Narrow" w:hAnsi="Arial Narrow"/>
                <w:color w:val="000000" w:themeColor="text1"/>
                <w:sz w:val="20"/>
                <w:szCs w:val="20"/>
              </w:rPr>
              <w:t>43</w:t>
            </w:r>
            <w:r>
              <w:rPr>
                <w:rFonts w:ascii="Arial Narrow" w:hAnsi="Arial Narrow"/>
                <w:color w:val="000000" w:themeColor="text1"/>
                <w:sz w:val="20"/>
                <w:szCs w:val="20"/>
              </w:rPr>
              <w:t>#####</w:t>
            </w:r>
          </w:p>
        </w:tc>
        <w:tc>
          <w:tcPr>
            <w:tcW w:w="5130" w:type="dxa"/>
          </w:tcPr>
          <w:p w14:paraId="445651DE" w14:textId="6783552B" w:rsidR="0069181D" w:rsidRPr="00892F64" w:rsidRDefault="0069181D" w:rsidP="00492ABD">
            <w:pPr>
              <w:spacing w:line="240" w:lineRule="auto"/>
              <w:rPr>
                <w:rFonts w:ascii="Arial Narrow" w:hAnsi="Arial Narrow"/>
                <w:sz w:val="20"/>
                <w:szCs w:val="20"/>
              </w:rPr>
            </w:pPr>
            <w:r>
              <w:rPr>
                <w:rFonts w:ascii="Arial Narrow" w:hAnsi="Arial Narrow"/>
                <w:sz w:val="20"/>
                <w:szCs w:val="20"/>
              </w:rPr>
              <w:t>43</w:t>
            </w:r>
            <w:r>
              <w:rPr>
                <w:rFonts w:ascii="Arial Narrow" w:hAnsi="Arial Narrow"/>
                <w:sz w:val="20"/>
                <w:szCs w:val="20"/>
              </w:rPr>
              <w:t>$$$$$</w:t>
            </w:r>
          </w:p>
        </w:tc>
      </w:tr>
    </w:tbl>
    <w:p w14:paraId="544BA21B" w14:textId="77777777" w:rsidR="0069181D" w:rsidRDefault="0069181D"/>
    <w:sectPr w:rsidR="00A94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0F"/>
    <w:rsid w:val="007E4F0F"/>
    <w:rsid w:val="00936801"/>
    <w:rsid w:val="00F5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BE4E3"/>
  <w15:chartTrackingRefBased/>
  <w15:docId w15:val="{0BE7850F-31E2-4419-9A47-26E349FB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F6648"/>
    <w:pPr>
      <w:spacing w:after="0" w:line="240" w:lineRule="auto"/>
    </w:pPr>
    <w:rPr>
      <w:color w:val="657C9C" w:themeColor="text2" w:themeTint="BF"/>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DF6648"/>
    <w:pPr>
      <w:spacing w:after="0" w:line="240" w:lineRule="auto"/>
    </w:pPr>
    <w:rPr>
      <w:color w:val="657C9C" w:themeColor="text2" w:themeTint="BF"/>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R Daimler</dc:creator>
  <cp:keywords/>
  <dc:description/>
  <cp:lastModifiedBy>Elliott R Daimler</cp:lastModifiedBy>
  <cp:revision>1</cp:revision>
  <dcterms:created xsi:type="dcterms:W3CDTF">2021-11-29T18:11:00Z</dcterms:created>
  <dcterms:modified xsi:type="dcterms:W3CDTF">2021-11-29T18:11:00Z</dcterms:modified>
</cp:coreProperties>
</file>