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YA-2021-F.A.S.T. 402 TSP-006</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YA-2021-F.A.S.T. 402 TSP-006</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UWG &amp; GOHS Collaborative Safety Initiative</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TSP</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$18,183.41</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$17,247.43</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To continue our partnership with GOHS to provide alcohol/highway safety education to UWG students, high school students, and to citizens in our service area through multiple programs and initiatives.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Conduct four school year activities focused on educating students and faculty about alcohol and highway safety issues. Example: Implement alcohol awareness seasonal campaigns surround graduation, spring break, new student orientation, sporting events, holidays, etc. to reduce high risk drinking.</w:t>
            </w:r>
          </w:p>
        </w:tc>
        <w:tc>
          <w:tcPr>
            <w:tcW w:w="5130" w:type="dxa"/>
          </w:tcPr>
          <w:p>
            <w:r>
              <w:t xml:space="preserve">Yes, this was something we were able to accomplish. We were able to go above and beyond what our intended activities were. We hosted several school year activities focused on educating students, faculty, and staff. Some examples included National Collegiate Alcohol Awareness Week, Health and Safety Week, Greek Week, Safe Spring Break, Arrive Alive Tour, and Think Fast Trivia. </w:t>
            </w:r>
          </w:p>
        </w:tc>
      </w:tr>
      <w:tr w:rsidR="00DF6648" w:rsidRPr="00892F64" w14:paraId="7A07CB57" w14:textId="77777777" w:rsidTr="00492ABD">
        <w:tc>
          <w:tcPr>
            <w:tcW w:w="4315" w:type="dxa"/>
          </w:tcPr>
          <w:p>
            <w:r>
              <w:t>Collect highway safety statistics on campus and in surrounding areas where students travel at the beginning of each semester (twice per year).</w:t>
            </w:r>
          </w:p>
        </w:tc>
        <w:tc>
          <w:tcPr>
            <w:tcW w:w="5130" w:type="dxa"/>
          </w:tcPr>
          <w:p>
            <w:r>
              <w:t xml:space="preserve">We were able to complete only one activity this time around. We We didn't have enough staff to complete the second. </w:t>
            </w:r>
          </w:p>
        </w:tc>
      </w:tr>
      <w:tr w:rsidR="00DF6648" w:rsidRPr="00892F64" w14:paraId="6913903A" w14:textId="77777777" w:rsidTr="00492ABD">
        <w:tc>
          <w:tcPr>
            <w:tcW w:w="4315" w:type="dxa"/>
          </w:tcPr>
          <w:p>
            <w:r>
              <w:t>Review campus alcohol polices at the beginning of each year.</w:t>
            </w:r>
          </w:p>
        </w:tc>
        <w:tc>
          <w:tcPr>
            <w:tcW w:w="5130" w:type="dxa"/>
          </w:tcPr>
          <w:p>
            <w:r>
              <w:t xml:space="preserve">At the beginning of the year, we review the alcohol policies during orientations, seminars, and first six weeks classes. </w:t>
            </w:r>
          </w:p>
        </w:tc>
      </w:tr>
      <w:tr w:rsidR="00DF6648" w:rsidRPr="00892F64" w14:paraId="1E14BAEB" w14:textId="77777777" w:rsidTr="00492ABD">
        <w:tc>
          <w:tcPr>
            <w:tcW w:w="4315" w:type="dxa"/>
          </w:tcPr>
          <w:p>
            <w:r>
              <w:t>Distribute educational materials at 4 school activities.</w:t>
            </w:r>
          </w:p>
        </w:tc>
        <w:tc>
          <w:tcPr>
            <w:tcW w:w="5130" w:type="dxa"/>
          </w:tcPr>
          <w:p>
            <w:r>
              <w:t>During tabling events, programs, and school activities we would distribute educational materials.</w:t>
            </w:r>
          </w:p>
        </w:tc>
      </w:tr>
      <w:tr w:rsidR="00DF6648" w:rsidRPr="00892F64" w14:paraId="13E5682B" w14:textId="77777777" w:rsidTr="0069181D">
        <w:trPr>
          <w:trHeight w:val="332"/>
        </w:trPr>
        <w:tc>
          <w:tcPr>
            <w:tcW w:w="4315" w:type="dxa"/>
          </w:tcPr>
          <w:p>
            <w:r>
              <w:t>Complete the first seat belt survey in the first quarter of the grant period (Oct. - Dec.). Complete the second seat belt survey prior to the close of the school year. Announce results of each seat belt survey (media, website, social media).</w:t>
            </w:r>
          </w:p>
        </w:tc>
        <w:tc>
          <w:tcPr>
            <w:tcW w:w="5130" w:type="dxa"/>
          </w:tcPr>
          <w:p>
            <w:r>
              <w:t>We were able to complete both scheduled seat belt checks.</w:t>
            </w:r>
          </w:p>
        </w:tc>
      </w:tr>
      <w:tr w:rsidR="00DF6648" w:rsidRPr="00892F64" w14:paraId="01F4FA12" w14:textId="77777777" w:rsidTr="00492ABD">
        <w:tc>
          <w:tcPr>
            <w:tcW w:w="4315" w:type="dxa"/>
          </w:tcPr>
          <w:p>
            <w:r>
              <w:t>Collaborate with campus police or local law enforcement to participate in impaired driving/underage drinking campaigns.</w:t>
            </w:r>
          </w:p>
        </w:tc>
        <w:tc>
          <w:tcPr>
            <w:tcW w:w="5130" w:type="dxa"/>
          </w:tcPr>
          <w:p>
            <w:r>
              <w:t xml:space="preserve">Although we tried to collaborate with the UPD on multiple occasions, their large turnover ratio present a challenge to complete the number of projected activities. </w:t>
            </w:r>
          </w:p>
        </w:tc>
      </w:tr>
      <w:tr w:rsidR="00DF6648" w:rsidRPr="00892F64" w14:paraId="7017B718" w14:textId="77777777" w:rsidTr="00492ABD">
        <w:tc>
          <w:tcPr>
            <w:tcW w:w="4315" w:type="dxa"/>
          </w:tcPr>
          <w:p>
            <w:r>
              <w:t>Distribute GOHS brochures and Impaired Driving educational materials on campus in conjunction with GOHS Impaired Driving campaigns.</w:t>
            </w:r>
          </w:p>
        </w:tc>
        <w:tc>
          <w:tcPr>
            <w:tcW w:w="5130" w:type="dxa"/>
          </w:tcPr>
          <w:p>
            <w:r>
              <w:t xml:space="preserve">During our GOHS Signature events we distributed GOHS brochures and impaired Driving educational materials. </w:t>
            </w:r>
          </w:p>
        </w:tc>
      </w:tr>
      <w:tr w:rsidR="00DF6648" w:rsidRPr="00892F64" w14:paraId="4739F7BC" w14:textId="77777777" w:rsidTr="00492ABD">
        <w:tc>
          <w:tcPr>
            <w:tcW w:w="4315" w:type="dxa"/>
          </w:tcPr>
          <w:p>
            <w:r>
              <w:t>Recruit potential peer health educators.</w:t>
            </w:r>
          </w:p>
        </w:tc>
        <w:tc>
          <w:tcPr>
            <w:tcW w:w="5130" w:type="dxa"/>
          </w:tcPr>
          <w:p>
            <w:r>
              <w:t xml:space="preserve">Because peer education is a paid position it was a challenge to recruit peer educators and not have enough in the budget to hire them. </w:t>
            </w:r>
          </w:p>
        </w:tc>
      </w:tr>
      <w:tr w:rsidR="00DF6648" w:rsidRPr="00892F64" w14:paraId="32C993FB" w14:textId="77777777" w:rsidTr="00492ABD">
        <w:tc>
          <w:tcPr>
            <w:tcW w:w="4315" w:type="dxa"/>
          </w:tcPr>
          <w:p>
            <w:r>
              <w:t>Conduct alcohol specific peer health education training (ex: TIPS or BACCHUS)</w:t>
            </w:r>
          </w:p>
        </w:tc>
        <w:tc>
          <w:tcPr>
            <w:tcW w:w="5130" w:type="dxa"/>
          </w:tcPr>
          <w:p>
            <w:r>
              <w:t xml:space="preserve">We had alcohol-specific peer health education training internally. Due to Covid-19, there was no BACCHUS Conference nor did the grant pay for TIPS training. </w:t>
            </w:r>
          </w:p>
        </w:tc>
      </w:tr>
      <w:tr w:rsidR="00DF6648" w:rsidRPr="00892F64" w14:paraId="61F5EABD" w14:textId="77777777" w:rsidTr="00492ABD">
        <w:tc>
          <w:tcPr>
            <w:tcW w:w="4315" w:type="dxa"/>
          </w:tcPr>
          <w:p>
            <w:r>
              <w:t>Conduct campus CORE or ACHA-NCHA survey once every ODD year (Example FFY2017, FFY2019, etc).</w:t>
            </w:r>
          </w:p>
        </w:tc>
        <w:tc>
          <w:tcPr>
            <w:tcW w:w="5130" w:type="dxa"/>
          </w:tcPr>
          <w:p>
            <w:r>
              <w:t>GOHS approved of the USG Alcohol EDU training that every incoming freshman, transfer, athlete, or greek student as a substitute for CORE or ACHA-NCHA.</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sectPr w:rsidR="00691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19"/>
    <w:rsid w:val="00403596"/>
    <w:rsid w:val="004E1819"/>
    <w:rsid w:val="0069181D"/>
    <w:rsid w:val="00842B73"/>
    <w:rsid w:val="00936801"/>
    <w:rsid w:val="00942C1A"/>
    <w:rsid w:val="00C30835"/>
    <w:rsid w:val="00DF6648"/>
    <w:rsid w:val="00F5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BA943"/>
  <w15:chartTrackingRefBased/>
  <w15:docId w15:val="{D73B26A8-247E-44D0-B185-B88AA81F0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648"/>
    <w:pPr>
      <w:spacing w:before="120" w:after="120" w:line="288" w:lineRule="auto"/>
    </w:pPr>
    <w:rPr>
      <w:rFonts w:cstheme="minorHAnsi"/>
      <w:color w:val="262626" w:themeColor="text1" w:themeTint="D9"/>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6648"/>
    <w:pPr>
      <w:spacing w:after="0" w:line="240" w:lineRule="auto"/>
    </w:pPr>
    <w:rPr>
      <w:color w:val="657C9C" w:themeColor="text2" w:themeTint="BF"/>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F6648"/>
    <w:pPr>
      <w:spacing w:after="0" w:line="240" w:lineRule="auto"/>
    </w:pPr>
    <w:rPr>
      <w:color w:val="657C9C" w:themeColor="text2" w:themeTint="BF"/>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8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R Daimler</dc:creator>
  <cp:keywords/>
  <dc:description/>
  <cp:lastModifiedBy>Elliott R Daimler</cp:lastModifiedBy>
  <cp:revision>6</cp:revision>
  <dcterms:created xsi:type="dcterms:W3CDTF">2021-11-15T20:53:00Z</dcterms:created>
  <dcterms:modified xsi:type="dcterms:W3CDTF">2021-11-15T21:10:00Z</dcterms:modified>
</cp:coreProperties>
</file>