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73E37" w14:textId="77777777" w:rsidR="00C50DB3" w:rsidRPr="00392D82" w:rsidRDefault="00000000">
      <w:pPr>
        <w:spacing w:after="40"/>
        <w:rPr>
          <w:sz w:val="21"/>
          <w:szCs w:val="21"/>
        </w:rPr>
      </w:pPr>
      <w:r w:rsidRPr="00392D82">
        <w:rPr>
          <w:rFonts w:ascii="Calibri" w:hAnsi="Calibri"/>
          <w:b/>
          <w:color w:val="1B365D"/>
          <w:sz w:val="44"/>
          <w:szCs w:val="21"/>
        </w:rPr>
        <w:t>AI Center of Excellence (CoE) Operating Framework</w:t>
      </w:r>
    </w:p>
    <w:p w14:paraId="3F1A7283" w14:textId="77777777" w:rsidR="00C50DB3" w:rsidRPr="00487D91" w:rsidRDefault="00000000">
      <w:pPr>
        <w:spacing w:after="280"/>
        <w:rPr>
          <w:i/>
          <w:iCs/>
        </w:rPr>
      </w:pPr>
      <w:r w:rsidRPr="00487D91">
        <w:rPr>
          <w:rFonts w:ascii="Calibri" w:hAnsi="Calibri"/>
          <w:i/>
          <w:iCs/>
          <w:color w:val="4A777A"/>
          <w:sz w:val="26"/>
        </w:rPr>
        <w:t>Comprehensive Live Operational Playbook, Intake Templates, Governance Gates, and Delivery Standards</w:t>
      </w:r>
    </w:p>
    <w:tbl>
      <w:tblPr>
        <w:tblW w:w="0" w:type="auto"/>
        <w:jc w:val="center"/>
        <w:tblLayout w:type="fixed"/>
        <w:tblLook w:val="04A0" w:firstRow="1" w:lastRow="0" w:firstColumn="1" w:lastColumn="0" w:noHBand="0" w:noVBand="1"/>
      </w:tblPr>
      <w:tblGrid>
        <w:gridCol w:w="3168"/>
        <w:gridCol w:w="6192"/>
      </w:tblGrid>
      <w:tr w:rsidR="00C50DB3" w14:paraId="56C74B94" w14:textId="77777777">
        <w:trPr>
          <w:jc w:val="center"/>
        </w:trPr>
        <w:tc>
          <w:tcPr>
            <w:tcW w:w="316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74A7DDB5" w14:textId="77777777" w:rsidR="00C50DB3" w:rsidRDefault="00000000">
            <w:pPr>
              <w:spacing w:before="40" w:after="40"/>
            </w:pPr>
            <w:r>
              <w:rPr>
                <w:rFonts w:ascii="Calibri" w:hAnsi="Calibri"/>
                <w:b/>
                <w:color w:val="FFFFFF"/>
                <w:sz w:val="19"/>
              </w:rPr>
              <w:t>Document Control Field</w:t>
            </w:r>
          </w:p>
        </w:tc>
        <w:tc>
          <w:tcPr>
            <w:tcW w:w="619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6F16BF4" w14:textId="77777777" w:rsidR="00C50DB3" w:rsidRDefault="00000000">
            <w:pPr>
              <w:spacing w:before="40" w:after="40"/>
            </w:pPr>
            <w:r>
              <w:rPr>
                <w:rFonts w:ascii="Calibri" w:hAnsi="Calibri"/>
                <w:b/>
                <w:color w:val="FFFFFF"/>
                <w:sz w:val="19"/>
              </w:rPr>
              <w:t>Operational Attribute &amp; Value</w:t>
            </w:r>
          </w:p>
        </w:tc>
      </w:tr>
      <w:tr w:rsidR="00C50DB3" w14:paraId="6A3388AD"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6AB41BC" w14:textId="77777777" w:rsidR="00C50DB3" w:rsidRDefault="00000000">
            <w:pPr>
              <w:spacing w:before="40" w:after="40"/>
            </w:pPr>
            <w:r>
              <w:rPr>
                <w:rFonts w:ascii="Calibri" w:hAnsi="Calibri"/>
                <w:color w:val="24292E"/>
                <w:sz w:val="19"/>
              </w:rPr>
              <w:t>Document Owner</w:t>
            </w:r>
          </w:p>
        </w:tc>
        <w:tc>
          <w:tcPr>
            <w:tcW w:w="61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305A263" w14:textId="77777777" w:rsidR="00C50DB3" w:rsidRDefault="00000000">
            <w:pPr>
              <w:spacing w:before="40" w:after="40"/>
            </w:pPr>
            <w:r>
              <w:rPr>
                <w:rFonts w:ascii="Calibri" w:hAnsi="Calibri"/>
                <w:color w:val="24292E"/>
                <w:sz w:val="19"/>
              </w:rPr>
              <w:t>[ AI CoE Lead / Executive Sponsor ]</w:t>
            </w:r>
          </w:p>
        </w:tc>
      </w:tr>
      <w:tr w:rsidR="00C50DB3" w14:paraId="38292995"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60F5772" w14:textId="77777777" w:rsidR="00C50DB3" w:rsidRDefault="00000000">
            <w:pPr>
              <w:spacing w:before="40" w:after="40"/>
            </w:pPr>
            <w:r>
              <w:rPr>
                <w:rFonts w:ascii="Calibri" w:hAnsi="Calibri"/>
                <w:color w:val="24292E"/>
                <w:sz w:val="19"/>
              </w:rPr>
              <w:t>Target Organization</w:t>
            </w:r>
          </w:p>
        </w:tc>
        <w:tc>
          <w:tcPr>
            <w:tcW w:w="619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59AA142" w14:textId="77777777" w:rsidR="00C50DB3" w:rsidRDefault="00000000">
            <w:pPr>
              <w:spacing w:before="40" w:after="40"/>
            </w:pPr>
            <w:r>
              <w:rPr>
                <w:rFonts w:ascii="Calibri" w:hAnsi="Calibri"/>
                <w:color w:val="24292E"/>
                <w:sz w:val="19"/>
              </w:rPr>
              <w:t>[ Enterprise Business Units &amp; Technology Teams ]</w:t>
            </w:r>
          </w:p>
        </w:tc>
      </w:tr>
      <w:tr w:rsidR="00C50DB3" w14:paraId="74A19B0B"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E2D1358" w14:textId="77777777" w:rsidR="00C50DB3" w:rsidRDefault="00000000">
            <w:pPr>
              <w:spacing w:before="40" w:after="40"/>
            </w:pPr>
            <w:r>
              <w:rPr>
                <w:rFonts w:ascii="Calibri" w:hAnsi="Calibri"/>
                <w:color w:val="24292E"/>
                <w:sz w:val="19"/>
              </w:rPr>
              <w:t>Version &amp; Status</w:t>
            </w:r>
          </w:p>
        </w:tc>
        <w:tc>
          <w:tcPr>
            <w:tcW w:w="61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24BE51F" w14:textId="77777777" w:rsidR="00C50DB3" w:rsidRDefault="00000000">
            <w:pPr>
              <w:spacing w:before="40" w:after="40"/>
            </w:pPr>
            <w:r>
              <w:rPr>
                <w:rFonts w:ascii="Calibri" w:hAnsi="Calibri"/>
                <w:color w:val="24292E"/>
                <w:sz w:val="19"/>
              </w:rPr>
              <w:t>v3.0 — Fully Expanded Live Operational Framework &amp; Guidance</w:t>
            </w:r>
          </w:p>
        </w:tc>
      </w:tr>
      <w:tr w:rsidR="00C50DB3" w14:paraId="2D96D314"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6C5EB74" w14:textId="77777777" w:rsidR="00C50DB3" w:rsidRDefault="00000000">
            <w:pPr>
              <w:spacing w:before="40" w:after="40"/>
            </w:pPr>
            <w:r>
              <w:rPr>
                <w:rFonts w:ascii="Calibri" w:hAnsi="Calibri"/>
                <w:color w:val="24292E"/>
                <w:sz w:val="19"/>
              </w:rPr>
              <w:t>Effective Date &amp; Review</w:t>
            </w:r>
          </w:p>
        </w:tc>
        <w:tc>
          <w:tcPr>
            <w:tcW w:w="619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1E6C817" w14:textId="77777777" w:rsidR="00C50DB3" w:rsidRDefault="00000000">
            <w:pPr>
              <w:spacing w:before="40" w:after="40"/>
            </w:pPr>
            <w:r>
              <w:rPr>
                <w:rFonts w:ascii="Calibri" w:hAnsi="Calibri"/>
                <w:color w:val="24292E"/>
                <w:sz w:val="19"/>
              </w:rPr>
              <w:t>[ YYYY-MM-DD / Annual Review ]</w:t>
            </w:r>
          </w:p>
        </w:tc>
      </w:tr>
    </w:tbl>
    <w:p w14:paraId="595E5E75" w14:textId="77777777" w:rsidR="00C50DB3" w:rsidRDefault="00000000">
      <w:pPr>
        <w:pStyle w:val="Heading1"/>
        <w:spacing w:before="360" w:after="120"/>
      </w:pPr>
      <w:r>
        <w:rPr>
          <w:rFonts w:ascii="Calibri" w:hAnsi="Calibri"/>
          <w:color w:val="1B365D"/>
          <w:sz w:val="32"/>
        </w:rPr>
        <w:t>Executive Summary &amp; Operational Mandate</w:t>
      </w:r>
    </w:p>
    <w:p w14:paraId="145A96F5" w14:textId="77777777" w:rsidR="00C50DB3" w:rsidRDefault="00000000">
      <w:pPr>
        <w:spacing w:after="120"/>
      </w:pPr>
      <w:r>
        <w:rPr>
          <w:rFonts w:ascii="Calibri" w:hAnsi="Calibri"/>
          <w:b/>
          <w:color w:val="1B365D"/>
          <w:sz w:val="21"/>
        </w:rPr>
        <w:t xml:space="preserve">Mandate &amp; Objective: </w:t>
      </w:r>
      <w:r>
        <w:rPr>
          <w:rFonts w:ascii="Calibri" w:hAnsi="Calibri"/>
          <w:color w:val="24292E"/>
          <w:sz w:val="20"/>
        </w:rPr>
        <w:t>The AI Center of Excellence (CoE) Operating Framework establishes a unified, enterprise-grade approach for evaluating, funding, governing, delivering, and supporting artificial intelligence capabilities across the organization. As AI technologies shift from specialized technical experiments to core enterprise infrastructure, established management practices are required to ensure that AI investments produce demonstrable business value while maintaining strict compliance with security, privacy, and regulatory standards.</w:t>
      </w:r>
    </w:p>
    <w:p w14:paraId="725DF06B" w14:textId="77777777" w:rsidR="00C50DB3" w:rsidRDefault="00000000">
      <w:pPr>
        <w:spacing w:after="120"/>
      </w:pPr>
      <w:r>
        <w:rPr>
          <w:rFonts w:ascii="Calibri" w:hAnsi="Calibri"/>
          <w:b/>
          <w:color w:val="1B365D"/>
          <w:sz w:val="21"/>
        </w:rPr>
        <w:t xml:space="preserve">Operational Philosophy: </w:t>
      </w:r>
      <w:r>
        <w:rPr>
          <w:rFonts w:ascii="Calibri" w:hAnsi="Calibri"/>
          <w:color w:val="24292E"/>
          <w:sz w:val="20"/>
        </w:rPr>
        <w:t>Rather than functioning as a rigid bureaucratic gatekeeper, the CoE acts as an operational accelerator and governance partner. Its role is to define common technical practices, establish reusable architectural patterns, facilitate rapid iterative delivery, upskill the workforce, and manage production risks. This playbook translates high-level AI strategy into actionable operational tools—including fillable intake templates, weighted prioritization rubrics, RACI decision rights, pre-flight security checklists, and production readiness gates.</w:t>
      </w:r>
    </w:p>
    <w:p w14:paraId="2ABE4639" w14:textId="77777777" w:rsidR="00487D91" w:rsidRDefault="00487D91">
      <w:pPr>
        <w:rPr>
          <w:rFonts w:ascii="Calibri" w:eastAsiaTheme="majorEastAsia" w:hAnsi="Calibri" w:cstheme="majorBidi"/>
          <w:b/>
          <w:bCs/>
          <w:color w:val="1B365D"/>
          <w:sz w:val="32"/>
          <w:szCs w:val="28"/>
        </w:rPr>
      </w:pPr>
      <w:r>
        <w:rPr>
          <w:rFonts w:ascii="Calibri" w:hAnsi="Calibri"/>
          <w:color w:val="1B365D"/>
          <w:sz w:val="32"/>
        </w:rPr>
        <w:br w:type="page"/>
      </w:r>
    </w:p>
    <w:p w14:paraId="18DD3AA6" w14:textId="472327E5" w:rsidR="00C50DB3" w:rsidRDefault="00000000">
      <w:pPr>
        <w:pStyle w:val="Heading1"/>
        <w:spacing w:before="360" w:after="120"/>
      </w:pPr>
      <w:r>
        <w:rPr>
          <w:rFonts w:ascii="Calibri" w:hAnsi="Calibri"/>
          <w:color w:val="1B365D"/>
          <w:sz w:val="32"/>
        </w:rPr>
        <w:lastRenderedPageBreak/>
        <w:t>1.0 AI Strategy &amp; Opportunity Intake</w:t>
      </w:r>
    </w:p>
    <w:tbl>
      <w:tblPr>
        <w:tblW w:w="0" w:type="auto"/>
        <w:jc w:val="center"/>
        <w:tblLayout w:type="fixed"/>
        <w:tblLook w:val="04A0" w:firstRow="1" w:lastRow="0" w:firstColumn="1" w:lastColumn="0" w:noHBand="0" w:noVBand="1"/>
      </w:tblPr>
      <w:tblGrid>
        <w:gridCol w:w="9360"/>
      </w:tblGrid>
      <w:tr w:rsidR="00C50DB3" w14:paraId="5B01C561"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7A1FBCDB" w14:textId="77777777" w:rsidR="00C50DB3" w:rsidRDefault="00000000">
            <w:pPr>
              <w:spacing w:before="40" w:after="80"/>
            </w:pPr>
            <w:r>
              <w:rPr>
                <w:rFonts w:ascii="Calibri" w:hAnsi="Calibri"/>
                <w:b/>
                <w:color w:val="1B365D"/>
                <w:sz w:val="21"/>
              </w:rPr>
              <w:t>💡 GUIDANCE &amp; CHALLENGE MANAGEMENT: STRATEGY &amp; INTAKE CHALLENGES</w:t>
            </w:r>
            <w:r>
              <w:rPr>
                <w:rFonts w:ascii="Calibri" w:hAnsi="Calibri"/>
                <w:b/>
                <w:color w:val="1B365D"/>
                <w:sz w:val="21"/>
              </w:rPr>
              <w:br/>
            </w:r>
            <w:r>
              <w:rPr>
                <w:rFonts w:ascii="Calibri" w:hAnsi="Calibri"/>
                <w:i/>
                <w:color w:val="24292E"/>
                <w:sz w:val="19"/>
              </w:rPr>
              <w:t>Challenge: The primary operational obstacle during strategy execution is preventing 'shiny object syndrome' and informal shadow AI projects that lack strategic alignment. Business units frequently request specific vendor models or trendy consumer tools without defining the underlying business problem, baseline performance metrics, or long-term operational ownership.</w:t>
            </w:r>
          </w:p>
          <w:p w14:paraId="2E9D137F" w14:textId="77777777" w:rsidR="00C50DB3" w:rsidRDefault="00000000">
            <w:pPr>
              <w:spacing w:before="80" w:after="80"/>
            </w:pPr>
            <w:r>
              <w:rPr>
                <w:rFonts w:ascii="Calibri" w:hAnsi="Calibri"/>
                <w:i/>
                <w:color w:val="24292E"/>
                <w:sz w:val="19"/>
              </w:rPr>
              <w:t>Management Approach: The CoE enforces a mandatory intake and prioritization gateway before technical resources or environment credentials are issued. Business leads must articulate quantifiable business challenges (e.g., 'reduce contract audit cycle time by 45%') rather than technical deliverables. Using the standardized 1–5 scoring rubric, proposed projects are evaluated against objective criteria—strategic alignment, business value, data readiness, risk level, and sponsorship—ensuring that enterprise capital and talent are deployed exclusively to high-impact initiatives.</w:t>
            </w:r>
          </w:p>
        </w:tc>
      </w:tr>
    </w:tbl>
    <w:p w14:paraId="42EE1069" w14:textId="77777777" w:rsidR="00C50DB3" w:rsidRDefault="00000000">
      <w:pPr>
        <w:pStyle w:val="Heading2"/>
        <w:spacing w:before="280" w:after="80"/>
      </w:pPr>
      <w:r>
        <w:rPr>
          <w:rFonts w:ascii="Calibri" w:hAnsi="Calibri"/>
          <w:color w:val="334E68"/>
        </w:rPr>
        <w:t>1.1 AI Strategic Vision &amp; Capability Horizon Roadmap</w:t>
      </w:r>
    </w:p>
    <w:p w14:paraId="41F86ED3" w14:textId="77777777" w:rsidR="00C50DB3" w:rsidRDefault="00000000">
      <w:pPr>
        <w:spacing w:after="120"/>
      </w:pPr>
      <w:r>
        <w:rPr>
          <w:rFonts w:ascii="Calibri" w:hAnsi="Calibri"/>
          <w:color w:val="24292E"/>
          <w:sz w:val="20"/>
        </w:rPr>
        <w:t>The enterprise AI strategy establishes a coordinated framework for selecting, funding, and executing initiatives that directly advance organizational goals. A clear strategic vision ensures that AI capability investments do not become disconnected science projects, but remain tightly anchored to operational efficiency, service enhancement, data-driven decision-making, and revenue growth.</w:t>
      </w:r>
    </w:p>
    <w:p w14:paraId="72C076F5" w14:textId="77777777" w:rsidR="00C50DB3" w:rsidRDefault="00000000">
      <w:pPr>
        <w:spacing w:after="120"/>
      </w:pPr>
      <w:r>
        <w:rPr>
          <w:rFonts w:ascii="Calibri" w:hAnsi="Calibri"/>
          <w:color w:val="24292E"/>
          <w:sz w:val="20"/>
        </w:rPr>
        <w:t>Translating vision into execution requires a phased capability roadmap. Initial efforts must establish core foundational capabilities—including enterprise cloud environments, identity and access management (IAM), data governance, and baseline security controls. Once foundational pipelines are secure, the organization progresses toward scaling reusable models across business functions, ultimately reaching advanced autonomous systems and continuous machine learning pipelines.</w:t>
      </w:r>
    </w:p>
    <w:tbl>
      <w:tblPr>
        <w:tblW w:w="0" w:type="auto"/>
        <w:jc w:val="center"/>
        <w:tblLayout w:type="fixed"/>
        <w:tblLook w:val="04A0" w:firstRow="1" w:lastRow="0" w:firstColumn="1" w:lastColumn="0" w:noHBand="0" w:noVBand="1"/>
      </w:tblPr>
      <w:tblGrid>
        <w:gridCol w:w="2880"/>
        <w:gridCol w:w="6480"/>
      </w:tblGrid>
      <w:tr w:rsidR="00C50DB3" w14:paraId="58CE1AD8" w14:textId="77777777">
        <w:trPr>
          <w:jc w:val="center"/>
        </w:trPr>
        <w:tc>
          <w:tcPr>
            <w:tcW w:w="288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5CA07AD4" w14:textId="77777777" w:rsidR="00C50DB3" w:rsidRDefault="00000000">
            <w:pPr>
              <w:spacing w:before="40" w:after="40"/>
            </w:pPr>
            <w:r>
              <w:rPr>
                <w:rFonts w:ascii="Calibri" w:hAnsi="Calibri"/>
                <w:b/>
                <w:color w:val="FFFFFF"/>
                <w:sz w:val="19"/>
              </w:rPr>
              <w:t>Capability Horizon</w:t>
            </w:r>
          </w:p>
        </w:tc>
        <w:tc>
          <w:tcPr>
            <w:tcW w:w="648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3951187" w14:textId="77777777" w:rsidR="00C50DB3" w:rsidRDefault="00000000">
            <w:pPr>
              <w:spacing w:before="40" w:after="40"/>
            </w:pPr>
            <w:r>
              <w:rPr>
                <w:rFonts w:ascii="Calibri" w:hAnsi="Calibri"/>
                <w:b/>
                <w:color w:val="FFFFFF"/>
                <w:sz w:val="19"/>
              </w:rPr>
              <w:t>Strategic Focus &amp; Target Deliverables</w:t>
            </w:r>
          </w:p>
        </w:tc>
      </w:tr>
      <w:tr w:rsidR="00C50DB3" w14:paraId="64A3DB5F" w14:textId="77777777">
        <w:trPr>
          <w:jc w:val="center"/>
        </w:trPr>
        <w:tc>
          <w:tcPr>
            <w:tcW w:w="288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5E8B026" w14:textId="77777777" w:rsidR="00C50DB3" w:rsidRDefault="00000000">
            <w:pPr>
              <w:spacing w:before="40" w:after="40"/>
            </w:pPr>
            <w:r>
              <w:rPr>
                <w:rFonts w:ascii="Calibri" w:hAnsi="Calibri"/>
                <w:color w:val="24292E"/>
                <w:sz w:val="19"/>
              </w:rPr>
              <w:t>CoE Strategic Vision</w:t>
            </w:r>
          </w:p>
        </w:tc>
        <w:tc>
          <w:tcPr>
            <w:tcW w:w="648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ABAA048" w14:textId="77777777" w:rsidR="00C50DB3" w:rsidRDefault="00000000">
            <w:pPr>
              <w:spacing w:before="40" w:after="40"/>
            </w:pPr>
            <w:r>
              <w:rPr>
                <w:rFonts w:ascii="Calibri" w:hAnsi="Calibri"/>
                <w:color w:val="24292E"/>
                <w:sz w:val="19"/>
              </w:rPr>
              <w:t>[ Insert 2-3 sentence statement defining how AI-enabled capabilities improve decision-making, operational efficiency, and workforce productivity across the enterprise. ]</w:t>
            </w:r>
          </w:p>
        </w:tc>
      </w:tr>
      <w:tr w:rsidR="00C50DB3" w14:paraId="30F470E3" w14:textId="77777777">
        <w:trPr>
          <w:jc w:val="center"/>
        </w:trPr>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D23B708" w14:textId="77777777" w:rsidR="00C50DB3" w:rsidRDefault="00000000">
            <w:pPr>
              <w:spacing w:before="40" w:after="40"/>
            </w:pPr>
            <w:r>
              <w:rPr>
                <w:rFonts w:ascii="Calibri" w:hAnsi="Calibri"/>
                <w:color w:val="24292E"/>
                <w:sz w:val="19"/>
              </w:rPr>
              <w:t>Horizon 1: Foundation (Mos 0–3)</w:t>
            </w:r>
          </w:p>
        </w:tc>
        <w:tc>
          <w:tcPr>
            <w:tcW w:w="648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E31A0D8" w14:textId="7CEBC8CA" w:rsidR="00C50DB3" w:rsidRDefault="00C43B69">
            <w:pPr>
              <w:spacing w:before="40" w:after="40"/>
            </w:pPr>
            <w:r w:rsidRPr="00C43B69">
              <w:rPr>
                <w:rFonts w:ascii="Calibri" w:hAnsi="Calibri"/>
                <w:color w:val="24292E"/>
                <w:sz w:val="19"/>
              </w:rPr>
              <w:t>Establish approved enterprise cloud environments, identity and access management (IAM) roles, single sign-on (SSO), data classification tiers, security pre-flight checks, and execute 1-2 initial quick-win proof-of-concept projects</w:t>
            </w:r>
            <w:r w:rsidR="00000000">
              <w:rPr>
                <w:rFonts w:ascii="Calibri" w:hAnsi="Calibri"/>
                <w:color w:val="24292E"/>
                <w:sz w:val="19"/>
              </w:rPr>
              <w:t>.</w:t>
            </w:r>
          </w:p>
        </w:tc>
      </w:tr>
      <w:tr w:rsidR="00C50DB3" w14:paraId="66D46FA6" w14:textId="77777777">
        <w:trPr>
          <w:jc w:val="center"/>
        </w:trPr>
        <w:tc>
          <w:tcPr>
            <w:tcW w:w="288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2C9B75F4" w14:textId="77777777" w:rsidR="00C50DB3" w:rsidRDefault="00000000">
            <w:pPr>
              <w:spacing w:before="40" w:after="40"/>
            </w:pPr>
            <w:r>
              <w:rPr>
                <w:rFonts w:ascii="Calibri" w:hAnsi="Calibri"/>
                <w:color w:val="24292E"/>
                <w:sz w:val="19"/>
              </w:rPr>
              <w:t>Horizon 2: Scale (Mos 3–9)</w:t>
            </w:r>
          </w:p>
        </w:tc>
        <w:tc>
          <w:tcPr>
            <w:tcW w:w="648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308E209" w14:textId="77777777" w:rsidR="00C50DB3" w:rsidRDefault="00000000">
            <w:pPr>
              <w:spacing w:before="40" w:after="40"/>
            </w:pPr>
            <w:r>
              <w:rPr>
                <w:rFonts w:ascii="Calibri" w:hAnsi="Calibri"/>
                <w:color w:val="24292E"/>
                <w:sz w:val="19"/>
              </w:rPr>
              <w:t>Deploy enterprise AI API gateways, launch reusable prompt/guardrail components, establish automated MLOps pipelines, and expand standardized AI tooling across multiple business units.</w:t>
            </w:r>
          </w:p>
        </w:tc>
      </w:tr>
      <w:tr w:rsidR="00C50DB3" w14:paraId="03110AC7" w14:textId="77777777">
        <w:trPr>
          <w:jc w:val="center"/>
        </w:trPr>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ECC2139" w14:textId="77777777" w:rsidR="00C50DB3" w:rsidRDefault="00000000">
            <w:pPr>
              <w:spacing w:before="40" w:after="40"/>
            </w:pPr>
            <w:r>
              <w:rPr>
                <w:rFonts w:ascii="Calibri" w:hAnsi="Calibri"/>
                <w:color w:val="24292E"/>
                <w:sz w:val="19"/>
              </w:rPr>
              <w:t>Horizon 3: Expansion (Mos 9+)</w:t>
            </w:r>
          </w:p>
        </w:tc>
        <w:tc>
          <w:tcPr>
            <w:tcW w:w="648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8237373" w14:textId="77777777" w:rsidR="00C50DB3" w:rsidRDefault="00000000">
            <w:pPr>
              <w:spacing w:before="40" w:after="40"/>
            </w:pPr>
            <w:r>
              <w:rPr>
                <w:rFonts w:ascii="Calibri" w:hAnsi="Calibri"/>
                <w:color w:val="24292E"/>
                <w:sz w:val="19"/>
              </w:rPr>
              <w:t>Integrate complex multi-agent orchestration, autonomous workflow automation, real-time analytics pipelines, and continuous domain-specific model fine-tuning.</w:t>
            </w:r>
          </w:p>
        </w:tc>
      </w:tr>
    </w:tbl>
    <w:p w14:paraId="3FD71B7B" w14:textId="77777777" w:rsidR="00C50DB3" w:rsidRDefault="00000000">
      <w:pPr>
        <w:pStyle w:val="Heading2"/>
        <w:spacing w:before="280" w:after="80"/>
      </w:pPr>
      <w:r>
        <w:rPr>
          <w:rFonts w:ascii="Calibri" w:hAnsi="Calibri"/>
          <w:color w:val="334E68"/>
        </w:rPr>
        <w:lastRenderedPageBreak/>
        <w:t>1.2 Initiative Intake &amp; Weighted Prioritization Framework</w:t>
      </w:r>
    </w:p>
    <w:p w14:paraId="3A461773" w14:textId="77777777" w:rsidR="00C50DB3" w:rsidRDefault="00000000">
      <w:pPr>
        <w:spacing w:after="120"/>
      </w:pPr>
      <w:r>
        <w:rPr>
          <w:rFonts w:ascii="Calibri" w:hAnsi="Calibri"/>
          <w:color w:val="24292E"/>
          <w:sz w:val="20"/>
        </w:rPr>
        <w:t>Organizational demand for AI solutions predictably exceeds available development capacity, technical talent, and cloud computing budgets. To prevent resource starvation and fragmented delivery, the CoE uses a standardized weighted scoring model to evaluate all candidate opportunities during intake.</w:t>
      </w:r>
    </w:p>
    <w:p w14:paraId="2DFE787C" w14:textId="77777777" w:rsidR="00C50DB3" w:rsidRDefault="00000000">
      <w:pPr>
        <w:spacing w:after="120"/>
      </w:pPr>
      <w:r>
        <w:rPr>
          <w:rFonts w:ascii="Calibri" w:hAnsi="Calibri"/>
          <w:color w:val="24292E"/>
          <w:sz w:val="20"/>
        </w:rPr>
        <w:t>Each candidate initiative is scored from 1 (Low / Unfavorable) to 5 (High / Favorable) across five weighted criteria. Proposed projects must achieve a total weighted score of 15.0 or higher (out of 25.0) to pass Gate 1 and advance to formal Foundation Setup and sprint planning.</w:t>
      </w:r>
    </w:p>
    <w:tbl>
      <w:tblPr>
        <w:tblW w:w="0" w:type="auto"/>
        <w:jc w:val="center"/>
        <w:tblLayout w:type="fixed"/>
        <w:tblLook w:val="04A0" w:firstRow="1" w:lastRow="0" w:firstColumn="1" w:lastColumn="0" w:noHBand="0" w:noVBand="1"/>
      </w:tblPr>
      <w:tblGrid>
        <w:gridCol w:w="2160"/>
        <w:gridCol w:w="1008"/>
        <w:gridCol w:w="3312"/>
        <w:gridCol w:w="864"/>
        <w:gridCol w:w="1008"/>
        <w:gridCol w:w="1008"/>
      </w:tblGrid>
      <w:tr w:rsidR="00C50DB3" w14:paraId="0B00F92B" w14:textId="77777777">
        <w:trPr>
          <w:jc w:val="center"/>
        </w:trPr>
        <w:tc>
          <w:tcPr>
            <w:tcW w:w="21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661017E" w14:textId="77777777" w:rsidR="00C50DB3" w:rsidRDefault="00000000">
            <w:pPr>
              <w:spacing w:before="40" w:after="40"/>
            </w:pPr>
            <w:r>
              <w:rPr>
                <w:rFonts w:ascii="Calibri" w:hAnsi="Calibri"/>
                <w:b/>
                <w:color w:val="FFFFFF"/>
                <w:sz w:val="19"/>
              </w:rPr>
              <w:t>Evaluation Criteria</w:t>
            </w:r>
          </w:p>
        </w:tc>
        <w:tc>
          <w:tcPr>
            <w:tcW w:w="100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2830D73" w14:textId="77777777" w:rsidR="00C50DB3" w:rsidRDefault="00000000">
            <w:pPr>
              <w:spacing w:before="40" w:after="40"/>
              <w:jc w:val="center"/>
            </w:pPr>
            <w:r>
              <w:rPr>
                <w:rFonts w:ascii="Calibri" w:hAnsi="Calibri"/>
                <w:b/>
                <w:color w:val="FFFFFF"/>
                <w:sz w:val="19"/>
              </w:rPr>
              <w:t>Weight</w:t>
            </w:r>
          </w:p>
        </w:tc>
        <w:tc>
          <w:tcPr>
            <w:tcW w:w="331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8A7C3FB" w14:textId="77777777" w:rsidR="00C50DB3" w:rsidRDefault="00000000">
            <w:pPr>
              <w:spacing w:before="40" w:after="40"/>
            </w:pPr>
            <w:r>
              <w:rPr>
                <w:rFonts w:ascii="Calibri" w:hAnsi="Calibri"/>
                <w:b/>
                <w:color w:val="FFFFFF"/>
                <w:sz w:val="19"/>
              </w:rPr>
              <w:t>Scoring Definition &amp; Benchmark (1–5)</w:t>
            </w:r>
          </w:p>
        </w:tc>
        <w:tc>
          <w:tcPr>
            <w:tcW w:w="864"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7716276E" w14:textId="77777777" w:rsidR="00C50DB3" w:rsidRDefault="00000000">
            <w:pPr>
              <w:spacing w:before="40" w:after="40"/>
              <w:jc w:val="center"/>
            </w:pPr>
            <w:r>
              <w:rPr>
                <w:rFonts w:ascii="Calibri" w:hAnsi="Calibri"/>
                <w:b/>
                <w:color w:val="FFFFFF"/>
                <w:sz w:val="19"/>
              </w:rPr>
              <w:t>Score</w:t>
            </w:r>
          </w:p>
        </w:tc>
        <w:tc>
          <w:tcPr>
            <w:tcW w:w="100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7F3B075" w14:textId="77777777" w:rsidR="00C50DB3" w:rsidRDefault="00000000">
            <w:pPr>
              <w:spacing w:before="40" w:after="40"/>
              <w:jc w:val="center"/>
            </w:pPr>
            <w:r>
              <w:rPr>
                <w:rFonts w:ascii="Calibri" w:hAnsi="Calibri"/>
                <w:b/>
                <w:color w:val="FFFFFF"/>
                <w:sz w:val="19"/>
              </w:rPr>
              <w:t>Weighted</w:t>
            </w:r>
          </w:p>
        </w:tc>
        <w:tc>
          <w:tcPr>
            <w:tcW w:w="100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AC537F8" w14:textId="77777777" w:rsidR="00C50DB3" w:rsidRDefault="00000000">
            <w:pPr>
              <w:spacing w:before="40" w:after="40"/>
              <w:jc w:val="center"/>
            </w:pPr>
            <w:r>
              <w:rPr>
                <w:rFonts w:ascii="Calibri" w:hAnsi="Calibri"/>
                <w:b/>
                <w:color w:val="FFFFFF"/>
                <w:sz w:val="19"/>
              </w:rPr>
              <w:t>Gate Status</w:t>
            </w:r>
          </w:p>
        </w:tc>
      </w:tr>
      <w:tr w:rsidR="00C50DB3" w14:paraId="3A79D4EF"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F639274" w14:textId="77777777" w:rsidR="00C50DB3" w:rsidRDefault="00000000">
            <w:pPr>
              <w:spacing w:before="40" w:after="40"/>
            </w:pPr>
            <w:r>
              <w:rPr>
                <w:rFonts w:ascii="Calibri" w:hAnsi="Calibri"/>
                <w:color w:val="24292E"/>
                <w:sz w:val="19"/>
              </w:rPr>
              <w:t>Strategic Alignment</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9F64FF1" w14:textId="77777777" w:rsidR="00C50DB3" w:rsidRDefault="00000000">
            <w:pPr>
              <w:spacing w:before="40" w:after="40"/>
              <w:jc w:val="center"/>
            </w:pPr>
            <w:r>
              <w:rPr>
                <w:rFonts w:ascii="Calibri" w:hAnsi="Calibri"/>
                <w:color w:val="24292E"/>
                <w:sz w:val="19"/>
              </w:rPr>
              <w:t>25%</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2965CEA8" w14:textId="77777777" w:rsidR="00C50DB3" w:rsidRDefault="00000000">
            <w:pPr>
              <w:spacing w:before="40" w:after="40"/>
            </w:pPr>
            <w:r>
              <w:rPr>
                <w:rFonts w:ascii="Calibri" w:hAnsi="Calibri"/>
                <w:color w:val="24292E"/>
                <w:sz w:val="19"/>
              </w:rPr>
              <w:t>Direct alignment with core business strategy, OKRs, and executive objectives</w:t>
            </w:r>
          </w:p>
        </w:tc>
        <w:tc>
          <w:tcPr>
            <w:tcW w:w="86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1B5D168" w14:textId="77777777" w:rsidR="00C50DB3" w:rsidRDefault="00000000">
            <w:pPr>
              <w:spacing w:before="40" w:after="40"/>
              <w:jc w:val="center"/>
            </w:pPr>
            <w:r>
              <w:rPr>
                <w:rFonts w:ascii="Calibri" w:hAnsi="Calibri"/>
                <w:color w:val="24292E"/>
                <w:sz w:val="19"/>
              </w:rPr>
              <w:t>[ 1–5 ]</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72F5C78" w14:textId="77777777" w:rsidR="00C50DB3" w:rsidRDefault="00000000">
            <w:pPr>
              <w:spacing w:before="40" w:after="40"/>
              <w:jc w:val="center"/>
            </w:pPr>
            <w:r>
              <w:rPr>
                <w:rFonts w:ascii="Calibri" w:hAnsi="Calibri"/>
                <w:color w:val="24292E"/>
                <w:sz w:val="19"/>
              </w:rPr>
              <w:t>[ Calc ]</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EFB51B1" w14:textId="77777777" w:rsidR="00C50DB3" w:rsidRDefault="00000000">
            <w:pPr>
              <w:spacing w:before="40" w:after="40"/>
              <w:jc w:val="center"/>
            </w:pPr>
            <w:r>
              <w:rPr>
                <w:rFonts w:ascii="Calibri" w:hAnsi="Calibri"/>
                <w:color w:val="24292E"/>
                <w:sz w:val="19"/>
              </w:rPr>
              <w:t>[ ] Pass</w:t>
            </w:r>
          </w:p>
        </w:tc>
      </w:tr>
      <w:tr w:rsidR="00C50DB3" w14:paraId="18F0CC42"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EEAA25F" w14:textId="77777777" w:rsidR="00C50DB3" w:rsidRDefault="00000000">
            <w:pPr>
              <w:spacing w:before="40" w:after="40"/>
            </w:pPr>
            <w:r>
              <w:rPr>
                <w:rFonts w:ascii="Calibri" w:hAnsi="Calibri"/>
                <w:color w:val="24292E"/>
                <w:sz w:val="19"/>
              </w:rPr>
              <w:t>Business Value &amp; ROI</w:t>
            </w:r>
          </w:p>
        </w:tc>
        <w:tc>
          <w:tcPr>
            <w:tcW w:w="100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A6416A4" w14:textId="77777777" w:rsidR="00C50DB3" w:rsidRDefault="00000000">
            <w:pPr>
              <w:spacing w:before="40" w:after="40"/>
              <w:jc w:val="center"/>
            </w:pPr>
            <w:r>
              <w:rPr>
                <w:rFonts w:ascii="Calibri" w:hAnsi="Calibri"/>
                <w:color w:val="24292E"/>
                <w:sz w:val="19"/>
              </w:rPr>
              <w:t>30%</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CC55C6F" w14:textId="77777777" w:rsidR="00C50DB3" w:rsidRDefault="00000000">
            <w:pPr>
              <w:spacing w:before="40" w:after="40"/>
            </w:pPr>
            <w:r>
              <w:rPr>
                <w:rFonts w:ascii="Calibri" w:hAnsi="Calibri"/>
                <w:color w:val="24292E"/>
                <w:sz w:val="19"/>
              </w:rPr>
              <w:t>Quantifiable cost savings, labor efficiency, cycle time reduction, or revenue gain</w:t>
            </w:r>
          </w:p>
        </w:tc>
        <w:tc>
          <w:tcPr>
            <w:tcW w:w="864"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A77D369" w14:textId="77777777" w:rsidR="00C50DB3" w:rsidRDefault="00000000">
            <w:pPr>
              <w:spacing w:before="40" w:after="40"/>
              <w:jc w:val="center"/>
            </w:pPr>
            <w:r>
              <w:rPr>
                <w:rFonts w:ascii="Calibri" w:hAnsi="Calibri"/>
                <w:color w:val="24292E"/>
                <w:sz w:val="19"/>
              </w:rPr>
              <w:t>[ 1–5 ]</w:t>
            </w:r>
          </w:p>
        </w:tc>
        <w:tc>
          <w:tcPr>
            <w:tcW w:w="100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1F628C1" w14:textId="77777777" w:rsidR="00C50DB3" w:rsidRDefault="00000000">
            <w:pPr>
              <w:spacing w:before="40" w:after="40"/>
              <w:jc w:val="center"/>
            </w:pPr>
            <w:r>
              <w:rPr>
                <w:rFonts w:ascii="Calibri" w:hAnsi="Calibri"/>
                <w:color w:val="24292E"/>
                <w:sz w:val="19"/>
              </w:rPr>
              <w:t>[ Calc ]</w:t>
            </w:r>
          </w:p>
        </w:tc>
        <w:tc>
          <w:tcPr>
            <w:tcW w:w="100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B864422" w14:textId="77777777" w:rsidR="00C50DB3" w:rsidRDefault="00000000">
            <w:pPr>
              <w:spacing w:before="40" w:after="40"/>
              <w:jc w:val="center"/>
            </w:pPr>
            <w:r>
              <w:rPr>
                <w:rFonts w:ascii="Calibri" w:hAnsi="Calibri"/>
                <w:color w:val="24292E"/>
                <w:sz w:val="19"/>
              </w:rPr>
              <w:t>[ ] Pass</w:t>
            </w:r>
          </w:p>
        </w:tc>
      </w:tr>
      <w:tr w:rsidR="00C50DB3" w14:paraId="08A9B364"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8D8B5D9" w14:textId="77777777" w:rsidR="00C50DB3" w:rsidRDefault="00000000">
            <w:pPr>
              <w:spacing w:before="40" w:after="40"/>
            </w:pPr>
            <w:r>
              <w:rPr>
                <w:rFonts w:ascii="Calibri" w:hAnsi="Calibri"/>
                <w:color w:val="24292E"/>
                <w:sz w:val="19"/>
              </w:rPr>
              <w:t>Data Readiness &amp; Feasibility</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CC536AC" w14:textId="77777777" w:rsidR="00C50DB3" w:rsidRDefault="00000000">
            <w:pPr>
              <w:spacing w:before="40" w:after="40"/>
              <w:jc w:val="center"/>
            </w:pPr>
            <w:r>
              <w:rPr>
                <w:rFonts w:ascii="Calibri" w:hAnsi="Calibri"/>
                <w:color w:val="24292E"/>
                <w:sz w:val="19"/>
              </w:rPr>
              <w:t>20%</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4CF5375" w14:textId="77777777" w:rsidR="00C50DB3" w:rsidRDefault="00000000">
            <w:pPr>
              <w:spacing w:before="40" w:after="40"/>
            </w:pPr>
            <w:r>
              <w:rPr>
                <w:rFonts w:ascii="Calibri" w:hAnsi="Calibri"/>
                <w:color w:val="24292E"/>
                <w:sz w:val="19"/>
              </w:rPr>
              <w:t>Clean schemas, accessible APIs, sufficient data volume, and low integration complexity</w:t>
            </w:r>
          </w:p>
        </w:tc>
        <w:tc>
          <w:tcPr>
            <w:tcW w:w="86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0C1635A" w14:textId="77777777" w:rsidR="00C50DB3" w:rsidRDefault="00000000">
            <w:pPr>
              <w:spacing w:before="40" w:after="40"/>
              <w:jc w:val="center"/>
            </w:pPr>
            <w:r>
              <w:rPr>
                <w:rFonts w:ascii="Calibri" w:hAnsi="Calibri"/>
                <w:color w:val="24292E"/>
                <w:sz w:val="19"/>
              </w:rPr>
              <w:t>[ 1–5 ]</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60D6835" w14:textId="77777777" w:rsidR="00C50DB3" w:rsidRDefault="00000000">
            <w:pPr>
              <w:spacing w:before="40" w:after="40"/>
              <w:jc w:val="center"/>
            </w:pPr>
            <w:r>
              <w:rPr>
                <w:rFonts w:ascii="Calibri" w:hAnsi="Calibri"/>
                <w:color w:val="24292E"/>
                <w:sz w:val="19"/>
              </w:rPr>
              <w:t>[ Calc ]</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B63A47B" w14:textId="77777777" w:rsidR="00C50DB3" w:rsidRDefault="00000000">
            <w:pPr>
              <w:spacing w:before="40" w:after="40"/>
              <w:jc w:val="center"/>
            </w:pPr>
            <w:r>
              <w:rPr>
                <w:rFonts w:ascii="Calibri" w:hAnsi="Calibri"/>
                <w:color w:val="24292E"/>
                <w:sz w:val="19"/>
              </w:rPr>
              <w:t>[ ] Pass</w:t>
            </w:r>
          </w:p>
        </w:tc>
      </w:tr>
      <w:tr w:rsidR="00C50DB3" w14:paraId="3B4EC79D"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153B959" w14:textId="77777777" w:rsidR="00C50DB3" w:rsidRDefault="00000000">
            <w:pPr>
              <w:spacing w:before="40" w:after="40"/>
            </w:pPr>
            <w:r>
              <w:rPr>
                <w:rFonts w:ascii="Calibri" w:hAnsi="Calibri"/>
                <w:color w:val="24292E"/>
                <w:sz w:val="19"/>
              </w:rPr>
              <w:t>Risk &amp; Regulatory Level</w:t>
            </w:r>
          </w:p>
        </w:tc>
        <w:tc>
          <w:tcPr>
            <w:tcW w:w="100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3FA8A1D" w14:textId="77777777" w:rsidR="00C50DB3" w:rsidRDefault="00000000">
            <w:pPr>
              <w:spacing w:before="40" w:after="40"/>
              <w:jc w:val="center"/>
            </w:pPr>
            <w:r>
              <w:rPr>
                <w:rFonts w:ascii="Calibri" w:hAnsi="Calibri"/>
                <w:color w:val="24292E"/>
                <w:sz w:val="19"/>
              </w:rPr>
              <w:t>15%</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D913AE6" w14:textId="77777777" w:rsidR="00C50DB3" w:rsidRDefault="00000000">
            <w:pPr>
              <w:spacing w:before="40" w:after="40"/>
            </w:pPr>
            <w:r>
              <w:rPr>
                <w:rFonts w:ascii="Calibri" w:hAnsi="Calibri"/>
                <w:color w:val="24292E"/>
                <w:sz w:val="19"/>
              </w:rPr>
              <w:t>Low privacy/security exposure = High score (5 = Low Risk; 1 = Extreme Risk)</w:t>
            </w:r>
          </w:p>
        </w:tc>
        <w:tc>
          <w:tcPr>
            <w:tcW w:w="864"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78D6485" w14:textId="77777777" w:rsidR="00C50DB3" w:rsidRDefault="00000000">
            <w:pPr>
              <w:spacing w:before="40" w:after="40"/>
              <w:jc w:val="center"/>
            </w:pPr>
            <w:r>
              <w:rPr>
                <w:rFonts w:ascii="Calibri" w:hAnsi="Calibri"/>
                <w:color w:val="24292E"/>
                <w:sz w:val="19"/>
              </w:rPr>
              <w:t>[ 1–5 ]</w:t>
            </w:r>
          </w:p>
        </w:tc>
        <w:tc>
          <w:tcPr>
            <w:tcW w:w="100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4656096C" w14:textId="77777777" w:rsidR="00C50DB3" w:rsidRDefault="00000000">
            <w:pPr>
              <w:spacing w:before="40" w:after="40"/>
              <w:jc w:val="center"/>
            </w:pPr>
            <w:r>
              <w:rPr>
                <w:rFonts w:ascii="Calibri" w:hAnsi="Calibri"/>
                <w:color w:val="24292E"/>
                <w:sz w:val="19"/>
              </w:rPr>
              <w:t>[ Calc ]</w:t>
            </w:r>
          </w:p>
        </w:tc>
        <w:tc>
          <w:tcPr>
            <w:tcW w:w="100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DB45C88" w14:textId="77777777" w:rsidR="00C50DB3" w:rsidRDefault="00000000">
            <w:pPr>
              <w:spacing w:before="40" w:after="40"/>
              <w:jc w:val="center"/>
            </w:pPr>
            <w:r>
              <w:rPr>
                <w:rFonts w:ascii="Calibri" w:hAnsi="Calibri"/>
                <w:color w:val="24292E"/>
                <w:sz w:val="19"/>
              </w:rPr>
              <w:t>[ ] Pass</w:t>
            </w:r>
          </w:p>
        </w:tc>
      </w:tr>
      <w:tr w:rsidR="00C50DB3" w14:paraId="5908E582"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84CB5C3" w14:textId="77777777" w:rsidR="00C50DB3" w:rsidRDefault="00000000">
            <w:pPr>
              <w:spacing w:before="40" w:after="40"/>
            </w:pPr>
            <w:r>
              <w:rPr>
                <w:rFonts w:ascii="Calibri" w:hAnsi="Calibri"/>
                <w:color w:val="24292E"/>
                <w:sz w:val="19"/>
              </w:rPr>
              <w:t>Stakeholder Sponsorship</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1E5F0FB" w14:textId="77777777" w:rsidR="00C50DB3" w:rsidRDefault="00000000">
            <w:pPr>
              <w:spacing w:before="40" w:after="40"/>
              <w:jc w:val="center"/>
            </w:pPr>
            <w:r>
              <w:rPr>
                <w:rFonts w:ascii="Calibri" w:hAnsi="Calibri"/>
                <w:color w:val="24292E"/>
                <w:sz w:val="19"/>
              </w:rPr>
              <w:t>10%</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D5A7951" w14:textId="77777777" w:rsidR="00C50DB3" w:rsidRDefault="00000000">
            <w:pPr>
              <w:spacing w:before="40" w:after="40"/>
            </w:pPr>
            <w:r>
              <w:rPr>
                <w:rFonts w:ascii="Calibri" w:hAnsi="Calibri"/>
                <w:color w:val="24292E"/>
                <w:sz w:val="19"/>
              </w:rPr>
              <w:t>Committed business owner, dedicated subject matter experts, and clear operational home</w:t>
            </w:r>
          </w:p>
        </w:tc>
        <w:tc>
          <w:tcPr>
            <w:tcW w:w="86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2ECF1BD" w14:textId="77777777" w:rsidR="00C50DB3" w:rsidRDefault="00000000">
            <w:pPr>
              <w:spacing w:before="40" w:after="40"/>
              <w:jc w:val="center"/>
            </w:pPr>
            <w:r>
              <w:rPr>
                <w:rFonts w:ascii="Calibri" w:hAnsi="Calibri"/>
                <w:color w:val="24292E"/>
                <w:sz w:val="19"/>
              </w:rPr>
              <w:t>[ 1–5 ]</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702CD47" w14:textId="77777777" w:rsidR="00C50DB3" w:rsidRDefault="00000000">
            <w:pPr>
              <w:spacing w:before="40" w:after="40"/>
              <w:jc w:val="center"/>
            </w:pPr>
            <w:r>
              <w:rPr>
                <w:rFonts w:ascii="Calibri" w:hAnsi="Calibri"/>
                <w:color w:val="24292E"/>
                <w:sz w:val="19"/>
              </w:rPr>
              <w:t>[ Calc ]</w:t>
            </w:r>
          </w:p>
        </w:tc>
        <w:tc>
          <w:tcPr>
            <w:tcW w:w="100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18A1307" w14:textId="77777777" w:rsidR="00C50DB3" w:rsidRDefault="00000000">
            <w:pPr>
              <w:spacing w:before="40" w:after="40"/>
              <w:jc w:val="center"/>
            </w:pPr>
            <w:r>
              <w:rPr>
                <w:rFonts w:ascii="Calibri" w:hAnsi="Calibri"/>
                <w:color w:val="24292E"/>
                <w:sz w:val="19"/>
              </w:rPr>
              <w:t>[ ] Pass</w:t>
            </w:r>
          </w:p>
        </w:tc>
      </w:tr>
    </w:tbl>
    <w:p w14:paraId="455990B5" w14:textId="77777777" w:rsidR="00C50DB3" w:rsidRDefault="00000000">
      <w:pPr>
        <w:spacing w:after="120"/>
      </w:pPr>
      <w:r>
        <w:rPr>
          <w:rFonts w:ascii="Calibri" w:hAnsi="Calibri"/>
          <w:b/>
          <w:color w:val="1B365D"/>
          <w:sz w:val="21"/>
        </w:rPr>
        <w:t xml:space="preserve">Note on Value Accountability: </w:t>
      </w:r>
      <w:r>
        <w:rPr>
          <w:rFonts w:ascii="Calibri" w:hAnsi="Calibri"/>
          <w:color w:val="24292E"/>
          <w:sz w:val="20"/>
        </w:rPr>
        <w:t>Benefit Tracking Protocol: Expected business benefits documented during intake must be baselined before development begins and re-evaluated at 30-, 60-, and 90-day intervals post-deployment to confirm value realization.</w:t>
      </w:r>
    </w:p>
    <w:p w14:paraId="1811397C" w14:textId="77777777" w:rsidR="00C50DB3" w:rsidRDefault="00000000">
      <w:pPr>
        <w:pStyle w:val="Heading1"/>
        <w:spacing w:before="360" w:after="120"/>
      </w:pPr>
      <w:r>
        <w:rPr>
          <w:rFonts w:ascii="Calibri" w:hAnsi="Calibri"/>
          <w:color w:val="1B365D"/>
          <w:sz w:val="32"/>
        </w:rPr>
        <w:t>2.0 Governance, Risk &amp; Security Controls</w:t>
      </w:r>
    </w:p>
    <w:tbl>
      <w:tblPr>
        <w:tblW w:w="0" w:type="auto"/>
        <w:jc w:val="center"/>
        <w:tblLayout w:type="fixed"/>
        <w:tblLook w:val="04A0" w:firstRow="1" w:lastRow="0" w:firstColumn="1" w:lastColumn="0" w:noHBand="0" w:noVBand="1"/>
      </w:tblPr>
      <w:tblGrid>
        <w:gridCol w:w="9360"/>
      </w:tblGrid>
      <w:tr w:rsidR="00C50DB3" w14:paraId="53330FF9"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67D719B2" w14:textId="77777777" w:rsidR="00C50DB3" w:rsidRDefault="00000000">
            <w:pPr>
              <w:spacing w:before="40" w:after="80"/>
            </w:pPr>
            <w:r>
              <w:rPr>
                <w:rFonts w:ascii="Calibri" w:hAnsi="Calibri"/>
                <w:b/>
                <w:color w:val="1B365D"/>
                <w:sz w:val="21"/>
              </w:rPr>
              <w:t>💡 GUIDANCE &amp; CHALLENGE MANAGEMENT: GOVERNANCE &amp; SECURITY CHALLENGES</w:t>
            </w:r>
            <w:r>
              <w:rPr>
                <w:rFonts w:ascii="Calibri" w:hAnsi="Calibri"/>
                <w:b/>
                <w:color w:val="1B365D"/>
                <w:sz w:val="21"/>
              </w:rPr>
              <w:br/>
            </w:r>
            <w:r>
              <w:rPr>
                <w:rFonts w:ascii="Calibri" w:hAnsi="Calibri"/>
                <w:i/>
                <w:color w:val="24292E"/>
                <w:sz w:val="19"/>
              </w:rPr>
              <w:t>Challenge: Enterprise AI adoption frequently suffers from governance bottlenecking—where compliance, legal, and InfoSec teams are consulted at the end of a project, resulting in sudden project holds, costly architectural rewrites, or outright cancellations due to unmitigated data privacy, shadow model usage, or intellectual property concerns.</w:t>
            </w:r>
          </w:p>
          <w:p w14:paraId="42019EBA" w14:textId="77777777" w:rsidR="00C50DB3" w:rsidRDefault="00000000">
            <w:pPr>
              <w:spacing w:before="80" w:after="80"/>
            </w:pPr>
            <w:r>
              <w:rPr>
                <w:rFonts w:ascii="Calibri" w:hAnsi="Calibri"/>
                <w:i/>
                <w:color w:val="24292E"/>
                <w:sz w:val="19"/>
              </w:rPr>
              <w:t xml:space="preserve">Management Approach: Governance must operate as a pre-flight prerequisite rather than a post-development security audit. The CoE implements automated risk classification at intake. Projects dealing with low-risk data leverage pre-approved cloud guardrails and fast-track approval lanes. High-risk projects (handling PII, financial secrets, or automated decisions) trigger early engagement with InfoSec and Legal during the initial Foundation </w:t>
            </w:r>
            <w:r>
              <w:rPr>
                <w:rFonts w:ascii="Calibri" w:hAnsi="Calibri"/>
                <w:i/>
                <w:color w:val="24292E"/>
                <w:sz w:val="19"/>
              </w:rPr>
              <w:lastRenderedPageBreak/>
              <w:t>Setup, ensuring compliance controls are built directly into the system architecture.</w:t>
            </w:r>
          </w:p>
        </w:tc>
      </w:tr>
    </w:tbl>
    <w:p w14:paraId="26D685D7" w14:textId="77777777" w:rsidR="00C50DB3" w:rsidRDefault="00000000">
      <w:pPr>
        <w:pStyle w:val="Heading2"/>
        <w:spacing w:before="280" w:after="80"/>
      </w:pPr>
      <w:r>
        <w:rPr>
          <w:rFonts w:ascii="Calibri" w:hAnsi="Calibri"/>
          <w:color w:val="334E68"/>
        </w:rPr>
        <w:lastRenderedPageBreak/>
        <w:t>2.1 Enterprise Governance Structure &amp; RACI Decision Rights</w:t>
      </w:r>
    </w:p>
    <w:p w14:paraId="0ED956E2" w14:textId="77777777" w:rsidR="00C50DB3" w:rsidRDefault="00000000">
      <w:pPr>
        <w:spacing w:after="120"/>
      </w:pPr>
      <w:r>
        <w:rPr>
          <w:rFonts w:ascii="Calibri" w:hAnsi="Calibri"/>
          <w:color w:val="24292E"/>
          <w:sz w:val="20"/>
        </w:rPr>
        <w:t>Governance establishes clear authority, decision-making rights, and operational oversight across the AI delivery lifecycle. Rather than creating duplicative administrative committees, AI CoE governance leverages existing organizational oversight forums—including Executive Steering Committees, Architecture Review Boards (ARB), and Change Advisory Boards (CAB).</w:t>
      </w:r>
    </w:p>
    <w:p w14:paraId="42E6E468" w14:textId="77777777" w:rsidR="00C50DB3" w:rsidRDefault="00000000">
      <w:pPr>
        <w:spacing w:after="120"/>
      </w:pPr>
      <w:r>
        <w:rPr>
          <w:rFonts w:ascii="Calibri" w:hAnsi="Calibri"/>
          <w:color w:val="24292E"/>
          <w:sz w:val="20"/>
        </w:rPr>
        <w:t>The RACI Matrix below establishes single-point accountability across all core lifecycle phases, eliminating ambiguity between technical teams, business sponsors, and compliance oversight functions:</w:t>
      </w:r>
    </w:p>
    <w:tbl>
      <w:tblPr>
        <w:tblW w:w="0" w:type="auto"/>
        <w:jc w:val="center"/>
        <w:tblLayout w:type="fixed"/>
        <w:tblLook w:val="04A0" w:firstRow="1" w:lastRow="0" w:firstColumn="1" w:lastColumn="0" w:noHBand="0" w:noVBand="1"/>
      </w:tblPr>
      <w:tblGrid>
        <w:gridCol w:w="3060"/>
        <w:gridCol w:w="1260"/>
        <w:gridCol w:w="1260"/>
        <w:gridCol w:w="1260"/>
        <w:gridCol w:w="1260"/>
        <w:gridCol w:w="1260"/>
      </w:tblGrid>
      <w:tr w:rsidR="00C50DB3" w14:paraId="11F3A92C" w14:textId="77777777" w:rsidTr="00392D82">
        <w:trPr>
          <w:jc w:val="center"/>
        </w:trPr>
        <w:tc>
          <w:tcPr>
            <w:tcW w:w="30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ED54E7C" w14:textId="77777777" w:rsidR="00C50DB3" w:rsidRDefault="00000000">
            <w:pPr>
              <w:spacing w:before="40" w:after="40"/>
            </w:pPr>
            <w:r>
              <w:rPr>
                <w:rFonts w:ascii="Calibri" w:hAnsi="Calibri"/>
                <w:b/>
                <w:color w:val="FFFFFF"/>
                <w:sz w:val="19"/>
              </w:rPr>
              <w:t>Project Lifecycle Phase</w:t>
            </w:r>
          </w:p>
        </w:tc>
        <w:tc>
          <w:tcPr>
            <w:tcW w:w="12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830C9AE" w14:textId="77777777" w:rsidR="00C50DB3" w:rsidRDefault="00000000">
            <w:pPr>
              <w:spacing w:before="40" w:after="40"/>
              <w:jc w:val="center"/>
            </w:pPr>
            <w:r>
              <w:rPr>
                <w:rFonts w:ascii="Calibri" w:hAnsi="Calibri"/>
                <w:b/>
                <w:color w:val="FFFFFF"/>
                <w:sz w:val="19"/>
              </w:rPr>
              <w:t>CoE Lead</w:t>
            </w:r>
          </w:p>
        </w:tc>
        <w:tc>
          <w:tcPr>
            <w:tcW w:w="12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2B601DD" w14:textId="77777777" w:rsidR="00C50DB3" w:rsidRDefault="00000000">
            <w:pPr>
              <w:spacing w:before="40" w:after="40"/>
              <w:jc w:val="center"/>
            </w:pPr>
            <w:r>
              <w:rPr>
                <w:rFonts w:ascii="Calibri" w:hAnsi="Calibri"/>
                <w:b/>
                <w:color w:val="FFFFFF"/>
                <w:sz w:val="19"/>
              </w:rPr>
              <w:t>Business Owner</w:t>
            </w:r>
          </w:p>
        </w:tc>
        <w:tc>
          <w:tcPr>
            <w:tcW w:w="12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B72331B" w14:textId="77777777" w:rsidR="00C50DB3" w:rsidRDefault="00000000">
            <w:pPr>
              <w:spacing w:before="40" w:after="40"/>
              <w:jc w:val="center"/>
            </w:pPr>
            <w:r>
              <w:rPr>
                <w:rFonts w:ascii="Calibri" w:hAnsi="Calibri"/>
                <w:b/>
                <w:color w:val="FFFFFF"/>
                <w:sz w:val="19"/>
              </w:rPr>
              <w:t>InfoSec / Legal</w:t>
            </w:r>
          </w:p>
        </w:tc>
        <w:tc>
          <w:tcPr>
            <w:tcW w:w="12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71F7903" w14:textId="77777777" w:rsidR="00C50DB3" w:rsidRDefault="00000000">
            <w:pPr>
              <w:spacing w:before="40" w:after="40"/>
              <w:jc w:val="center"/>
            </w:pPr>
            <w:r>
              <w:rPr>
                <w:rFonts w:ascii="Calibri" w:hAnsi="Calibri"/>
                <w:b/>
                <w:color w:val="FFFFFF"/>
                <w:sz w:val="19"/>
              </w:rPr>
              <w:t>Dev Lead</w:t>
            </w:r>
          </w:p>
        </w:tc>
        <w:tc>
          <w:tcPr>
            <w:tcW w:w="12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D7238A4" w14:textId="77777777" w:rsidR="00C50DB3" w:rsidRDefault="00000000">
            <w:pPr>
              <w:spacing w:before="40" w:after="40"/>
              <w:jc w:val="center"/>
            </w:pPr>
            <w:r>
              <w:rPr>
                <w:rFonts w:ascii="Calibri" w:hAnsi="Calibri"/>
                <w:b/>
                <w:color w:val="FFFFFF"/>
                <w:sz w:val="19"/>
              </w:rPr>
              <w:t>SRE / Ops</w:t>
            </w:r>
          </w:p>
        </w:tc>
      </w:tr>
      <w:tr w:rsidR="00C50DB3" w14:paraId="5EB7D875" w14:textId="77777777" w:rsidTr="00392D82">
        <w:trPr>
          <w:jc w:val="center"/>
        </w:trPr>
        <w:tc>
          <w:tcPr>
            <w:tcW w:w="30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BADBC4C" w14:textId="77777777" w:rsidR="00C50DB3" w:rsidRDefault="00000000">
            <w:pPr>
              <w:spacing w:before="40" w:after="40"/>
            </w:pPr>
            <w:r>
              <w:rPr>
                <w:rFonts w:ascii="Calibri" w:hAnsi="Calibri"/>
                <w:color w:val="24292E"/>
                <w:sz w:val="19"/>
              </w:rPr>
              <w:t>1. Intake &amp; Opportunity Scoring</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31D9C1B" w14:textId="77777777" w:rsidR="00C50DB3" w:rsidRDefault="00000000">
            <w:pPr>
              <w:spacing w:before="40" w:after="40"/>
              <w:jc w:val="center"/>
            </w:pPr>
            <w:r>
              <w:rPr>
                <w:rFonts w:ascii="Calibri" w:hAnsi="Calibri"/>
                <w:color w:val="24292E"/>
                <w:sz w:val="19"/>
              </w:rPr>
              <w:t>Accountable</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1FA9240" w14:textId="77777777" w:rsidR="00C50DB3" w:rsidRDefault="00000000">
            <w:pPr>
              <w:spacing w:before="40" w:after="40"/>
              <w:jc w:val="center"/>
            </w:pPr>
            <w:r>
              <w:rPr>
                <w:rFonts w:ascii="Calibri" w:hAnsi="Calibri"/>
                <w:color w:val="24292E"/>
                <w:sz w:val="19"/>
              </w:rPr>
              <w:t>Responsible</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4C95DF2" w14:textId="77777777" w:rsidR="00C50DB3" w:rsidRDefault="00000000">
            <w:pPr>
              <w:spacing w:before="40" w:after="40"/>
              <w:jc w:val="center"/>
            </w:pPr>
            <w:r>
              <w:rPr>
                <w:rFonts w:ascii="Calibri" w:hAnsi="Calibri"/>
                <w:color w:val="24292E"/>
                <w:sz w:val="19"/>
              </w:rPr>
              <w:t>Consulted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C25C557" w14:textId="77777777" w:rsidR="00C50DB3" w:rsidRDefault="00000000">
            <w:pPr>
              <w:spacing w:before="40" w:after="40"/>
              <w:jc w:val="center"/>
            </w:pPr>
            <w:r>
              <w:rPr>
                <w:rFonts w:ascii="Calibri" w:hAnsi="Calibri"/>
                <w:color w:val="24292E"/>
                <w:sz w:val="19"/>
              </w:rPr>
              <w:t>Informed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0105C76" w14:textId="77777777" w:rsidR="00C50DB3" w:rsidRDefault="00000000">
            <w:pPr>
              <w:spacing w:before="40" w:after="40"/>
              <w:jc w:val="center"/>
            </w:pPr>
            <w:r>
              <w:rPr>
                <w:rFonts w:ascii="Calibri" w:hAnsi="Calibri"/>
                <w:color w:val="24292E"/>
                <w:sz w:val="19"/>
              </w:rPr>
              <w:t>Informed</w:t>
            </w:r>
          </w:p>
        </w:tc>
      </w:tr>
      <w:tr w:rsidR="00C50DB3" w14:paraId="30F5733F" w14:textId="77777777" w:rsidTr="00392D82">
        <w:trPr>
          <w:jc w:val="center"/>
        </w:trPr>
        <w:tc>
          <w:tcPr>
            <w:tcW w:w="30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4DF7E62E" w14:textId="77777777" w:rsidR="00C50DB3" w:rsidRDefault="00000000">
            <w:pPr>
              <w:spacing w:before="40" w:after="40"/>
            </w:pPr>
            <w:r>
              <w:rPr>
                <w:rFonts w:ascii="Calibri" w:hAnsi="Calibri"/>
                <w:color w:val="24292E"/>
                <w:sz w:val="19"/>
              </w:rPr>
              <w:t>2. Risk Tiering &amp; Security Sign-off</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A465F35" w14:textId="77777777" w:rsidR="00C50DB3" w:rsidRDefault="00000000">
            <w:pPr>
              <w:spacing w:before="40" w:after="40"/>
              <w:jc w:val="center"/>
            </w:pPr>
            <w:r>
              <w:rPr>
                <w:rFonts w:ascii="Calibri" w:hAnsi="Calibri"/>
                <w:color w:val="24292E"/>
                <w:sz w:val="19"/>
              </w:rPr>
              <w:t>Consulted</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8BF4EB1" w14:textId="77777777" w:rsidR="00C50DB3" w:rsidRDefault="00000000">
            <w:pPr>
              <w:spacing w:before="40" w:after="40"/>
              <w:jc w:val="center"/>
            </w:pPr>
            <w:r>
              <w:rPr>
                <w:rFonts w:ascii="Calibri" w:hAnsi="Calibri"/>
                <w:color w:val="24292E"/>
                <w:sz w:val="19"/>
              </w:rPr>
              <w:t>Accountable</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1E3ABF5C" w14:textId="77777777" w:rsidR="00C50DB3" w:rsidRDefault="00000000">
            <w:pPr>
              <w:spacing w:before="40" w:after="40"/>
              <w:jc w:val="center"/>
            </w:pPr>
            <w:r>
              <w:rPr>
                <w:rFonts w:ascii="Calibri" w:hAnsi="Calibri"/>
                <w:color w:val="24292E"/>
                <w:sz w:val="19"/>
              </w:rPr>
              <w:t>Responsible</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4ECBE4D8" w14:textId="77777777" w:rsidR="00C50DB3" w:rsidRDefault="00000000">
            <w:pPr>
              <w:spacing w:before="40" w:after="40"/>
              <w:jc w:val="center"/>
            </w:pPr>
            <w:r>
              <w:rPr>
                <w:rFonts w:ascii="Calibri" w:hAnsi="Calibri"/>
                <w:color w:val="24292E"/>
                <w:sz w:val="19"/>
              </w:rPr>
              <w:t>Consulted</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F1703B0" w14:textId="77777777" w:rsidR="00C50DB3" w:rsidRDefault="00000000">
            <w:pPr>
              <w:spacing w:before="40" w:after="40"/>
              <w:jc w:val="center"/>
            </w:pPr>
            <w:r>
              <w:rPr>
                <w:rFonts w:ascii="Calibri" w:hAnsi="Calibri"/>
                <w:color w:val="24292E"/>
                <w:sz w:val="19"/>
              </w:rPr>
              <w:t>Informed</w:t>
            </w:r>
          </w:p>
        </w:tc>
      </w:tr>
      <w:tr w:rsidR="00C50DB3" w14:paraId="2FBCAF83" w14:textId="77777777" w:rsidTr="00392D82">
        <w:trPr>
          <w:jc w:val="center"/>
        </w:trPr>
        <w:tc>
          <w:tcPr>
            <w:tcW w:w="30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352F88D" w14:textId="77777777" w:rsidR="00C50DB3" w:rsidRDefault="00000000">
            <w:pPr>
              <w:spacing w:before="40" w:after="40"/>
            </w:pPr>
            <w:r>
              <w:rPr>
                <w:rFonts w:ascii="Calibri" w:hAnsi="Calibri"/>
                <w:color w:val="24292E"/>
                <w:sz w:val="19"/>
              </w:rPr>
              <w:t>3. Foundation &amp; Environment Setup</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11609B2" w14:textId="77777777" w:rsidR="00C50DB3" w:rsidRDefault="00000000">
            <w:pPr>
              <w:spacing w:before="40" w:after="40"/>
              <w:jc w:val="center"/>
            </w:pPr>
            <w:r>
              <w:rPr>
                <w:rFonts w:ascii="Calibri" w:hAnsi="Calibri"/>
                <w:color w:val="24292E"/>
                <w:sz w:val="19"/>
              </w:rPr>
              <w:t>Accountable</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57ECEA7" w14:textId="77777777" w:rsidR="00C50DB3" w:rsidRDefault="00000000">
            <w:pPr>
              <w:spacing w:before="40" w:after="40"/>
              <w:jc w:val="center"/>
            </w:pPr>
            <w:r>
              <w:rPr>
                <w:rFonts w:ascii="Calibri" w:hAnsi="Calibri"/>
                <w:color w:val="24292E"/>
                <w:sz w:val="19"/>
              </w:rPr>
              <w:t>Informed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CCAA01A" w14:textId="77777777" w:rsidR="00C50DB3" w:rsidRDefault="00000000">
            <w:pPr>
              <w:spacing w:before="40" w:after="40"/>
              <w:jc w:val="center"/>
            </w:pPr>
            <w:r>
              <w:rPr>
                <w:rFonts w:ascii="Calibri" w:hAnsi="Calibri"/>
                <w:color w:val="24292E"/>
                <w:sz w:val="19"/>
              </w:rPr>
              <w:t>Consulted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46CF191" w14:textId="77777777" w:rsidR="00C50DB3" w:rsidRDefault="00000000">
            <w:pPr>
              <w:spacing w:before="40" w:after="40"/>
              <w:jc w:val="center"/>
            </w:pPr>
            <w:r>
              <w:rPr>
                <w:rFonts w:ascii="Calibri" w:hAnsi="Calibri"/>
                <w:color w:val="24292E"/>
                <w:sz w:val="19"/>
              </w:rPr>
              <w:t>Responsible</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27C25A3" w14:textId="77777777" w:rsidR="00C50DB3" w:rsidRDefault="00000000">
            <w:pPr>
              <w:spacing w:before="40" w:after="40"/>
              <w:jc w:val="center"/>
            </w:pPr>
            <w:r>
              <w:rPr>
                <w:rFonts w:ascii="Calibri" w:hAnsi="Calibri"/>
                <w:color w:val="24292E"/>
                <w:sz w:val="19"/>
              </w:rPr>
              <w:t>Consulted</w:t>
            </w:r>
          </w:p>
        </w:tc>
      </w:tr>
      <w:tr w:rsidR="00C50DB3" w14:paraId="5FE04EA2" w14:textId="77777777" w:rsidTr="00392D82">
        <w:trPr>
          <w:jc w:val="center"/>
        </w:trPr>
        <w:tc>
          <w:tcPr>
            <w:tcW w:w="30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4A6117F" w14:textId="77777777" w:rsidR="00C50DB3" w:rsidRDefault="00000000">
            <w:pPr>
              <w:spacing w:before="40" w:after="40"/>
            </w:pPr>
            <w:r>
              <w:rPr>
                <w:rFonts w:ascii="Calibri" w:hAnsi="Calibri"/>
                <w:color w:val="24292E"/>
                <w:sz w:val="19"/>
              </w:rPr>
              <w:t>4. Rapid Iteration Sprints (1–3 Day)</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1FA3E55" w14:textId="77777777" w:rsidR="00C50DB3" w:rsidRDefault="00000000">
            <w:pPr>
              <w:spacing w:before="40" w:after="40"/>
              <w:jc w:val="center"/>
            </w:pPr>
            <w:r>
              <w:rPr>
                <w:rFonts w:ascii="Calibri" w:hAnsi="Calibri"/>
                <w:color w:val="24292E"/>
                <w:sz w:val="19"/>
              </w:rPr>
              <w:t>Accountable</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18360CD6" w14:textId="77777777" w:rsidR="00C50DB3" w:rsidRDefault="00000000">
            <w:pPr>
              <w:spacing w:before="40" w:after="40"/>
              <w:jc w:val="center"/>
            </w:pPr>
            <w:r>
              <w:rPr>
                <w:rFonts w:ascii="Calibri" w:hAnsi="Calibri"/>
                <w:color w:val="24292E"/>
                <w:sz w:val="19"/>
              </w:rPr>
              <w:t>Responsible</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C972BEE" w14:textId="77777777" w:rsidR="00C50DB3" w:rsidRDefault="00000000">
            <w:pPr>
              <w:spacing w:before="40" w:after="40"/>
              <w:jc w:val="center"/>
            </w:pPr>
            <w:r>
              <w:rPr>
                <w:rFonts w:ascii="Calibri" w:hAnsi="Calibri"/>
                <w:color w:val="24292E"/>
                <w:sz w:val="19"/>
              </w:rPr>
              <w:t>Informed</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E7D4085" w14:textId="77777777" w:rsidR="00C50DB3" w:rsidRDefault="00000000">
            <w:pPr>
              <w:spacing w:before="40" w:after="40"/>
              <w:jc w:val="center"/>
            </w:pPr>
            <w:r>
              <w:rPr>
                <w:rFonts w:ascii="Calibri" w:hAnsi="Calibri"/>
                <w:color w:val="24292E"/>
                <w:sz w:val="19"/>
              </w:rPr>
              <w:t>Responsible</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6212049" w14:textId="77777777" w:rsidR="00C50DB3" w:rsidRDefault="00000000">
            <w:pPr>
              <w:spacing w:before="40" w:after="40"/>
              <w:jc w:val="center"/>
            </w:pPr>
            <w:r>
              <w:rPr>
                <w:rFonts w:ascii="Calibri" w:hAnsi="Calibri"/>
                <w:color w:val="24292E"/>
                <w:sz w:val="19"/>
              </w:rPr>
              <w:t>Informed</w:t>
            </w:r>
          </w:p>
        </w:tc>
      </w:tr>
      <w:tr w:rsidR="00C50DB3" w14:paraId="65835D7A" w14:textId="77777777" w:rsidTr="00392D82">
        <w:trPr>
          <w:jc w:val="center"/>
        </w:trPr>
        <w:tc>
          <w:tcPr>
            <w:tcW w:w="30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B358CF2" w14:textId="77777777" w:rsidR="00C50DB3" w:rsidRDefault="00000000">
            <w:pPr>
              <w:spacing w:before="40" w:after="40"/>
            </w:pPr>
            <w:r>
              <w:rPr>
                <w:rFonts w:ascii="Calibri" w:hAnsi="Calibri"/>
                <w:color w:val="24292E"/>
                <w:sz w:val="19"/>
              </w:rPr>
              <w:t>5. Production Gate &amp; BAU Transition</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06CEF91" w14:textId="77777777" w:rsidR="00C50DB3" w:rsidRDefault="00000000">
            <w:pPr>
              <w:spacing w:before="40" w:after="40"/>
              <w:jc w:val="center"/>
            </w:pPr>
            <w:r>
              <w:rPr>
                <w:rFonts w:ascii="Calibri" w:hAnsi="Calibri"/>
                <w:color w:val="24292E"/>
                <w:sz w:val="19"/>
              </w:rPr>
              <w:t>Accountable</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E2F4460" w14:textId="77777777" w:rsidR="00C50DB3" w:rsidRDefault="00000000">
            <w:pPr>
              <w:spacing w:before="40" w:after="40"/>
              <w:jc w:val="center"/>
            </w:pPr>
            <w:r>
              <w:rPr>
                <w:rFonts w:ascii="Calibri" w:hAnsi="Calibri"/>
                <w:color w:val="24292E"/>
                <w:sz w:val="19"/>
              </w:rPr>
              <w:t>Accountable</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65EE148" w14:textId="77777777" w:rsidR="00C50DB3" w:rsidRDefault="00000000">
            <w:pPr>
              <w:spacing w:before="40" w:after="40"/>
              <w:jc w:val="center"/>
            </w:pPr>
            <w:r>
              <w:rPr>
                <w:rFonts w:ascii="Calibri" w:hAnsi="Calibri"/>
                <w:color w:val="24292E"/>
                <w:sz w:val="19"/>
              </w:rPr>
              <w:t>Consulted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0F548CA" w14:textId="77777777" w:rsidR="00C50DB3" w:rsidRDefault="00000000">
            <w:pPr>
              <w:spacing w:before="40" w:after="40"/>
              <w:jc w:val="center"/>
            </w:pPr>
            <w:r>
              <w:rPr>
                <w:rFonts w:ascii="Calibri" w:hAnsi="Calibri"/>
                <w:color w:val="24292E"/>
                <w:sz w:val="19"/>
              </w:rPr>
              <w:t>Consulted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CF67216" w14:textId="77777777" w:rsidR="00C50DB3" w:rsidRDefault="00000000">
            <w:pPr>
              <w:spacing w:before="40" w:after="40"/>
              <w:jc w:val="center"/>
            </w:pPr>
            <w:r>
              <w:rPr>
                <w:rFonts w:ascii="Calibri" w:hAnsi="Calibri"/>
                <w:color w:val="24292E"/>
                <w:sz w:val="19"/>
              </w:rPr>
              <w:t>Responsible</w:t>
            </w:r>
          </w:p>
        </w:tc>
      </w:tr>
    </w:tbl>
    <w:p w14:paraId="7BA606F4" w14:textId="77777777" w:rsidR="00C50DB3" w:rsidRDefault="00000000">
      <w:pPr>
        <w:pStyle w:val="Heading2"/>
        <w:spacing w:before="280" w:after="80"/>
      </w:pPr>
      <w:r>
        <w:rPr>
          <w:rFonts w:ascii="Calibri" w:hAnsi="Calibri"/>
          <w:color w:val="334E68"/>
        </w:rPr>
        <w:t>2.2 Risk Classification Tiering &amp; Security Pre-Flight Checklist</w:t>
      </w:r>
    </w:p>
    <w:p w14:paraId="2B65C597" w14:textId="77777777" w:rsidR="00C50DB3" w:rsidRDefault="00000000">
      <w:pPr>
        <w:spacing w:after="120"/>
      </w:pPr>
      <w:r>
        <w:rPr>
          <w:rFonts w:ascii="Calibri" w:hAnsi="Calibri"/>
          <w:color w:val="24292E"/>
          <w:sz w:val="20"/>
        </w:rPr>
        <w:t>All AI solutions must undergo risk tiering prior to receiving cloud development credentials or accessing enterprise data sources. Risk tiering determines the mandatory security, data protection, and human oversight controls required throughout the project.</w:t>
      </w:r>
    </w:p>
    <w:tbl>
      <w:tblPr>
        <w:tblW w:w="0" w:type="auto"/>
        <w:jc w:val="center"/>
        <w:tblLayout w:type="fixed"/>
        <w:tblLook w:val="04A0" w:firstRow="1" w:lastRow="0" w:firstColumn="1" w:lastColumn="0" w:noHBand="0" w:noVBand="1"/>
      </w:tblPr>
      <w:tblGrid>
        <w:gridCol w:w="1728"/>
        <w:gridCol w:w="2592"/>
        <w:gridCol w:w="3312"/>
        <w:gridCol w:w="1728"/>
      </w:tblGrid>
      <w:tr w:rsidR="00C50DB3" w14:paraId="4C189FEC" w14:textId="77777777">
        <w:trPr>
          <w:jc w:val="center"/>
        </w:trPr>
        <w:tc>
          <w:tcPr>
            <w:tcW w:w="172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7A59EA93" w14:textId="77777777" w:rsidR="00C50DB3" w:rsidRDefault="00000000">
            <w:pPr>
              <w:spacing w:before="40" w:after="40"/>
            </w:pPr>
            <w:r>
              <w:rPr>
                <w:rFonts w:ascii="Calibri" w:hAnsi="Calibri"/>
                <w:b/>
                <w:color w:val="FFFFFF"/>
                <w:sz w:val="19"/>
              </w:rPr>
              <w:t>Risk Tier</w:t>
            </w:r>
          </w:p>
        </w:tc>
        <w:tc>
          <w:tcPr>
            <w:tcW w:w="259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688F67F" w14:textId="77777777" w:rsidR="00C50DB3" w:rsidRDefault="00000000">
            <w:pPr>
              <w:spacing w:before="40" w:after="40"/>
            </w:pPr>
            <w:r>
              <w:rPr>
                <w:rFonts w:ascii="Calibri" w:hAnsi="Calibri"/>
                <w:b/>
                <w:color w:val="FFFFFF"/>
                <w:sz w:val="19"/>
              </w:rPr>
              <w:t>Data Scope &amp; Exposure</w:t>
            </w:r>
          </w:p>
        </w:tc>
        <w:tc>
          <w:tcPr>
            <w:tcW w:w="331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F6551F6" w14:textId="77777777" w:rsidR="00C50DB3" w:rsidRDefault="00000000">
            <w:pPr>
              <w:spacing w:before="40" w:after="40"/>
            </w:pPr>
            <w:r>
              <w:rPr>
                <w:rFonts w:ascii="Calibri" w:hAnsi="Calibri"/>
                <w:b/>
                <w:color w:val="FFFFFF"/>
                <w:sz w:val="19"/>
              </w:rPr>
              <w:t>Required Security &amp; Audit Controls</w:t>
            </w:r>
          </w:p>
        </w:tc>
        <w:tc>
          <w:tcPr>
            <w:tcW w:w="172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5D060C74" w14:textId="77777777" w:rsidR="00C50DB3" w:rsidRDefault="00000000">
            <w:pPr>
              <w:spacing w:before="40" w:after="40"/>
            </w:pPr>
            <w:r>
              <w:rPr>
                <w:rFonts w:ascii="Calibri" w:hAnsi="Calibri"/>
                <w:b/>
                <w:color w:val="FFFFFF"/>
                <w:sz w:val="19"/>
              </w:rPr>
              <w:t>Approval Authority</w:t>
            </w:r>
          </w:p>
        </w:tc>
      </w:tr>
      <w:tr w:rsidR="00C50DB3" w14:paraId="61AEB088"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7BBFC25" w14:textId="77777777" w:rsidR="00C50DB3" w:rsidRDefault="00000000">
            <w:pPr>
              <w:spacing w:before="40" w:after="40"/>
            </w:pPr>
            <w:r>
              <w:rPr>
                <w:rFonts w:ascii="Calibri" w:hAnsi="Calibri"/>
                <w:color w:val="24292E"/>
                <w:sz w:val="19"/>
              </w:rPr>
              <w:t>Tier 1: Low</w:t>
            </w:r>
          </w:p>
        </w:tc>
        <w:tc>
          <w:tcPr>
            <w:tcW w:w="25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1C5085C" w14:textId="77777777" w:rsidR="00C50DB3" w:rsidRDefault="00000000">
            <w:pPr>
              <w:spacing w:before="40" w:after="40"/>
            </w:pPr>
            <w:r>
              <w:rPr>
                <w:rFonts w:ascii="Calibri" w:hAnsi="Calibri"/>
                <w:color w:val="24292E"/>
                <w:sz w:val="19"/>
              </w:rPr>
              <w:t>Publicly available data, internal non-sensitive documentation</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EDE80FE" w14:textId="77777777" w:rsidR="00C50DB3" w:rsidRDefault="00000000">
            <w:pPr>
              <w:spacing w:before="40" w:after="40"/>
            </w:pPr>
            <w:r>
              <w:rPr>
                <w:rFonts w:ascii="Calibri" w:hAnsi="Calibri"/>
                <w:color w:val="24292E"/>
                <w:sz w:val="19"/>
              </w:rPr>
              <w:t>Standard IAM, code repository security scanning, basic prompt logging</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9078CBA" w14:textId="77777777" w:rsidR="00C50DB3" w:rsidRDefault="00000000">
            <w:pPr>
              <w:spacing w:before="40" w:after="40"/>
            </w:pPr>
            <w:r>
              <w:rPr>
                <w:rFonts w:ascii="Calibri" w:hAnsi="Calibri"/>
                <w:color w:val="24292E"/>
                <w:sz w:val="19"/>
              </w:rPr>
              <w:t>CoE Tech Lead</w:t>
            </w:r>
          </w:p>
        </w:tc>
      </w:tr>
      <w:tr w:rsidR="00C50DB3" w14:paraId="18ADFF59"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05B74001" w14:textId="77777777" w:rsidR="00C50DB3" w:rsidRDefault="00000000">
            <w:pPr>
              <w:spacing w:before="40" w:after="40"/>
            </w:pPr>
            <w:r>
              <w:rPr>
                <w:rFonts w:ascii="Calibri" w:hAnsi="Calibri"/>
                <w:color w:val="24292E"/>
                <w:sz w:val="19"/>
              </w:rPr>
              <w:t>Tier 2: Moderate</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21F1DBC" w14:textId="77777777" w:rsidR="00C50DB3" w:rsidRDefault="00000000">
            <w:pPr>
              <w:spacing w:before="40" w:after="40"/>
            </w:pPr>
            <w:r>
              <w:rPr>
                <w:rFonts w:ascii="Calibri" w:hAnsi="Calibri"/>
                <w:color w:val="24292E"/>
                <w:sz w:val="19"/>
              </w:rPr>
              <w:t>Internal operational logs, anonymized customer trends, internal wikis</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EC4980D" w14:textId="77777777" w:rsidR="00C50DB3" w:rsidRDefault="00000000">
            <w:pPr>
              <w:spacing w:before="40" w:after="40"/>
            </w:pPr>
            <w:r>
              <w:rPr>
                <w:rFonts w:ascii="Calibri" w:hAnsi="Calibri"/>
                <w:color w:val="24292E"/>
                <w:sz w:val="19"/>
              </w:rPr>
              <w:t>TLS encryption, enterprise SSO/MFA, automated prompt guardrails, data retention limits</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70A13FF" w14:textId="77777777" w:rsidR="00C50DB3" w:rsidRDefault="00000000">
            <w:pPr>
              <w:spacing w:before="40" w:after="40"/>
            </w:pPr>
            <w:r>
              <w:rPr>
                <w:rFonts w:ascii="Calibri" w:hAnsi="Calibri"/>
                <w:color w:val="24292E"/>
                <w:sz w:val="19"/>
              </w:rPr>
              <w:t>CoE Lead + SecOps</w:t>
            </w:r>
          </w:p>
        </w:tc>
      </w:tr>
      <w:tr w:rsidR="00C50DB3" w14:paraId="59051A20"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629A769" w14:textId="77777777" w:rsidR="00C50DB3" w:rsidRDefault="00000000">
            <w:pPr>
              <w:spacing w:before="40" w:after="40"/>
            </w:pPr>
            <w:r>
              <w:rPr>
                <w:rFonts w:ascii="Calibri" w:hAnsi="Calibri"/>
                <w:color w:val="24292E"/>
                <w:sz w:val="19"/>
              </w:rPr>
              <w:t>Tier 3: High</w:t>
            </w:r>
          </w:p>
        </w:tc>
        <w:tc>
          <w:tcPr>
            <w:tcW w:w="25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7085C2E" w14:textId="77777777" w:rsidR="00C50DB3" w:rsidRDefault="00000000">
            <w:pPr>
              <w:spacing w:before="40" w:after="40"/>
            </w:pPr>
            <w:r>
              <w:rPr>
                <w:rFonts w:ascii="Calibri" w:hAnsi="Calibri"/>
                <w:color w:val="24292E"/>
                <w:sz w:val="19"/>
              </w:rPr>
              <w:t xml:space="preserve">Customer PII, confidential financial records, proprietary </w:t>
            </w:r>
            <w:r>
              <w:rPr>
                <w:rFonts w:ascii="Calibri" w:hAnsi="Calibri"/>
                <w:color w:val="24292E"/>
                <w:sz w:val="19"/>
              </w:rPr>
              <w:lastRenderedPageBreak/>
              <w:t>IP</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6C54646" w14:textId="51959051" w:rsidR="00C50DB3" w:rsidRDefault="00000000">
            <w:pPr>
              <w:spacing w:before="40" w:after="40"/>
            </w:pPr>
            <w:r>
              <w:rPr>
                <w:rFonts w:ascii="Calibri" w:hAnsi="Calibri"/>
                <w:color w:val="24292E"/>
                <w:sz w:val="19"/>
              </w:rPr>
              <w:lastRenderedPageBreak/>
              <w:t xml:space="preserve">Data Loss Prevention (DLP), </w:t>
            </w:r>
            <w:r w:rsidR="00C43B69" w:rsidRPr="00C43B69">
              <w:rPr>
                <w:rFonts w:ascii="Calibri" w:hAnsi="Calibri"/>
                <w:color w:val="24292E"/>
                <w:sz w:val="19"/>
              </w:rPr>
              <w:t>Private network isolation</w:t>
            </w:r>
            <w:r>
              <w:rPr>
                <w:rFonts w:ascii="Calibri" w:hAnsi="Calibri"/>
                <w:color w:val="24292E"/>
                <w:sz w:val="19"/>
              </w:rPr>
              <w:t xml:space="preserve">, mandatory audit </w:t>
            </w:r>
            <w:r>
              <w:rPr>
                <w:rFonts w:ascii="Calibri" w:hAnsi="Calibri"/>
                <w:color w:val="24292E"/>
                <w:sz w:val="19"/>
              </w:rPr>
              <w:lastRenderedPageBreak/>
              <w:t>logging, human-in-loop review</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925C50C" w14:textId="77777777" w:rsidR="00C50DB3" w:rsidRDefault="00000000">
            <w:pPr>
              <w:spacing w:before="40" w:after="40"/>
            </w:pPr>
            <w:r>
              <w:rPr>
                <w:rFonts w:ascii="Calibri" w:hAnsi="Calibri"/>
                <w:color w:val="24292E"/>
                <w:sz w:val="19"/>
              </w:rPr>
              <w:lastRenderedPageBreak/>
              <w:t>InfoSec + Legal Counsel</w:t>
            </w:r>
          </w:p>
        </w:tc>
      </w:tr>
      <w:tr w:rsidR="00C50DB3" w14:paraId="58661B85"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3C82361" w14:textId="77777777" w:rsidR="00C50DB3" w:rsidRDefault="00000000">
            <w:pPr>
              <w:spacing w:before="40" w:after="40"/>
            </w:pPr>
            <w:r>
              <w:rPr>
                <w:rFonts w:ascii="Calibri" w:hAnsi="Calibri"/>
                <w:color w:val="24292E"/>
                <w:sz w:val="19"/>
              </w:rPr>
              <w:t>Tier 4: Critical</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0020D57" w14:textId="77777777" w:rsidR="00C50DB3" w:rsidRDefault="00000000">
            <w:pPr>
              <w:spacing w:before="40" w:after="40"/>
            </w:pPr>
            <w:r>
              <w:rPr>
                <w:rFonts w:ascii="Calibri" w:hAnsi="Calibri"/>
                <w:color w:val="24292E"/>
                <w:sz w:val="19"/>
              </w:rPr>
              <w:t>Regulated healthcare data, autonomous core financial/safety decisions</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09C698ED" w14:textId="77777777" w:rsidR="00C50DB3" w:rsidRDefault="00000000">
            <w:pPr>
              <w:spacing w:before="40" w:after="40"/>
            </w:pPr>
            <w:r>
              <w:rPr>
                <w:rFonts w:ascii="Calibri" w:hAnsi="Calibri"/>
                <w:color w:val="24292E"/>
                <w:sz w:val="19"/>
              </w:rPr>
              <w:t>Complete model isolation, automated bias auditing, adversarial red-teaming, full executive sign-off</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2E5792B" w14:textId="77777777" w:rsidR="00C50DB3" w:rsidRDefault="00000000">
            <w:pPr>
              <w:spacing w:before="40" w:after="40"/>
            </w:pPr>
            <w:r>
              <w:rPr>
                <w:rFonts w:ascii="Calibri" w:hAnsi="Calibri"/>
                <w:color w:val="24292E"/>
                <w:sz w:val="19"/>
              </w:rPr>
              <w:t>CISO / CPO / Exec Committee</w:t>
            </w:r>
          </w:p>
        </w:tc>
      </w:tr>
    </w:tbl>
    <w:p w14:paraId="603AA04C" w14:textId="25C0C23E" w:rsidR="00C50DB3" w:rsidRDefault="00000000">
      <w:pPr>
        <w:pStyle w:val="Heading1"/>
        <w:spacing w:before="360" w:after="120"/>
      </w:pPr>
      <w:r>
        <w:rPr>
          <w:rFonts w:ascii="Calibri" w:hAnsi="Calibri"/>
          <w:color w:val="1B365D"/>
          <w:sz w:val="32"/>
        </w:rPr>
        <w:t>3.0 Standards &amp; Best Practices</w:t>
      </w:r>
    </w:p>
    <w:tbl>
      <w:tblPr>
        <w:tblW w:w="0" w:type="auto"/>
        <w:jc w:val="center"/>
        <w:tblLayout w:type="fixed"/>
        <w:tblLook w:val="04A0" w:firstRow="1" w:lastRow="0" w:firstColumn="1" w:lastColumn="0" w:noHBand="0" w:noVBand="1"/>
      </w:tblPr>
      <w:tblGrid>
        <w:gridCol w:w="9360"/>
      </w:tblGrid>
      <w:tr w:rsidR="00C50DB3" w14:paraId="05BFA81F"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44245B6D" w14:textId="77777777" w:rsidR="00C50DB3" w:rsidRDefault="00000000">
            <w:pPr>
              <w:spacing w:before="40" w:after="80"/>
            </w:pPr>
            <w:r>
              <w:rPr>
                <w:rFonts w:ascii="Calibri" w:hAnsi="Calibri"/>
                <w:b/>
                <w:color w:val="1B365D"/>
                <w:sz w:val="21"/>
              </w:rPr>
              <w:t>💡 GUIDANCE &amp; CHALLENGE MANAGEMENT: STANDARDS &amp; DELIVERY CHALLENGES</w:t>
            </w:r>
            <w:r>
              <w:rPr>
                <w:rFonts w:ascii="Calibri" w:hAnsi="Calibri"/>
                <w:b/>
                <w:color w:val="1B365D"/>
                <w:sz w:val="21"/>
              </w:rPr>
              <w:br/>
            </w:r>
            <w:r>
              <w:rPr>
                <w:rFonts w:ascii="Calibri" w:hAnsi="Calibri"/>
                <w:i/>
                <w:color w:val="24292E"/>
                <w:sz w:val="19"/>
              </w:rPr>
              <w:t>Challenge: Organizations attempting AI adoption usually fall into one of two extremes: rigid, traditional multi-month waterfall development that fails because requirements naturally evolve as users interact with AI outputs; or wild-west, unstructured coding that leads to brittle architecture, unmaintainable prompt code, security breaches, and massive technical debt.</w:t>
            </w:r>
          </w:p>
          <w:p w14:paraId="41D439F1" w14:textId="77777777" w:rsidR="00C50DB3" w:rsidRDefault="00000000">
            <w:pPr>
              <w:spacing w:before="80" w:after="80"/>
            </w:pPr>
            <w:r>
              <w:rPr>
                <w:rFonts w:ascii="Calibri" w:hAnsi="Calibri"/>
                <w:i/>
                <w:color w:val="24292E"/>
                <w:sz w:val="19"/>
              </w:rPr>
              <w:t>Management Approach: The CoE balances structural architectural consistency with rapid, adaptive delivery. Core infrastructure (API gateway patterns, authentication, logging, model guardrails) is strictly standardized and served through a central asset registry. Meanwhile, solution development follows an adaptive AI-assisted delivery model driven by rapid 1–3 day review cycles, treating the AI machine as a variance absorber while human stakeholders maintain directional control.</w:t>
            </w:r>
          </w:p>
        </w:tc>
      </w:tr>
    </w:tbl>
    <w:p w14:paraId="6087279F" w14:textId="77777777" w:rsidR="00C50DB3" w:rsidRDefault="00000000">
      <w:pPr>
        <w:pStyle w:val="Heading2"/>
        <w:spacing w:before="280" w:after="80"/>
      </w:pPr>
      <w:r>
        <w:rPr>
          <w:rFonts w:ascii="Calibri" w:hAnsi="Calibri"/>
          <w:color w:val="334E68"/>
        </w:rPr>
        <w:t>3.1 Development Frameworks, Architecture &amp; Reusable Component Registry</w:t>
      </w:r>
    </w:p>
    <w:p w14:paraId="3C07DDFF" w14:textId="77777777" w:rsidR="00C50DB3" w:rsidRDefault="00000000">
      <w:pPr>
        <w:spacing w:after="120"/>
      </w:pPr>
      <w:r>
        <w:rPr>
          <w:rFonts w:ascii="Calibri" w:hAnsi="Calibri"/>
          <w:color w:val="24292E"/>
          <w:sz w:val="20"/>
        </w:rPr>
        <w:t>Standards and best practices establish a unified foundation for designing, building, testing, deploying, and maintaining AI solutions across the enterprise. Applying consistent development standards improves code quality, simplifies cross-team support, accelerates developer onboarding, and prevents technical fragmentation.</w:t>
      </w:r>
    </w:p>
    <w:p w14:paraId="14DC544F" w14:textId="77777777" w:rsidR="00C50DB3" w:rsidRDefault="00000000">
      <w:pPr>
        <w:spacing w:after="120"/>
      </w:pPr>
      <w:r>
        <w:rPr>
          <w:rFonts w:ascii="Calibri" w:hAnsi="Calibri"/>
          <w:color w:val="24292E"/>
          <w:sz w:val="20"/>
        </w:rPr>
        <w:t>Projects must leverage existing enterprise software patterns and pre-approved reusable components before building custom capabilities. The CoE maintains a central registry of enterprise-validated reference architectures and technical components:</w:t>
      </w:r>
    </w:p>
    <w:tbl>
      <w:tblPr>
        <w:tblW w:w="0" w:type="auto"/>
        <w:jc w:val="center"/>
        <w:tblLayout w:type="fixed"/>
        <w:tblLook w:val="04A0" w:firstRow="1" w:lastRow="0" w:firstColumn="1" w:lastColumn="0" w:noHBand="0" w:noVBand="1"/>
      </w:tblPr>
      <w:tblGrid>
        <w:gridCol w:w="2592"/>
        <w:gridCol w:w="3600"/>
        <w:gridCol w:w="1728"/>
        <w:gridCol w:w="1440"/>
      </w:tblGrid>
      <w:tr w:rsidR="00C50DB3" w14:paraId="466C5A8E" w14:textId="77777777">
        <w:trPr>
          <w:jc w:val="center"/>
        </w:trPr>
        <w:tc>
          <w:tcPr>
            <w:tcW w:w="259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39B17EA" w14:textId="77777777" w:rsidR="00C50DB3" w:rsidRDefault="00000000">
            <w:pPr>
              <w:spacing w:before="40" w:after="40"/>
            </w:pPr>
            <w:r>
              <w:rPr>
                <w:rFonts w:ascii="Calibri" w:hAnsi="Calibri"/>
                <w:b/>
                <w:color w:val="FFFFFF"/>
                <w:sz w:val="19"/>
              </w:rPr>
              <w:t>Reusable Component Name</w:t>
            </w:r>
          </w:p>
        </w:tc>
        <w:tc>
          <w:tcPr>
            <w:tcW w:w="360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FF15535" w14:textId="77777777" w:rsidR="00C50DB3" w:rsidRDefault="00000000">
            <w:pPr>
              <w:spacing w:before="40" w:after="40"/>
            </w:pPr>
            <w:r>
              <w:rPr>
                <w:rFonts w:ascii="Calibri" w:hAnsi="Calibri"/>
                <w:b/>
                <w:color w:val="FFFFFF"/>
                <w:sz w:val="19"/>
              </w:rPr>
              <w:t>Repository / API Gateway Reference URI</w:t>
            </w:r>
          </w:p>
        </w:tc>
        <w:tc>
          <w:tcPr>
            <w:tcW w:w="172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785EACFD" w14:textId="77777777" w:rsidR="00C50DB3" w:rsidRDefault="00000000">
            <w:pPr>
              <w:spacing w:before="40" w:after="40"/>
            </w:pPr>
            <w:r>
              <w:rPr>
                <w:rFonts w:ascii="Calibri" w:hAnsi="Calibri"/>
                <w:b/>
                <w:color w:val="FFFFFF"/>
                <w:sz w:val="19"/>
              </w:rPr>
              <w:t>Component Owner</w:t>
            </w:r>
          </w:p>
        </w:tc>
        <w:tc>
          <w:tcPr>
            <w:tcW w:w="144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31F64D6" w14:textId="77777777" w:rsidR="00C50DB3" w:rsidRDefault="00000000">
            <w:pPr>
              <w:spacing w:before="40" w:after="40"/>
            </w:pPr>
            <w:r>
              <w:rPr>
                <w:rFonts w:ascii="Calibri" w:hAnsi="Calibri"/>
                <w:b/>
                <w:color w:val="FFFFFF"/>
                <w:sz w:val="19"/>
              </w:rPr>
              <w:t>Approval Status</w:t>
            </w:r>
          </w:p>
        </w:tc>
      </w:tr>
      <w:tr w:rsidR="00C50DB3" w14:paraId="6A585443"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5DADA3E" w14:textId="77777777" w:rsidR="00C50DB3" w:rsidRDefault="00000000">
            <w:pPr>
              <w:spacing w:before="40" w:after="40"/>
            </w:pPr>
            <w:r>
              <w:rPr>
                <w:rFonts w:ascii="Calibri" w:hAnsi="Calibri"/>
                <w:color w:val="24292E"/>
                <w:sz w:val="19"/>
              </w:rPr>
              <w:t>Enterprise API Auth Wrapper</w:t>
            </w:r>
          </w:p>
        </w:tc>
        <w:tc>
          <w:tcPr>
            <w:tcW w:w="360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7F3627F" w14:textId="77777777" w:rsidR="00C50DB3" w:rsidRDefault="00000000">
            <w:pPr>
              <w:spacing w:before="40" w:after="40"/>
            </w:pPr>
            <w:r>
              <w:rPr>
                <w:rFonts w:ascii="Calibri" w:hAnsi="Calibri"/>
                <w:color w:val="24292E"/>
                <w:sz w:val="19"/>
              </w:rPr>
              <w:t>[ Link to Enterprise Git / Internal API Registry ]</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F16AA81" w14:textId="77777777" w:rsidR="00C50DB3" w:rsidRDefault="00000000">
            <w:pPr>
              <w:spacing w:before="40" w:after="40"/>
            </w:pPr>
            <w:r>
              <w:rPr>
                <w:rFonts w:ascii="Calibri" w:hAnsi="Calibri"/>
                <w:color w:val="24292E"/>
                <w:sz w:val="19"/>
              </w:rPr>
              <w:t>CoE Arch Team</w:t>
            </w:r>
          </w:p>
        </w:tc>
        <w:tc>
          <w:tcPr>
            <w:tcW w:w="144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398072F" w14:textId="77777777" w:rsidR="00C50DB3" w:rsidRDefault="00000000">
            <w:pPr>
              <w:spacing w:before="40" w:after="40"/>
            </w:pPr>
            <w:r>
              <w:rPr>
                <w:rFonts w:ascii="Calibri" w:hAnsi="Calibri"/>
                <w:color w:val="24292E"/>
                <w:sz w:val="19"/>
              </w:rPr>
              <w:t>Approved</w:t>
            </w:r>
          </w:p>
        </w:tc>
      </w:tr>
      <w:tr w:rsidR="00C50DB3" w14:paraId="6310F84F"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9A58566" w14:textId="77777777" w:rsidR="00C50DB3" w:rsidRDefault="00000000">
            <w:pPr>
              <w:spacing w:before="40" w:after="40"/>
            </w:pPr>
            <w:r>
              <w:rPr>
                <w:rFonts w:ascii="Calibri" w:hAnsi="Calibri"/>
                <w:color w:val="24292E"/>
                <w:sz w:val="19"/>
              </w:rPr>
              <w:t>LLM Prompt Guardrail Middleware</w:t>
            </w:r>
          </w:p>
        </w:tc>
        <w:tc>
          <w:tcPr>
            <w:tcW w:w="360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DFB8BF2" w14:textId="77777777" w:rsidR="00C50DB3" w:rsidRDefault="00000000">
            <w:pPr>
              <w:spacing w:before="40" w:after="40"/>
            </w:pPr>
            <w:r>
              <w:rPr>
                <w:rFonts w:ascii="Calibri" w:hAnsi="Calibri"/>
                <w:color w:val="24292E"/>
                <w:sz w:val="19"/>
              </w:rPr>
              <w:t>[ Link to Central Configuration Repository ]</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634A059" w14:textId="77777777" w:rsidR="00C50DB3" w:rsidRDefault="00000000">
            <w:pPr>
              <w:spacing w:before="40" w:after="40"/>
            </w:pPr>
            <w:r>
              <w:rPr>
                <w:rFonts w:ascii="Calibri" w:hAnsi="Calibri"/>
                <w:color w:val="24292E"/>
                <w:sz w:val="19"/>
              </w:rPr>
              <w:t>AI Security Lead</w:t>
            </w:r>
          </w:p>
        </w:tc>
        <w:tc>
          <w:tcPr>
            <w:tcW w:w="144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BF86393" w14:textId="77777777" w:rsidR="00C50DB3" w:rsidRDefault="00000000">
            <w:pPr>
              <w:spacing w:before="40" w:after="40"/>
            </w:pPr>
            <w:r>
              <w:rPr>
                <w:rFonts w:ascii="Calibri" w:hAnsi="Calibri"/>
                <w:color w:val="24292E"/>
                <w:sz w:val="19"/>
              </w:rPr>
              <w:t>Approved</w:t>
            </w:r>
          </w:p>
        </w:tc>
      </w:tr>
      <w:tr w:rsidR="00C50DB3" w14:paraId="35DD8A5C"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D12DCD9" w14:textId="32D24637" w:rsidR="00C50DB3" w:rsidRDefault="00C43B69">
            <w:pPr>
              <w:spacing w:before="40" w:after="40"/>
            </w:pPr>
            <w:r w:rsidRPr="00C43B69">
              <w:rPr>
                <w:rFonts w:ascii="Calibri" w:hAnsi="Calibri"/>
                <w:color w:val="24292E"/>
                <w:sz w:val="19"/>
              </w:rPr>
              <w:t>Foundation Model Service Private Network Connector</w:t>
            </w:r>
          </w:p>
        </w:tc>
        <w:tc>
          <w:tcPr>
            <w:tcW w:w="360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7AF24C1" w14:textId="77777777" w:rsidR="00C50DB3" w:rsidRDefault="00000000">
            <w:pPr>
              <w:spacing w:before="40" w:after="40"/>
            </w:pPr>
            <w:r>
              <w:rPr>
                <w:rFonts w:ascii="Calibri" w:hAnsi="Calibri"/>
                <w:color w:val="24292E"/>
                <w:sz w:val="19"/>
              </w:rPr>
              <w:t xml:space="preserve">[ Link to Terraform / Infrastructure-as-Code </w:t>
            </w:r>
            <w:proofErr w:type="gramStart"/>
            <w:r>
              <w:rPr>
                <w:rFonts w:ascii="Calibri" w:hAnsi="Calibri"/>
                <w:color w:val="24292E"/>
                <w:sz w:val="19"/>
              </w:rPr>
              <w:t>Repo ]</w:t>
            </w:r>
            <w:proofErr w:type="gramEnd"/>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521FB99" w14:textId="77777777" w:rsidR="00C50DB3" w:rsidRDefault="00000000">
            <w:pPr>
              <w:spacing w:before="40" w:after="40"/>
            </w:pPr>
            <w:r>
              <w:rPr>
                <w:rFonts w:ascii="Calibri" w:hAnsi="Calibri"/>
                <w:color w:val="24292E"/>
                <w:sz w:val="19"/>
              </w:rPr>
              <w:t>Cloud Ops Team</w:t>
            </w:r>
          </w:p>
        </w:tc>
        <w:tc>
          <w:tcPr>
            <w:tcW w:w="144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3BDDD3F" w14:textId="77777777" w:rsidR="00C50DB3" w:rsidRDefault="00000000">
            <w:pPr>
              <w:spacing w:before="40" w:after="40"/>
            </w:pPr>
            <w:r>
              <w:rPr>
                <w:rFonts w:ascii="Calibri" w:hAnsi="Calibri"/>
                <w:color w:val="24292E"/>
                <w:sz w:val="19"/>
              </w:rPr>
              <w:t>Approved</w:t>
            </w:r>
          </w:p>
        </w:tc>
      </w:tr>
    </w:tbl>
    <w:p w14:paraId="0F11C869" w14:textId="31CE0E3B" w:rsidR="00C50DB3" w:rsidRDefault="00846354" w:rsidP="006F1B67">
      <w:pPr>
        <w:pStyle w:val="Heading3"/>
        <w:spacing w:after="40"/>
      </w:pPr>
      <w:r>
        <w:rPr>
          <w:rFonts w:ascii="Calibri" w:hAnsi="Calibri"/>
          <w:color w:val="1B365D"/>
        </w:rPr>
        <w:lastRenderedPageBreak/>
        <w:t>3.1.1 Core Architectural Guiding Principles</w:t>
      </w:r>
      <w:r w:rsidR="004345F3">
        <w:rPr>
          <w:rFonts w:ascii="Calibri" w:hAnsi="Calibri"/>
          <w:color w:val="1B365D"/>
        </w:rPr>
        <w:t>isl</w:t>
      </w:r>
    </w:p>
    <w:p w14:paraId="38422795" w14:textId="77777777" w:rsidR="00C50DB3" w:rsidRDefault="00000000" w:rsidP="006F1B67">
      <w:pPr>
        <w:pStyle w:val="ListBullet"/>
        <w:keepNext/>
        <w:keepLines/>
        <w:spacing w:after="60"/>
      </w:pPr>
      <w:r>
        <w:rPr>
          <w:rFonts w:ascii="Calibri" w:hAnsi="Calibri"/>
          <w:b/>
          <w:color w:val="1B365D"/>
          <w:sz w:val="20"/>
        </w:rPr>
        <w:t xml:space="preserve">1. Standard Alignment: </w:t>
      </w:r>
      <w:r>
        <w:rPr>
          <w:rFonts w:ascii="Calibri" w:hAnsi="Calibri"/>
          <w:color w:val="24292E"/>
          <w:sz w:val="20"/>
        </w:rPr>
        <w:t>Follow established enterprise architecture standards unless a documented business requirement justifies a formal exception.</w:t>
      </w:r>
    </w:p>
    <w:p w14:paraId="5CF544E3" w14:textId="77777777" w:rsidR="00C50DB3" w:rsidRDefault="00000000" w:rsidP="006F1B67">
      <w:pPr>
        <w:pStyle w:val="ListBullet"/>
        <w:keepNext/>
        <w:keepLines/>
        <w:spacing w:after="60"/>
      </w:pPr>
      <w:r>
        <w:rPr>
          <w:rFonts w:ascii="Calibri" w:hAnsi="Calibri"/>
          <w:b/>
          <w:color w:val="1B365D"/>
          <w:sz w:val="20"/>
        </w:rPr>
        <w:t xml:space="preserve">2. Reusability First: </w:t>
      </w:r>
      <w:r>
        <w:rPr>
          <w:rFonts w:ascii="Calibri" w:hAnsi="Calibri"/>
          <w:color w:val="24292E"/>
          <w:sz w:val="20"/>
        </w:rPr>
        <w:t>Leverage validated reference architectures, API wrappers, and cloud templates before developing custom software.</w:t>
      </w:r>
    </w:p>
    <w:p w14:paraId="4860966D" w14:textId="77777777" w:rsidR="00C50DB3" w:rsidRDefault="00000000">
      <w:pPr>
        <w:pStyle w:val="ListBullet"/>
        <w:spacing w:after="60"/>
      </w:pPr>
      <w:r>
        <w:rPr>
          <w:rFonts w:ascii="Calibri" w:hAnsi="Calibri"/>
          <w:b/>
          <w:color w:val="1B365D"/>
          <w:sz w:val="20"/>
        </w:rPr>
        <w:t xml:space="preserve">3. Maintainable Design: </w:t>
      </w:r>
      <w:r>
        <w:rPr>
          <w:rFonts w:ascii="Calibri" w:hAnsi="Calibri"/>
          <w:color w:val="24292E"/>
          <w:sz w:val="20"/>
        </w:rPr>
        <w:t>Ensure all prompts, model configurations, data transformations, and pipelines are documented and stored in version control.</w:t>
      </w:r>
    </w:p>
    <w:p w14:paraId="3C77A4E5" w14:textId="77777777" w:rsidR="00C50DB3" w:rsidRDefault="00000000">
      <w:pPr>
        <w:pStyle w:val="ListBullet"/>
        <w:spacing w:after="60"/>
      </w:pPr>
      <w:r>
        <w:rPr>
          <w:rFonts w:ascii="Calibri" w:hAnsi="Calibri"/>
          <w:b/>
          <w:color w:val="1B365D"/>
          <w:sz w:val="20"/>
        </w:rPr>
        <w:t xml:space="preserve">4. Quality Parity: </w:t>
      </w:r>
      <w:r>
        <w:rPr>
          <w:rFonts w:ascii="Calibri" w:hAnsi="Calibri"/>
          <w:color w:val="24292E"/>
          <w:sz w:val="20"/>
        </w:rPr>
        <w:t>Incorporate automated quality checks, unit tests, security scans, and output verification into all release pipelines.</w:t>
      </w:r>
    </w:p>
    <w:p w14:paraId="54FDC21A" w14:textId="77777777" w:rsidR="00C50DB3" w:rsidRDefault="00000000">
      <w:pPr>
        <w:pStyle w:val="Heading2"/>
        <w:spacing w:before="280" w:after="80"/>
      </w:pPr>
      <w:r>
        <w:rPr>
          <w:rFonts w:ascii="Calibri" w:hAnsi="Calibri"/>
          <w:color w:val="334E68"/>
        </w:rPr>
        <w:t>3.2 AI Coding &amp; AI-Assisted Delivery Model</w:t>
      </w:r>
    </w:p>
    <w:p w14:paraId="260C4247" w14:textId="77777777" w:rsidR="00C50DB3" w:rsidRDefault="00000000">
      <w:pPr>
        <w:spacing w:after="120"/>
      </w:pPr>
      <w:r>
        <w:rPr>
          <w:rFonts w:ascii="Calibri" w:hAnsi="Calibri"/>
          <w:color w:val="24292E"/>
          <w:sz w:val="20"/>
        </w:rPr>
        <w:t>While working with the machine, we are engaged in a continuous conversation that shapes both the solution and the pace at which it evolves. Let me shape the AI-Assisted Delivery Model to let humans be humans and machines be machines.</w:t>
      </w:r>
    </w:p>
    <w:p w14:paraId="3F5767AC" w14:textId="7824F626" w:rsidR="00C50DB3" w:rsidRDefault="00846354">
      <w:pPr>
        <w:pStyle w:val="Heading3"/>
        <w:spacing w:after="40"/>
      </w:pPr>
      <w:r>
        <w:rPr>
          <w:rFonts w:ascii="Calibri" w:hAnsi="Calibri"/>
          <w:color w:val="1B365D"/>
        </w:rPr>
        <w:t>3.2.1 Embrace Changes &amp; Requirements Evolution</w:t>
      </w:r>
    </w:p>
    <w:p w14:paraId="17310F13" w14:textId="77777777" w:rsidR="00C50DB3" w:rsidRDefault="00000000">
      <w:pPr>
        <w:spacing w:after="120"/>
      </w:pPr>
      <w:r>
        <w:rPr>
          <w:rFonts w:ascii="Calibri" w:hAnsi="Calibri"/>
          <w:color w:val="24292E"/>
          <w:sz w:val="20"/>
        </w:rPr>
        <w:t>We should not assume that all requirements are complete, detailed, and immutable on Day One. Instead, requirements must be sufficient to establish direction, architecture, and business value, providing enough clarity to begin building and validating the solution. As progress is reviewed, the solution is continuously refined, allowing both the requirements and the implementation to mature together. AI-assisted development changes the traditional relationship between requirements and delivery by making adjustments faster, less disruptive, and far less costly than in conventional projects. Rather than treating evolving requirements as exceptions that require formal change management, the project embraces them as a natural part of discovering the best path toward the desired business outcomes.</w:t>
      </w:r>
    </w:p>
    <w:p w14:paraId="501BFA5B" w14:textId="77777777" w:rsidR="00C50DB3" w:rsidRDefault="00000000">
      <w:pPr>
        <w:spacing w:after="120"/>
      </w:pPr>
      <w:r>
        <w:rPr>
          <w:rFonts w:ascii="Calibri" w:hAnsi="Calibri"/>
          <w:color w:val="24292E"/>
          <w:sz w:val="20"/>
        </w:rPr>
        <w:t>This approach allows human stakeholders to remain focused on what humans do best: learning, evaluating, refining priorities, and evolving their understanding of business needs throughout the project lifecycle. The machine, in turn, becomes the 'variance absorber,' rapidly incorporating refinements and adjustments as new insights emerge. The process moves through a set of relatively stable artifacts, including business objectives, architectural principles, security requirements, and foundational requirements, while expecting workflows, business rules, user experiences, and reporting needs to evolve over time. The ultimate goal is to become intentionally adaptive, using frequent review cycles to continuously steer the solution toward the desired outcomes. In short, we let humans be humans and machines be machines: people provide direction and judgment, while AI provides the speed and flexibility needed to accommodate controlled requirement evolution without sacrificing progress.</w:t>
      </w:r>
    </w:p>
    <w:p w14:paraId="5C606693" w14:textId="7CE2765E" w:rsidR="00C50DB3" w:rsidRDefault="00846354">
      <w:pPr>
        <w:pStyle w:val="Heading3"/>
        <w:spacing w:after="40"/>
      </w:pPr>
      <w:r>
        <w:rPr>
          <w:rFonts w:ascii="Calibri" w:hAnsi="Calibri"/>
          <w:color w:val="1B365D"/>
        </w:rPr>
        <w:t>3.2.2 Best Cadence: One- to Three-Day Sprints</w:t>
      </w:r>
    </w:p>
    <w:p w14:paraId="794BF65B" w14:textId="77777777" w:rsidR="00C50DB3" w:rsidRDefault="00000000">
      <w:pPr>
        <w:spacing w:after="120"/>
      </w:pPr>
      <w:r>
        <w:rPr>
          <w:rFonts w:ascii="Calibri" w:hAnsi="Calibri"/>
          <w:color w:val="24292E"/>
          <w:sz w:val="20"/>
        </w:rPr>
        <w:t>This is precisely why one- to three-day sprints make sense. In an AI-assisted delivery model, development is no longer the primary constraint; stakeholder review, validation, and decision-making become the pacing factors. Short iterations create a cadence where the solution can be continuously reshaped as understanding evolves, allowing humans to provide direction and judgment while the machine rapidly absorbs and implements change. The result is a practical balance: humans remain free to refine business needs, and the technology adapts quickly enough to keep pace without the cost, delay, and disruption traditionally associated with changing requirements.</w:t>
      </w:r>
    </w:p>
    <w:p w14:paraId="723702E8" w14:textId="55243081" w:rsidR="00C50DB3" w:rsidRDefault="00846354">
      <w:pPr>
        <w:pStyle w:val="Heading3"/>
        <w:spacing w:after="40"/>
      </w:pPr>
      <w:r>
        <w:rPr>
          <w:rFonts w:ascii="Calibri" w:hAnsi="Calibri"/>
          <w:color w:val="1B365D"/>
        </w:rPr>
        <w:lastRenderedPageBreak/>
        <w:t>3.2.3 Foundation Setup &amp; Access Prerequisite Checklist</w:t>
      </w:r>
    </w:p>
    <w:p w14:paraId="4377763E" w14:textId="235F0C0B" w:rsidR="00C50DB3" w:rsidRDefault="00000000">
      <w:pPr>
        <w:spacing w:after="120"/>
      </w:pPr>
      <w:r>
        <w:rPr>
          <w:rFonts w:ascii="Calibri" w:hAnsi="Calibri"/>
          <w:color w:val="24292E"/>
          <w:sz w:val="20"/>
        </w:rPr>
        <w:t xml:space="preserve">Before beginning the rapid iteration cycles, we should invest a short period of time establishing the technical foundation needed to support delivery. This effort is not intended to further refine requirements, but rather to remove the environmental and operational constraints that can slow progress once solution development begins. During this phase, we should review existing source systems, evaluate single sign-on options, identify security and access requirements, and establish Dev and Test environments within the </w:t>
      </w:r>
      <w:r w:rsidR="00C43B69" w:rsidRPr="00C43B69">
        <w:rPr>
          <w:rFonts w:ascii="Calibri" w:hAnsi="Calibri"/>
          <w:color w:val="24292E"/>
          <w:sz w:val="20"/>
        </w:rPr>
        <w:t>establish Dev and Test environments within the approved enterprise cloud platform</w:t>
      </w:r>
      <w:r>
        <w:rPr>
          <w:rFonts w:ascii="Calibri" w:hAnsi="Calibri"/>
          <w:color w:val="24292E"/>
          <w:sz w:val="20"/>
        </w:rPr>
        <w:t>. The objective is to ensure the required infrastructure, connectivity, and governance mechanisms are available before the iterative solution-shaping process accelerates.</w:t>
      </w:r>
    </w:p>
    <w:p w14:paraId="58FFFB05" w14:textId="160667BB" w:rsidR="00C50DB3" w:rsidRDefault="00000000">
      <w:pPr>
        <w:spacing w:after="120"/>
      </w:pPr>
      <w:r>
        <w:rPr>
          <w:rFonts w:ascii="Calibri" w:hAnsi="Calibri"/>
          <w:color w:val="24292E"/>
          <w:sz w:val="20"/>
        </w:rPr>
        <w:t xml:space="preserve">To support this effort, we should </w:t>
      </w:r>
      <w:r w:rsidR="00C43B69" w:rsidRPr="00C43B69">
        <w:rPr>
          <w:rFonts w:ascii="Calibri" w:hAnsi="Calibri"/>
          <w:color w:val="24292E"/>
          <w:sz w:val="20"/>
        </w:rPr>
        <w:t>request access to approved enterprise cloud environments and appropriate identity and access management (IAM) roles</w:t>
      </w:r>
      <w:r>
        <w:rPr>
          <w:rFonts w:ascii="Calibri" w:hAnsi="Calibri"/>
          <w:color w:val="24292E"/>
          <w:sz w:val="20"/>
        </w:rPr>
        <w:t>; details of identity providers and SSO mechanisms; access to Agile management tools and repositories currently used by DOR; source system inventories; data dictionaries; entity relationship diagrams; API specifications; sample data extracts; file layouts; reporting requirements; and points of contact for each system. Understanding how data is accessed today, whether through APIs, databases, file transfers, message queues, or manual extracts, will allow those patterns to be replicated or modernized within the new solution. Establishing this foundation early enables the team to focus subsequent one- to three-day iterations on refining business outcomes rather than waiting on environment setup, system access, or integration discovery.</w:t>
      </w:r>
    </w:p>
    <w:tbl>
      <w:tblPr>
        <w:tblW w:w="0" w:type="auto"/>
        <w:jc w:val="center"/>
        <w:tblLayout w:type="fixed"/>
        <w:tblLook w:val="04A0" w:firstRow="1" w:lastRow="0" w:firstColumn="1" w:lastColumn="0" w:noHBand="0" w:noVBand="1"/>
      </w:tblPr>
      <w:tblGrid>
        <w:gridCol w:w="2790"/>
        <w:gridCol w:w="3600"/>
        <w:gridCol w:w="1710"/>
        <w:gridCol w:w="1260"/>
      </w:tblGrid>
      <w:tr w:rsidR="00C50DB3" w14:paraId="33713E2A" w14:textId="77777777" w:rsidTr="00D33270">
        <w:trPr>
          <w:jc w:val="center"/>
        </w:trPr>
        <w:tc>
          <w:tcPr>
            <w:tcW w:w="279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F4DC821" w14:textId="77777777" w:rsidR="00C50DB3" w:rsidRDefault="00000000">
            <w:pPr>
              <w:spacing w:before="40" w:after="40"/>
            </w:pPr>
            <w:r>
              <w:rPr>
                <w:rFonts w:ascii="Calibri" w:hAnsi="Calibri"/>
                <w:b/>
                <w:color w:val="FFFFFF"/>
                <w:sz w:val="19"/>
              </w:rPr>
              <w:t>Foundation Deliverable / Access Item</w:t>
            </w:r>
          </w:p>
        </w:tc>
        <w:tc>
          <w:tcPr>
            <w:tcW w:w="360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603879C" w14:textId="77777777" w:rsidR="00C50DB3" w:rsidRDefault="00000000">
            <w:pPr>
              <w:spacing w:before="40" w:after="40"/>
            </w:pPr>
            <w:r>
              <w:rPr>
                <w:rFonts w:ascii="Calibri" w:hAnsi="Calibri"/>
                <w:b/>
                <w:color w:val="FFFFFF"/>
                <w:sz w:val="19"/>
              </w:rPr>
              <w:t>Target System / Operational Scope</w:t>
            </w:r>
          </w:p>
        </w:tc>
        <w:tc>
          <w:tcPr>
            <w:tcW w:w="171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0763B9F" w14:textId="77777777" w:rsidR="00C50DB3" w:rsidRDefault="00000000">
            <w:pPr>
              <w:spacing w:before="40" w:after="40"/>
            </w:pPr>
            <w:r>
              <w:rPr>
                <w:rFonts w:ascii="Calibri" w:hAnsi="Calibri"/>
                <w:b/>
                <w:color w:val="FFFFFF"/>
                <w:sz w:val="19"/>
              </w:rPr>
              <w:t>Owner</w:t>
            </w:r>
          </w:p>
        </w:tc>
        <w:tc>
          <w:tcPr>
            <w:tcW w:w="12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72DA1554" w14:textId="77777777" w:rsidR="00C50DB3" w:rsidRDefault="00000000">
            <w:pPr>
              <w:spacing w:before="40" w:after="40"/>
            </w:pPr>
            <w:r>
              <w:rPr>
                <w:rFonts w:ascii="Calibri" w:hAnsi="Calibri"/>
                <w:b/>
                <w:color w:val="FFFFFF"/>
                <w:sz w:val="19"/>
              </w:rPr>
              <w:t>Status</w:t>
            </w:r>
          </w:p>
        </w:tc>
      </w:tr>
      <w:tr w:rsidR="00C50DB3" w14:paraId="1222FBAD" w14:textId="77777777" w:rsidTr="00D33270">
        <w:trPr>
          <w:jc w:val="center"/>
        </w:trPr>
        <w:tc>
          <w:tcPr>
            <w:tcW w:w="279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A6A9479" w14:textId="23DA311C" w:rsidR="00C50DB3" w:rsidRPr="00C43B69" w:rsidRDefault="00C43B69">
            <w:pPr>
              <w:spacing w:before="40" w:after="40"/>
              <w:rPr>
                <w:rFonts w:ascii="Calibri" w:hAnsi="Calibri"/>
                <w:color w:val="24292E"/>
                <w:sz w:val="19"/>
              </w:rPr>
            </w:pPr>
            <w:r w:rsidRPr="00C43B69">
              <w:rPr>
                <w:rFonts w:ascii="Calibri" w:hAnsi="Calibri"/>
                <w:color w:val="24292E"/>
                <w:sz w:val="19"/>
              </w:rPr>
              <w:t>Enterprise Cloud Environment &amp; Access Roles</w:t>
            </w:r>
          </w:p>
        </w:tc>
        <w:tc>
          <w:tcPr>
            <w:tcW w:w="360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5CE96D0" w14:textId="3F66BD48" w:rsidR="00C50DB3" w:rsidRPr="00C43B69" w:rsidRDefault="00C43B69">
            <w:pPr>
              <w:spacing w:before="40" w:after="40"/>
              <w:rPr>
                <w:rFonts w:ascii="Calibri" w:hAnsi="Calibri"/>
                <w:color w:val="24292E"/>
                <w:sz w:val="19"/>
              </w:rPr>
            </w:pPr>
            <w:r w:rsidRPr="00C43B69">
              <w:rPr>
                <w:rFonts w:ascii="Calibri" w:hAnsi="Calibri"/>
                <w:color w:val="24292E"/>
                <w:sz w:val="19"/>
              </w:rPr>
              <w:t>Enterprise Cloud Platform (Dev/Test environment provisioning &amp; access policies)</w:t>
            </w:r>
          </w:p>
        </w:tc>
        <w:tc>
          <w:tcPr>
            <w:tcW w:w="171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17C6D85" w14:textId="77777777" w:rsidR="00C50DB3" w:rsidRDefault="00000000">
            <w:pPr>
              <w:spacing w:before="40" w:after="40"/>
            </w:pPr>
            <w:r>
              <w:rPr>
                <w:rFonts w:ascii="Calibri" w:hAnsi="Calibri"/>
                <w:color w:val="24292E"/>
                <w:sz w:val="19"/>
              </w:rPr>
              <w:t>Cloud Admin</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D827DD9" w14:textId="77777777" w:rsidR="00C50DB3" w:rsidRDefault="00000000">
            <w:pPr>
              <w:spacing w:before="40" w:after="40"/>
            </w:pPr>
            <w:r>
              <w:rPr>
                <w:rFonts w:ascii="Calibri" w:hAnsi="Calibri"/>
                <w:color w:val="24292E"/>
                <w:sz w:val="19"/>
              </w:rPr>
              <w:t>[ ] Complete</w:t>
            </w:r>
          </w:p>
        </w:tc>
      </w:tr>
      <w:tr w:rsidR="00C50DB3" w14:paraId="60F357AD" w14:textId="77777777" w:rsidTr="00D33270">
        <w:trPr>
          <w:jc w:val="center"/>
        </w:trPr>
        <w:tc>
          <w:tcPr>
            <w:tcW w:w="279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31DC97A" w14:textId="77777777" w:rsidR="00C50DB3" w:rsidRDefault="00000000">
            <w:pPr>
              <w:spacing w:before="40" w:after="40"/>
            </w:pPr>
            <w:r>
              <w:rPr>
                <w:rFonts w:ascii="Calibri" w:hAnsi="Calibri"/>
                <w:color w:val="24292E"/>
                <w:sz w:val="19"/>
              </w:rPr>
              <w:t>Single Sign-On &amp; IdP Configuration</w:t>
            </w:r>
          </w:p>
        </w:tc>
        <w:tc>
          <w:tcPr>
            <w:tcW w:w="360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08C73EEA" w14:textId="77777777" w:rsidR="00C50DB3" w:rsidRDefault="00000000">
            <w:pPr>
              <w:spacing w:before="40" w:after="40"/>
            </w:pPr>
            <w:r>
              <w:rPr>
                <w:rFonts w:ascii="Calibri" w:hAnsi="Calibri"/>
                <w:color w:val="24292E"/>
                <w:sz w:val="19"/>
              </w:rPr>
              <w:t>Enterprise SSO / Identity Provider federation details</w:t>
            </w:r>
          </w:p>
        </w:tc>
        <w:tc>
          <w:tcPr>
            <w:tcW w:w="171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EC55892" w14:textId="77777777" w:rsidR="00C50DB3" w:rsidRDefault="00000000">
            <w:pPr>
              <w:spacing w:before="40" w:after="40"/>
            </w:pPr>
            <w:r>
              <w:rPr>
                <w:rFonts w:ascii="Calibri" w:hAnsi="Calibri"/>
                <w:color w:val="24292E"/>
                <w:sz w:val="19"/>
              </w:rPr>
              <w:t>Sec Ops</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3E3B068" w14:textId="77777777" w:rsidR="00C50DB3" w:rsidRDefault="00000000">
            <w:pPr>
              <w:spacing w:before="40" w:after="40"/>
            </w:pPr>
            <w:r>
              <w:rPr>
                <w:rFonts w:ascii="Calibri" w:hAnsi="Calibri"/>
                <w:color w:val="24292E"/>
                <w:sz w:val="19"/>
              </w:rPr>
              <w:t>[ ] Complete</w:t>
            </w:r>
          </w:p>
        </w:tc>
      </w:tr>
      <w:tr w:rsidR="00C50DB3" w14:paraId="29E7D4E2" w14:textId="77777777" w:rsidTr="00D33270">
        <w:trPr>
          <w:jc w:val="center"/>
        </w:trPr>
        <w:tc>
          <w:tcPr>
            <w:tcW w:w="279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2777624" w14:textId="77777777" w:rsidR="00C50DB3" w:rsidRDefault="00000000">
            <w:pPr>
              <w:spacing w:before="40" w:after="40"/>
            </w:pPr>
            <w:r>
              <w:rPr>
                <w:rFonts w:ascii="Calibri" w:hAnsi="Calibri"/>
                <w:color w:val="24292E"/>
                <w:sz w:val="19"/>
              </w:rPr>
              <w:t>Agile &amp; Repository Access</w:t>
            </w:r>
          </w:p>
        </w:tc>
        <w:tc>
          <w:tcPr>
            <w:tcW w:w="360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BFC2B4D" w14:textId="77777777" w:rsidR="00C50DB3" w:rsidRDefault="00000000">
            <w:pPr>
              <w:spacing w:before="40" w:after="40"/>
            </w:pPr>
            <w:r>
              <w:rPr>
                <w:rFonts w:ascii="Calibri" w:hAnsi="Calibri"/>
                <w:color w:val="24292E"/>
                <w:sz w:val="19"/>
              </w:rPr>
              <w:t>Agile Management Tools / Git Repositories (DOR standards)</w:t>
            </w:r>
          </w:p>
        </w:tc>
        <w:tc>
          <w:tcPr>
            <w:tcW w:w="171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4161C4A" w14:textId="77777777" w:rsidR="00C50DB3" w:rsidRDefault="00000000">
            <w:pPr>
              <w:spacing w:before="40" w:after="40"/>
            </w:pPr>
            <w:r>
              <w:rPr>
                <w:rFonts w:ascii="Calibri" w:hAnsi="Calibri"/>
                <w:color w:val="24292E"/>
                <w:sz w:val="19"/>
              </w:rPr>
              <w:t>Project Lead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F480B57" w14:textId="77777777" w:rsidR="00C50DB3" w:rsidRDefault="00000000">
            <w:pPr>
              <w:spacing w:before="40" w:after="40"/>
            </w:pPr>
            <w:r>
              <w:rPr>
                <w:rFonts w:ascii="Calibri" w:hAnsi="Calibri"/>
                <w:color w:val="24292E"/>
                <w:sz w:val="19"/>
              </w:rPr>
              <w:t>[ ] Complete</w:t>
            </w:r>
          </w:p>
        </w:tc>
      </w:tr>
      <w:tr w:rsidR="00C50DB3" w14:paraId="1E8302A1" w14:textId="77777777" w:rsidTr="00D33270">
        <w:trPr>
          <w:jc w:val="center"/>
        </w:trPr>
        <w:tc>
          <w:tcPr>
            <w:tcW w:w="279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DDEB87F" w14:textId="77777777" w:rsidR="00C50DB3" w:rsidRDefault="00000000">
            <w:pPr>
              <w:spacing w:before="40" w:after="40"/>
            </w:pPr>
            <w:r>
              <w:rPr>
                <w:rFonts w:ascii="Calibri" w:hAnsi="Calibri"/>
                <w:color w:val="24292E"/>
                <w:sz w:val="19"/>
              </w:rPr>
              <w:t>Source System Inventories &amp; ERDs</w:t>
            </w:r>
          </w:p>
        </w:tc>
        <w:tc>
          <w:tcPr>
            <w:tcW w:w="360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458A42C" w14:textId="77777777" w:rsidR="00C50DB3" w:rsidRDefault="00000000">
            <w:pPr>
              <w:spacing w:before="40" w:after="40"/>
            </w:pPr>
            <w:r>
              <w:rPr>
                <w:rFonts w:ascii="Calibri" w:hAnsi="Calibri"/>
                <w:color w:val="24292E"/>
                <w:sz w:val="19"/>
              </w:rPr>
              <w:t>Database schemas, entity relationship diagrams, data dictionaries</w:t>
            </w:r>
          </w:p>
        </w:tc>
        <w:tc>
          <w:tcPr>
            <w:tcW w:w="171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79F031F" w14:textId="77777777" w:rsidR="00C50DB3" w:rsidRDefault="00000000">
            <w:pPr>
              <w:spacing w:before="40" w:after="40"/>
            </w:pPr>
            <w:r>
              <w:rPr>
                <w:rFonts w:ascii="Calibri" w:hAnsi="Calibri"/>
                <w:color w:val="24292E"/>
                <w:sz w:val="19"/>
              </w:rPr>
              <w:t>Data Arch</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A47C5FB" w14:textId="77777777" w:rsidR="00C50DB3" w:rsidRDefault="00000000">
            <w:pPr>
              <w:spacing w:before="40" w:after="40"/>
            </w:pPr>
            <w:r>
              <w:rPr>
                <w:rFonts w:ascii="Calibri" w:hAnsi="Calibri"/>
                <w:color w:val="24292E"/>
                <w:sz w:val="19"/>
              </w:rPr>
              <w:t>[ ] Complete</w:t>
            </w:r>
          </w:p>
        </w:tc>
      </w:tr>
      <w:tr w:rsidR="00C50DB3" w14:paraId="73DFF94B" w14:textId="77777777" w:rsidTr="00D33270">
        <w:trPr>
          <w:jc w:val="center"/>
        </w:trPr>
        <w:tc>
          <w:tcPr>
            <w:tcW w:w="279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2308A92A" w14:textId="77777777" w:rsidR="00C50DB3" w:rsidRDefault="00000000">
            <w:pPr>
              <w:spacing w:before="40" w:after="40"/>
            </w:pPr>
            <w:r>
              <w:rPr>
                <w:rFonts w:ascii="Calibri" w:hAnsi="Calibri"/>
                <w:color w:val="24292E"/>
                <w:sz w:val="19"/>
              </w:rPr>
              <w:t>API Specifications &amp; Credentials</w:t>
            </w:r>
          </w:p>
        </w:tc>
        <w:tc>
          <w:tcPr>
            <w:tcW w:w="360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E4E7F76" w14:textId="77777777" w:rsidR="00C50DB3" w:rsidRDefault="00000000">
            <w:pPr>
              <w:spacing w:before="40" w:after="40"/>
            </w:pPr>
            <w:r>
              <w:rPr>
                <w:rFonts w:ascii="Calibri" w:hAnsi="Calibri"/>
                <w:color w:val="24292E"/>
                <w:sz w:val="19"/>
              </w:rPr>
              <w:t>REST/GraphQL endpoints, sample payloads, API auth keys</w:t>
            </w:r>
          </w:p>
        </w:tc>
        <w:tc>
          <w:tcPr>
            <w:tcW w:w="171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47C851E" w14:textId="77777777" w:rsidR="00C50DB3" w:rsidRDefault="00000000">
            <w:pPr>
              <w:spacing w:before="40" w:after="40"/>
            </w:pPr>
            <w:r>
              <w:rPr>
                <w:rFonts w:ascii="Calibri" w:hAnsi="Calibri"/>
                <w:color w:val="24292E"/>
                <w:sz w:val="19"/>
              </w:rPr>
              <w:t>Integration Lead</w:t>
            </w:r>
          </w:p>
        </w:tc>
        <w:tc>
          <w:tcPr>
            <w:tcW w:w="12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80BB307" w14:textId="77777777" w:rsidR="00C50DB3" w:rsidRDefault="00000000">
            <w:pPr>
              <w:spacing w:before="40" w:after="40"/>
            </w:pPr>
            <w:r>
              <w:rPr>
                <w:rFonts w:ascii="Calibri" w:hAnsi="Calibri"/>
                <w:color w:val="24292E"/>
                <w:sz w:val="19"/>
              </w:rPr>
              <w:t>[ ] Complete</w:t>
            </w:r>
          </w:p>
        </w:tc>
      </w:tr>
      <w:tr w:rsidR="00C50DB3" w14:paraId="46F2A7B0" w14:textId="77777777" w:rsidTr="00D33270">
        <w:trPr>
          <w:jc w:val="center"/>
        </w:trPr>
        <w:tc>
          <w:tcPr>
            <w:tcW w:w="279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26BA5DC" w14:textId="77777777" w:rsidR="00C50DB3" w:rsidRDefault="00000000">
            <w:pPr>
              <w:spacing w:before="40" w:after="40"/>
            </w:pPr>
            <w:r>
              <w:rPr>
                <w:rFonts w:ascii="Calibri" w:hAnsi="Calibri"/>
                <w:color w:val="24292E"/>
                <w:sz w:val="19"/>
              </w:rPr>
              <w:t>Sample Data Extracts &amp; File Layouts</w:t>
            </w:r>
          </w:p>
        </w:tc>
        <w:tc>
          <w:tcPr>
            <w:tcW w:w="360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6C6CD41" w14:textId="77777777" w:rsidR="00C50DB3" w:rsidRDefault="00000000">
            <w:pPr>
              <w:spacing w:before="40" w:after="40"/>
            </w:pPr>
            <w:r>
              <w:rPr>
                <w:rFonts w:ascii="Calibri" w:hAnsi="Calibri"/>
                <w:color w:val="24292E"/>
                <w:sz w:val="19"/>
              </w:rPr>
              <w:t>Masked/Anonymized test datasets and file specifications</w:t>
            </w:r>
          </w:p>
        </w:tc>
        <w:tc>
          <w:tcPr>
            <w:tcW w:w="171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33BCF27B" w14:textId="77777777" w:rsidR="00C50DB3" w:rsidRDefault="00000000">
            <w:pPr>
              <w:spacing w:before="40" w:after="40"/>
            </w:pPr>
            <w:r>
              <w:rPr>
                <w:rFonts w:ascii="Calibri" w:hAnsi="Calibri"/>
                <w:color w:val="24292E"/>
                <w:sz w:val="19"/>
              </w:rPr>
              <w:t>Business Analyst</w:t>
            </w:r>
          </w:p>
        </w:tc>
        <w:tc>
          <w:tcPr>
            <w:tcW w:w="12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2AF378A" w14:textId="77777777" w:rsidR="00C50DB3" w:rsidRDefault="00000000">
            <w:pPr>
              <w:spacing w:before="40" w:after="40"/>
            </w:pPr>
            <w:r>
              <w:rPr>
                <w:rFonts w:ascii="Calibri" w:hAnsi="Calibri"/>
                <w:color w:val="24292E"/>
                <w:sz w:val="19"/>
              </w:rPr>
              <w:t>[ ] Complete</w:t>
            </w:r>
          </w:p>
        </w:tc>
      </w:tr>
    </w:tbl>
    <w:p w14:paraId="6617DCD5" w14:textId="4C2B450B" w:rsidR="00C50DB3" w:rsidRDefault="00846354">
      <w:pPr>
        <w:pStyle w:val="Heading3"/>
        <w:spacing w:after="40"/>
      </w:pPr>
      <w:r>
        <w:rPr>
          <w:rFonts w:ascii="Calibri" w:hAnsi="Calibri"/>
          <w:color w:val="1B365D"/>
        </w:rPr>
        <w:t>3.3.4 Key Delivery Takeaways</w:t>
      </w:r>
    </w:p>
    <w:p w14:paraId="3C7FC5AD" w14:textId="29EBE118" w:rsidR="00C50DB3" w:rsidRDefault="00000000" w:rsidP="00846354">
      <w:pPr>
        <w:pStyle w:val="ListBullet"/>
        <w:tabs>
          <w:tab w:val="clear" w:pos="360"/>
        </w:tabs>
        <w:spacing w:after="60"/>
        <w:ind w:left="540"/>
      </w:pPr>
      <w:r>
        <w:rPr>
          <w:rFonts w:ascii="Calibri" w:hAnsi="Calibri"/>
          <w:b/>
          <w:color w:val="1B365D"/>
          <w:sz w:val="20"/>
        </w:rPr>
        <w:t xml:space="preserve">Direction Over Perfection: </w:t>
      </w:r>
      <w:r>
        <w:rPr>
          <w:rFonts w:ascii="Calibri" w:hAnsi="Calibri"/>
          <w:color w:val="24292E"/>
          <w:sz w:val="20"/>
        </w:rPr>
        <w:t>Requirements must be sufficient to establish direction, not immutable specifications.</w:t>
      </w:r>
    </w:p>
    <w:p w14:paraId="0CCF3FB7" w14:textId="78ACE10A" w:rsidR="00C50DB3" w:rsidRDefault="00000000" w:rsidP="00846354">
      <w:pPr>
        <w:pStyle w:val="ListBullet"/>
        <w:tabs>
          <w:tab w:val="clear" w:pos="360"/>
        </w:tabs>
        <w:spacing w:after="60"/>
        <w:ind w:left="540"/>
      </w:pPr>
      <w:r>
        <w:rPr>
          <w:rFonts w:ascii="Calibri" w:hAnsi="Calibri"/>
          <w:b/>
          <w:color w:val="1B365D"/>
          <w:sz w:val="20"/>
        </w:rPr>
        <w:t xml:space="preserve">Frequent Human Steering: </w:t>
      </w:r>
      <w:r>
        <w:rPr>
          <w:rFonts w:ascii="Calibri" w:hAnsi="Calibri"/>
          <w:color w:val="24292E"/>
          <w:sz w:val="20"/>
        </w:rPr>
        <w:t>Short 1–</w:t>
      </w:r>
      <w:proofErr w:type="gramStart"/>
      <w:r>
        <w:rPr>
          <w:rFonts w:ascii="Calibri" w:hAnsi="Calibri"/>
          <w:color w:val="24292E"/>
          <w:sz w:val="20"/>
        </w:rPr>
        <w:t>3 day</w:t>
      </w:r>
      <w:proofErr w:type="gramEnd"/>
      <w:r>
        <w:rPr>
          <w:rFonts w:ascii="Calibri" w:hAnsi="Calibri"/>
          <w:color w:val="24292E"/>
          <w:sz w:val="20"/>
        </w:rPr>
        <w:t xml:space="preserve"> review cycles keep human judgment in control while the machine absorbs variance.</w:t>
      </w:r>
    </w:p>
    <w:p w14:paraId="05CBF5FF" w14:textId="49F10741" w:rsidR="00C50DB3" w:rsidRDefault="00000000" w:rsidP="00846354">
      <w:pPr>
        <w:pStyle w:val="ListBullet"/>
        <w:tabs>
          <w:tab w:val="clear" w:pos="360"/>
        </w:tabs>
        <w:spacing w:after="60"/>
        <w:ind w:left="540"/>
      </w:pPr>
      <w:r>
        <w:rPr>
          <w:rFonts w:ascii="Calibri" w:hAnsi="Calibri"/>
          <w:b/>
          <w:color w:val="1B365D"/>
          <w:sz w:val="20"/>
        </w:rPr>
        <w:lastRenderedPageBreak/>
        <w:t xml:space="preserve">Unblock Environment First: </w:t>
      </w:r>
      <w:r>
        <w:rPr>
          <w:rFonts w:ascii="Calibri" w:hAnsi="Calibri"/>
          <w:color w:val="24292E"/>
          <w:sz w:val="20"/>
        </w:rPr>
        <w:t>Pre-sprint foundation setup eliminates environmental blockers before rapid begin.</w:t>
      </w:r>
    </w:p>
    <w:p w14:paraId="7CA8F90C" w14:textId="6648D949" w:rsidR="00C50DB3" w:rsidRDefault="00000000">
      <w:pPr>
        <w:pStyle w:val="Heading1"/>
        <w:spacing w:before="360" w:after="120"/>
      </w:pPr>
      <w:r>
        <w:rPr>
          <w:rFonts w:ascii="Calibri" w:hAnsi="Calibri"/>
          <w:color w:val="1B365D"/>
          <w:sz w:val="32"/>
        </w:rPr>
        <w:t>4.0 Technology Enablement &amp; Operations Guardrails</w:t>
      </w:r>
    </w:p>
    <w:tbl>
      <w:tblPr>
        <w:tblW w:w="0" w:type="auto"/>
        <w:jc w:val="center"/>
        <w:tblLayout w:type="fixed"/>
        <w:tblLook w:val="04A0" w:firstRow="1" w:lastRow="0" w:firstColumn="1" w:lastColumn="0" w:noHBand="0" w:noVBand="1"/>
      </w:tblPr>
      <w:tblGrid>
        <w:gridCol w:w="9360"/>
      </w:tblGrid>
      <w:tr w:rsidR="00C50DB3" w14:paraId="4781C0F5"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79673126" w14:textId="77777777" w:rsidR="00C50DB3" w:rsidRDefault="00000000">
            <w:pPr>
              <w:spacing w:before="40" w:after="80"/>
            </w:pPr>
            <w:r>
              <w:rPr>
                <w:rFonts w:ascii="Calibri" w:hAnsi="Calibri"/>
                <w:b/>
                <w:color w:val="1B365D"/>
                <w:sz w:val="21"/>
              </w:rPr>
              <w:t>💡 GUIDANCE &amp; CHALLENGE MANAGEMENT: TECHNOLOGY OPERATIONS &amp; MLOPS CHALLENGES</w:t>
            </w:r>
            <w:r>
              <w:rPr>
                <w:rFonts w:ascii="Calibri" w:hAnsi="Calibri"/>
                <w:b/>
                <w:color w:val="1B365D"/>
                <w:sz w:val="21"/>
              </w:rPr>
              <w:br/>
            </w:r>
            <w:r>
              <w:rPr>
                <w:rFonts w:ascii="Calibri" w:hAnsi="Calibri"/>
                <w:i/>
                <w:color w:val="24292E"/>
                <w:sz w:val="19"/>
              </w:rPr>
              <w:t>Challenge: Deploying artificial intelligence solutions into enterprise production introduces severe operational risks absent in traditional software: exponential cloud API token costs, latency degradation, model hallucination/drift, vendor API deprecation, and unmonitored shadow endpoints.</w:t>
            </w:r>
          </w:p>
          <w:p w14:paraId="06D57F4F" w14:textId="77777777" w:rsidR="00C50DB3" w:rsidRDefault="00000000">
            <w:pPr>
              <w:spacing w:before="80" w:after="80"/>
            </w:pPr>
            <w:r>
              <w:rPr>
                <w:rFonts w:ascii="Calibri" w:hAnsi="Calibri"/>
                <w:i/>
                <w:color w:val="24292E"/>
                <w:sz w:val="19"/>
              </w:rPr>
              <w:t>Management Approach: Technology enablement establishes rigorous MLOps/AIOps guardrails before deployment. The CoE manages a pre-cleared technology inventory, enforces hard API spending caps at the cloud gateway level, implements mandatory latency and accuracy telemetry, and establishes automated fallback mechanisms. No AI application is promoted to production without a formal operational hand-off to SRE/Operations teams.</w:t>
            </w:r>
          </w:p>
        </w:tc>
      </w:tr>
    </w:tbl>
    <w:p w14:paraId="57D446E0" w14:textId="77777777" w:rsidR="00C50DB3" w:rsidRDefault="00C50DB3">
      <w:pPr>
        <w:spacing w:after="120"/>
      </w:pPr>
    </w:p>
    <w:p w14:paraId="05AFF158" w14:textId="77777777" w:rsidR="00C50DB3" w:rsidRDefault="00000000">
      <w:pPr>
        <w:pStyle w:val="Heading2"/>
        <w:spacing w:before="280" w:after="80"/>
      </w:pPr>
      <w:r>
        <w:rPr>
          <w:rFonts w:ascii="Calibri" w:hAnsi="Calibri"/>
          <w:color w:val="334E68"/>
        </w:rPr>
        <w:t>4.1 Approved Enterprise Technology Inventory &amp; Platform Selection</w:t>
      </w:r>
    </w:p>
    <w:p w14:paraId="49CA7B02" w14:textId="77777777" w:rsidR="00C50DB3" w:rsidRDefault="00000000">
      <w:pPr>
        <w:spacing w:after="120"/>
      </w:pPr>
      <w:r>
        <w:rPr>
          <w:rFonts w:ascii="Calibri" w:hAnsi="Calibri"/>
          <w:color w:val="24292E"/>
          <w:sz w:val="20"/>
        </w:rPr>
        <w:t>Technology enablement provides the platforms, development tools, environments, and operational support required to execute projects efficiently and maintain systems reliably after deployment. Selecting pre-approved technologies reduces procurement delays, simplifies licensing, ensures compliance, and prevents technology proliferation.</w:t>
      </w:r>
    </w:p>
    <w:p w14:paraId="77DDE4D9" w14:textId="77777777" w:rsidR="00C50DB3" w:rsidRDefault="00000000">
      <w:pPr>
        <w:spacing w:after="120"/>
      </w:pPr>
      <w:r>
        <w:rPr>
          <w:rFonts w:ascii="Calibri" w:hAnsi="Calibri"/>
          <w:color w:val="24292E"/>
          <w:sz w:val="20"/>
        </w:rPr>
        <w:t>Before adopting new AI platforms, frameworks, or vendor APIs, project teams must evaluate compatibility with existing infrastructure, security compliance, ongoing operational costs, and vendor support SLAs. The enterprise maintains a curated inventory of cleared platforms:</w:t>
      </w:r>
    </w:p>
    <w:tbl>
      <w:tblPr>
        <w:tblW w:w="0" w:type="auto"/>
        <w:jc w:val="center"/>
        <w:tblLayout w:type="fixed"/>
        <w:tblLook w:val="04A0" w:firstRow="1" w:lastRow="0" w:firstColumn="1" w:lastColumn="0" w:noHBand="0" w:noVBand="1"/>
      </w:tblPr>
      <w:tblGrid>
        <w:gridCol w:w="2592"/>
        <w:gridCol w:w="3312"/>
        <w:gridCol w:w="1728"/>
        <w:gridCol w:w="1728"/>
      </w:tblGrid>
      <w:tr w:rsidR="00C50DB3" w14:paraId="703519A2" w14:textId="77777777">
        <w:trPr>
          <w:jc w:val="center"/>
        </w:trPr>
        <w:tc>
          <w:tcPr>
            <w:tcW w:w="259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6A152F8" w14:textId="77777777" w:rsidR="00C50DB3" w:rsidRDefault="00000000">
            <w:pPr>
              <w:spacing w:before="40" w:after="40"/>
            </w:pPr>
            <w:r>
              <w:rPr>
                <w:rFonts w:ascii="Calibri" w:hAnsi="Calibri"/>
                <w:b/>
                <w:color w:val="FFFFFF"/>
                <w:sz w:val="19"/>
              </w:rPr>
              <w:t>Technology Category</w:t>
            </w:r>
          </w:p>
        </w:tc>
        <w:tc>
          <w:tcPr>
            <w:tcW w:w="331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5F8AA91" w14:textId="77777777" w:rsidR="00C50DB3" w:rsidRDefault="00000000">
            <w:pPr>
              <w:spacing w:before="40" w:after="40"/>
            </w:pPr>
            <w:r>
              <w:rPr>
                <w:rFonts w:ascii="Calibri" w:hAnsi="Calibri"/>
                <w:b/>
                <w:color w:val="FFFFFF"/>
                <w:sz w:val="19"/>
              </w:rPr>
              <w:t>Approved Enterprise Tool / Service Platform</w:t>
            </w:r>
          </w:p>
        </w:tc>
        <w:tc>
          <w:tcPr>
            <w:tcW w:w="172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6FB45889" w14:textId="77777777" w:rsidR="00C50DB3" w:rsidRDefault="00000000">
            <w:pPr>
              <w:spacing w:before="40" w:after="40"/>
            </w:pPr>
            <w:r>
              <w:rPr>
                <w:rFonts w:ascii="Calibri" w:hAnsi="Calibri"/>
                <w:b/>
                <w:color w:val="FFFFFF"/>
                <w:sz w:val="19"/>
              </w:rPr>
              <w:t>Compliance &amp; Security Status</w:t>
            </w:r>
          </w:p>
        </w:tc>
        <w:tc>
          <w:tcPr>
            <w:tcW w:w="172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74B57421" w14:textId="77777777" w:rsidR="00C50DB3" w:rsidRDefault="00000000">
            <w:pPr>
              <w:spacing w:before="40" w:after="40"/>
            </w:pPr>
            <w:r>
              <w:rPr>
                <w:rFonts w:ascii="Calibri" w:hAnsi="Calibri"/>
                <w:b/>
                <w:color w:val="FFFFFF"/>
                <w:sz w:val="19"/>
              </w:rPr>
              <w:t>Support Organization</w:t>
            </w:r>
          </w:p>
        </w:tc>
      </w:tr>
      <w:tr w:rsidR="00C50DB3" w14:paraId="4D68A9A3"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0256199" w14:textId="77777777" w:rsidR="00C50DB3" w:rsidRDefault="00000000">
            <w:pPr>
              <w:spacing w:before="40" w:after="40"/>
            </w:pPr>
            <w:r>
              <w:rPr>
                <w:rFonts w:ascii="Calibri" w:hAnsi="Calibri"/>
                <w:color w:val="24292E"/>
                <w:sz w:val="19"/>
              </w:rPr>
              <w:t>Foundation Model APIs</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751E0D42" w14:textId="7A17770E" w:rsidR="00C50DB3" w:rsidRPr="00C43B69" w:rsidRDefault="00C43B69">
            <w:pPr>
              <w:spacing w:before="40" w:after="40"/>
              <w:rPr>
                <w:rFonts w:ascii="Calibri" w:hAnsi="Calibri"/>
                <w:color w:val="24292E"/>
                <w:sz w:val="19"/>
              </w:rPr>
            </w:pPr>
            <w:r w:rsidRPr="00C43B69">
              <w:rPr>
                <w:rFonts w:ascii="Calibri" w:hAnsi="Calibri"/>
                <w:color w:val="24292E"/>
                <w:sz w:val="19"/>
              </w:rPr>
              <w:t>Approved Enterprise Foundation Model Services</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CEFA5A6" w14:textId="77777777" w:rsidR="00C50DB3" w:rsidRDefault="00000000">
            <w:pPr>
              <w:spacing w:before="40" w:after="40"/>
            </w:pPr>
            <w:r>
              <w:rPr>
                <w:rFonts w:ascii="Calibri" w:hAnsi="Calibri"/>
                <w:color w:val="24292E"/>
                <w:sz w:val="19"/>
              </w:rPr>
              <w:t>SOC2 / ISO 27001 / FedRAMP Cleared</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0B290C5" w14:textId="77777777" w:rsidR="00C50DB3" w:rsidRDefault="00000000">
            <w:pPr>
              <w:spacing w:before="40" w:after="40"/>
            </w:pPr>
            <w:r>
              <w:rPr>
                <w:rFonts w:ascii="Calibri" w:hAnsi="Calibri"/>
                <w:color w:val="24292E"/>
                <w:sz w:val="19"/>
              </w:rPr>
              <w:t>Cloud Infrastructure Ops</w:t>
            </w:r>
          </w:p>
        </w:tc>
      </w:tr>
      <w:tr w:rsidR="00C50DB3" w14:paraId="4204987D"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4340A469" w14:textId="77777777" w:rsidR="00C50DB3" w:rsidRDefault="00000000">
            <w:pPr>
              <w:spacing w:before="40" w:after="40"/>
            </w:pPr>
            <w:r>
              <w:rPr>
                <w:rFonts w:ascii="Calibri" w:hAnsi="Calibri"/>
                <w:color w:val="24292E"/>
                <w:sz w:val="19"/>
              </w:rPr>
              <w:t>AI Coding Extensions</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1F033F4" w14:textId="5AF35D22" w:rsidR="00C50DB3" w:rsidRPr="00C43B69" w:rsidRDefault="00C43B69">
            <w:pPr>
              <w:spacing w:before="40" w:after="40"/>
              <w:rPr>
                <w:rFonts w:ascii="Calibri" w:hAnsi="Calibri"/>
                <w:color w:val="24292E"/>
                <w:sz w:val="19"/>
              </w:rPr>
            </w:pPr>
            <w:r w:rsidRPr="00C43B69">
              <w:rPr>
                <w:rFonts w:ascii="Calibri" w:hAnsi="Calibri"/>
                <w:color w:val="24292E"/>
                <w:sz w:val="19"/>
              </w:rPr>
              <w:t>Approved Enterprise AI Coding Assistants</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1705C905" w14:textId="77777777" w:rsidR="00C50DB3" w:rsidRDefault="00000000">
            <w:pPr>
              <w:spacing w:before="40" w:after="40"/>
            </w:pPr>
            <w:r>
              <w:rPr>
                <w:rFonts w:ascii="Calibri" w:hAnsi="Calibri"/>
                <w:color w:val="24292E"/>
                <w:sz w:val="19"/>
              </w:rPr>
              <w:t>IP Protected / No Training on Code</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3FD9331" w14:textId="77777777" w:rsidR="00C50DB3" w:rsidRDefault="00000000">
            <w:pPr>
              <w:spacing w:before="40" w:after="40"/>
            </w:pPr>
            <w:r>
              <w:rPr>
                <w:rFonts w:ascii="Calibri" w:hAnsi="Calibri"/>
                <w:color w:val="24292E"/>
                <w:sz w:val="19"/>
              </w:rPr>
              <w:t>CoE Developer Experience</w:t>
            </w:r>
          </w:p>
        </w:tc>
      </w:tr>
      <w:tr w:rsidR="00C50DB3" w14:paraId="2E612F05"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55ADD82" w14:textId="77777777" w:rsidR="00C50DB3" w:rsidRDefault="00000000">
            <w:pPr>
              <w:spacing w:before="40" w:after="40"/>
            </w:pPr>
            <w:r>
              <w:rPr>
                <w:rFonts w:ascii="Calibri" w:hAnsi="Calibri"/>
                <w:color w:val="24292E"/>
                <w:sz w:val="19"/>
              </w:rPr>
              <w:t>MLOps &amp; Observability</w:t>
            </w:r>
          </w:p>
        </w:tc>
        <w:tc>
          <w:tcPr>
            <w:tcW w:w="331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49F0A5DC" w14:textId="1B658D02" w:rsidR="00C50DB3" w:rsidRPr="00C43B69" w:rsidRDefault="00C43B69">
            <w:pPr>
              <w:spacing w:before="40" w:after="40"/>
              <w:rPr>
                <w:rFonts w:ascii="Calibri" w:hAnsi="Calibri"/>
                <w:color w:val="24292E"/>
                <w:sz w:val="19"/>
              </w:rPr>
            </w:pPr>
            <w:r w:rsidRPr="00C43B69">
              <w:rPr>
                <w:rFonts w:ascii="Calibri" w:hAnsi="Calibri"/>
                <w:color w:val="24292E"/>
                <w:sz w:val="19"/>
              </w:rPr>
              <w:t xml:space="preserve">Approved </w:t>
            </w:r>
            <w:proofErr w:type="spellStart"/>
            <w:r w:rsidRPr="00C43B69">
              <w:rPr>
                <w:rFonts w:ascii="Calibri" w:hAnsi="Calibri"/>
                <w:color w:val="24292E"/>
                <w:sz w:val="19"/>
              </w:rPr>
              <w:t>MLOps</w:t>
            </w:r>
            <w:proofErr w:type="spellEnd"/>
            <w:r w:rsidRPr="00C43B69">
              <w:rPr>
                <w:rFonts w:ascii="Calibri" w:hAnsi="Calibri"/>
                <w:color w:val="24292E"/>
                <w:sz w:val="19"/>
              </w:rPr>
              <w:t>, Monitoring &amp; Observability Tools</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3017B666" w14:textId="77777777" w:rsidR="00C50DB3" w:rsidRDefault="00000000">
            <w:pPr>
              <w:spacing w:before="40" w:after="40"/>
            </w:pPr>
            <w:r>
              <w:rPr>
                <w:rFonts w:ascii="Calibri" w:hAnsi="Calibri"/>
                <w:color w:val="24292E"/>
                <w:sz w:val="19"/>
              </w:rPr>
              <w:t>Enterprise Data Cleared</w:t>
            </w:r>
          </w:p>
        </w:tc>
        <w:tc>
          <w:tcPr>
            <w:tcW w:w="172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8BD39DA" w14:textId="77777777" w:rsidR="00C50DB3" w:rsidRDefault="00000000">
            <w:pPr>
              <w:spacing w:before="40" w:after="40"/>
            </w:pPr>
            <w:r>
              <w:rPr>
                <w:rFonts w:ascii="Calibri" w:hAnsi="Calibri"/>
                <w:color w:val="24292E"/>
                <w:sz w:val="19"/>
              </w:rPr>
              <w:t>SecOps / SRE Team</w:t>
            </w:r>
          </w:p>
        </w:tc>
      </w:tr>
    </w:tbl>
    <w:p w14:paraId="6155AFF3" w14:textId="77777777" w:rsidR="00C50DB3" w:rsidRDefault="00000000">
      <w:pPr>
        <w:pStyle w:val="Heading2"/>
        <w:spacing w:before="280" w:after="80"/>
      </w:pPr>
      <w:r>
        <w:rPr>
          <w:rFonts w:ascii="Calibri" w:hAnsi="Calibri"/>
          <w:color w:val="334E68"/>
        </w:rPr>
        <w:t>4.2 Operations, MLOps/AIOps &amp; Production Readiness Gate</w:t>
      </w:r>
    </w:p>
    <w:p w14:paraId="2F4BF504" w14:textId="77777777" w:rsidR="00C50DB3" w:rsidRDefault="00000000">
      <w:pPr>
        <w:spacing w:after="120"/>
      </w:pPr>
      <w:r>
        <w:rPr>
          <w:rFonts w:ascii="Calibri" w:hAnsi="Calibri"/>
          <w:color w:val="24292E"/>
          <w:sz w:val="20"/>
        </w:rPr>
        <w:t>Implementation is only one phase of the solution lifecycle. Equal focus must be directed toward how solutions are monitored, maintained, backed up, and supported once in active production. Operational responsibilities must be assigned during Foundation Setup rather than treated as an after-thought at deployment.</w:t>
      </w:r>
    </w:p>
    <w:p w14:paraId="100357F9" w14:textId="77777777" w:rsidR="00C50DB3" w:rsidRDefault="00000000">
      <w:pPr>
        <w:spacing w:after="120"/>
      </w:pPr>
      <w:r>
        <w:rPr>
          <w:rFonts w:ascii="Calibri" w:hAnsi="Calibri"/>
          <w:color w:val="24292E"/>
          <w:sz w:val="20"/>
        </w:rPr>
        <w:lastRenderedPageBreak/>
        <w:t>Every AI solution must pass the formal Production Readiness Gate before promoting code to the production environment:</w:t>
      </w:r>
    </w:p>
    <w:p w14:paraId="6B52A3CD" w14:textId="77777777" w:rsidR="00C50DB3" w:rsidRDefault="00000000">
      <w:pPr>
        <w:pStyle w:val="ListBullet"/>
        <w:spacing w:after="60"/>
      </w:pPr>
      <w:r>
        <w:rPr>
          <w:rFonts w:ascii="Calibri" w:hAnsi="Calibri"/>
          <w:b/>
          <w:color w:val="1B365D"/>
          <w:sz w:val="20"/>
        </w:rPr>
        <w:t xml:space="preserve">1. Security Scan Verification: </w:t>
      </w:r>
      <w:r>
        <w:rPr>
          <w:rFonts w:ascii="Calibri" w:hAnsi="Calibri"/>
          <w:color w:val="24292E"/>
          <w:sz w:val="20"/>
        </w:rPr>
        <w:t>Automated code analysis, dependency vulnerability scanning, and repository security checks passed with zero critical/high items.</w:t>
      </w:r>
    </w:p>
    <w:p w14:paraId="5C62E017" w14:textId="77777777" w:rsidR="00C50DB3" w:rsidRDefault="00000000">
      <w:pPr>
        <w:pStyle w:val="ListBullet"/>
        <w:spacing w:after="60"/>
      </w:pPr>
      <w:r>
        <w:rPr>
          <w:rFonts w:ascii="Calibri" w:hAnsi="Calibri"/>
          <w:b/>
          <w:color w:val="1B365D"/>
          <w:sz w:val="20"/>
        </w:rPr>
        <w:t xml:space="preserve">2. Resilience &amp; Fallback Logic: </w:t>
      </w:r>
      <w:r>
        <w:rPr>
          <w:rFonts w:ascii="Calibri" w:hAnsi="Calibri"/>
          <w:color w:val="24292E"/>
          <w:sz w:val="20"/>
        </w:rPr>
        <w:t>Model fallback routes, timeout handling, and rate-limiting verified under load testing to ensure high availability.</w:t>
      </w:r>
    </w:p>
    <w:p w14:paraId="583BAC7E" w14:textId="77777777" w:rsidR="00C50DB3" w:rsidRDefault="00000000">
      <w:pPr>
        <w:pStyle w:val="ListBullet"/>
        <w:spacing w:after="60"/>
      </w:pPr>
      <w:r>
        <w:rPr>
          <w:rFonts w:ascii="Calibri" w:hAnsi="Calibri"/>
          <w:b/>
          <w:color w:val="1B365D"/>
          <w:sz w:val="20"/>
        </w:rPr>
        <w:t xml:space="preserve">3. Cost &amp; Telemetry Controls: </w:t>
      </w:r>
      <w:r>
        <w:rPr>
          <w:rFonts w:ascii="Calibri" w:hAnsi="Calibri"/>
          <w:color w:val="24292E"/>
          <w:sz w:val="20"/>
        </w:rPr>
        <w:t>Automated cloud gateway token tracking, monthly cost caps, latency alerts, and compliance audit logging active.</w:t>
      </w:r>
    </w:p>
    <w:p w14:paraId="04554B53" w14:textId="77777777" w:rsidR="00C50DB3" w:rsidRDefault="00000000">
      <w:pPr>
        <w:pStyle w:val="ListBullet"/>
        <w:spacing w:after="60"/>
      </w:pPr>
      <w:r>
        <w:rPr>
          <w:rFonts w:ascii="Calibri" w:hAnsi="Calibri"/>
          <w:b/>
          <w:color w:val="1B365D"/>
          <w:sz w:val="20"/>
        </w:rPr>
        <w:t xml:space="preserve">4. Operational Hand-Off: </w:t>
      </w:r>
      <w:r>
        <w:rPr>
          <w:rFonts w:ascii="Calibri" w:hAnsi="Calibri"/>
          <w:color w:val="24292E"/>
          <w:sz w:val="20"/>
        </w:rPr>
        <w:t>SLA commitments, incident escalation runbooks, and support ticketing paths formally accepted by receiving SRE/Operations team.</w:t>
      </w:r>
    </w:p>
    <w:p w14:paraId="573751B1" w14:textId="77777777" w:rsidR="00C50DB3" w:rsidRDefault="00000000">
      <w:pPr>
        <w:pStyle w:val="Heading2"/>
        <w:spacing w:before="280" w:after="80"/>
      </w:pPr>
      <w:r>
        <w:rPr>
          <w:rFonts w:ascii="Calibri" w:hAnsi="Calibri"/>
          <w:color w:val="334E68"/>
        </w:rPr>
        <w:t>4.3 Environment &amp; Release Management Standard</w:t>
      </w:r>
    </w:p>
    <w:p w14:paraId="0045E964" w14:textId="77777777" w:rsidR="00C50DB3" w:rsidRDefault="00000000">
      <w:pPr>
        <w:spacing w:after="120"/>
      </w:pPr>
      <w:r>
        <w:rPr>
          <w:rFonts w:ascii="Calibri" w:hAnsi="Calibri"/>
          <w:color w:val="24292E"/>
          <w:sz w:val="20"/>
        </w:rPr>
        <w:t>System stability depends on isolated, repeatable environment management across Development, Testing/Staging, and Production tiers. Code promotion follows standardized CI/CD automated deployment pipelines with mandatory approval gates at each environment boundary.</w:t>
      </w:r>
    </w:p>
    <w:p w14:paraId="15175EFF" w14:textId="77777777" w:rsidR="00C50DB3" w:rsidRDefault="00000000">
      <w:pPr>
        <w:pStyle w:val="Heading1"/>
        <w:spacing w:before="360" w:after="120"/>
      </w:pPr>
      <w:r>
        <w:rPr>
          <w:rFonts w:ascii="Calibri" w:hAnsi="Calibri"/>
          <w:color w:val="1B365D"/>
          <w:sz w:val="32"/>
        </w:rPr>
        <w:t>5.0 Training, Change Management &amp; Upskilling</w:t>
      </w:r>
    </w:p>
    <w:tbl>
      <w:tblPr>
        <w:tblW w:w="0" w:type="auto"/>
        <w:jc w:val="center"/>
        <w:tblLayout w:type="fixed"/>
        <w:tblLook w:val="04A0" w:firstRow="1" w:lastRow="0" w:firstColumn="1" w:lastColumn="0" w:noHBand="0" w:noVBand="1"/>
      </w:tblPr>
      <w:tblGrid>
        <w:gridCol w:w="9360"/>
      </w:tblGrid>
      <w:tr w:rsidR="00C50DB3" w14:paraId="4A5E9E6C"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3CA422EC" w14:textId="77777777" w:rsidR="00C50DB3" w:rsidRDefault="00000000">
            <w:pPr>
              <w:spacing w:before="40" w:after="80"/>
            </w:pPr>
            <w:r>
              <w:rPr>
                <w:rFonts w:ascii="Calibri" w:hAnsi="Calibri"/>
                <w:b/>
                <w:color w:val="1B365D"/>
                <w:sz w:val="21"/>
              </w:rPr>
              <w:t>💡 GUIDANCE &amp; CHALLENGE MANAGEMENT: WORKFORCE ENABLEMENT &amp; CHANGE CHALLENGES</w:t>
            </w:r>
            <w:r>
              <w:rPr>
                <w:rFonts w:ascii="Calibri" w:hAnsi="Calibri"/>
                <w:b/>
                <w:color w:val="1B365D"/>
                <w:sz w:val="21"/>
              </w:rPr>
              <w:br/>
            </w:r>
            <w:r>
              <w:rPr>
                <w:rFonts w:ascii="Calibri" w:hAnsi="Calibri"/>
                <w:i/>
                <w:color w:val="24292E"/>
                <w:sz w:val="19"/>
              </w:rPr>
              <w:t>Challenge: The most significant non-technical barrier to enterprise AI realization is workforce anxiety, fear of job displacement, lack of trust in model outputs, and poor prompt engineering skills among business staff—resulting in low adoption rates post-launch.</w:t>
            </w:r>
          </w:p>
          <w:p w14:paraId="7FDC881C" w14:textId="77777777" w:rsidR="00C50DB3" w:rsidRDefault="00000000">
            <w:pPr>
              <w:spacing w:before="80" w:after="80"/>
            </w:pPr>
            <w:r>
              <w:rPr>
                <w:rFonts w:ascii="Calibri" w:hAnsi="Calibri"/>
                <w:i/>
                <w:color w:val="24292E"/>
                <w:sz w:val="19"/>
              </w:rPr>
              <w:t>Management Approach: Change management must position AI as an operational multiplier that removes repetitive administrative burden, empowering employees to focus on higher-value problem solving. The CoE deploys role-based upskilling pathways tailored to specific job personas (business users, product owners, technical staff) and pairs formal instruction with active departmental champion networks to address adoption friction in real time.</w:t>
            </w:r>
          </w:p>
        </w:tc>
      </w:tr>
    </w:tbl>
    <w:p w14:paraId="2AF05FA4" w14:textId="77777777" w:rsidR="00C50DB3" w:rsidRDefault="00C50DB3">
      <w:pPr>
        <w:spacing w:after="120"/>
      </w:pPr>
    </w:p>
    <w:p w14:paraId="6291D837" w14:textId="77777777" w:rsidR="00C50DB3" w:rsidRDefault="00000000">
      <w:pPr>
        <w:pStyle w:val="Heading2"/>
        <w:spacing w:before="280" w:after="80"/>
      </w:pPr>
      <w:r>
        <w:rPr>
          <w:rFonts w:ascii="Calibri" w:hAnsi="Calibri"/>
          <w:color w:val="334E68"/>
        </w:rPr>
        <w:t>5.1 Persona-Based Workforce Upskilling Framework</w:t>
      </w:r>
    </w:p>
    <w:p w14:paraId="10209452" w14:textId="77777777" w:rsidR="00C50DB3" w:rsidRDefault="00000000">
      <w:pPr>
        <w:spacing w:after="120"/>
      </w:pPr>
      <w:r>
        <w:rPr>
          <w:rFonts w:ascii="Calibri" w:hAnsi="Calibri"/>
          <w:color w:val="24292E"/>
          <w:sz w:val="20"/>
        </w:rPr>
        <w:t>New AI tooling requires deliberate workforce preparation. Projects achieve expected ROI only when employees understand how tools operate, why changes are occurring, and how AI enhances their daily workflows. Training plans must align directly with the specific operational responsibilities of each staff persona.</w:t>
      </w:r>
    </w:p>
    <w:tbl>
      <w:tblPr>
        <w:tblW w:w="0" w:type="auto"/>
        <w:jc w:val="center"/>
        <w:tblLayout w:type="fixed"/>
        <w:tblLook w:val="04A0" w:firstRow="1" w:lastRow="0" w:firstColumn="1" w:lastColumn="0" w:noHBand="0" w:noVBand="1"/>
      </w:tblPr>
      <w:tblGrid>
        <w:gridCol w:w="2160"/>
        <w:gridCol w:w="3168"/>
        <w:gridCol w:w="2880"/>
        <w:gridCol w:w="1152"/>
      </w:tblGrid>
      <w:tr w:rsidR="00C50DB3" w14:paraId="3FD300CE" w14:textId="77777777">
        <w:trPr>
          <w:jc w:val="center"/>
        </w:trPr>
        <w:tc>
          <w:tcPr>
            <w:tcW w:w="216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CE6B533" w14:textId="77777777" w:rsidR="00C50DB3" w:rsidRDefault="00000000">
            <w:pPr>
              <w:spacing w:before="40" w:after="40"/>
            </w:pPr>
            <w:r>
              <w:rPr>
                <w:rFonts w:ascii="Calibri" w:hAnsi="Calibri"/>
                <w:b/>
                <w:color w:val="FFFFFF"/>
                <w:sz w:val="19"/>
              </w:rPr>
              <w:t>Target Employee Persona</w:t>
            </w:r>
          </w:p>
        </w:tc>
        <w:tc>
          <w:tcPr>
            <w:tcW w:w="316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9C25432" w14:textId="77777777" w:rsidR="00C50DB3" w:rsidRDefault="00000000">
            <w:pPr>
              <w:spacing w:before="40" w:after="40"/>
            </w:pPr>
            <w:r>
              <w:rPr>
                <w:rFonts w:ascii="Calibri" w:hAnsi="Calibri"/>
                <w:b/>
                <w:color w:val="FFFFFF"/>
                <w:sz w:val="19"/>
              </w:rPr>
              <w:t>Required Core Competencies</w:t>
            </w:r>
          </w:p>
        </w:tc>
        <w:tc>
          <w:tcPr>
            <w:tcW w:w="288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3F24E6DE" w14:textId="77777777" w:rsidR="00C50DB3" w:rsidRDefault="00000000">
            <w:pPr>
              <w:spacing w:before="40" w:after="40"/>
            </w:pPr>
            <w:r>
              <w:rPr>
                <w:rFonts w:ascii="Calibri" w:hAnsi="Calibri"/>
                <w:b/>
                <w:color w:val="FFFFFF"/>
                <w:sz w:val="19"/>
              </w:rPr>
              <w:t>Curriculum Module &amp; Learning Path</w:t>
            </w:r>
          </w:p>
        </w:tc>
        <w:tc>
          <w:tcPr>
            <w:tcW w:w="1152"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05B9B149" w14:textId="77777777" w:rsidR="00C50DB3" w:rsidRDefault="00000000">
            <w:pPr>
              <w:spacing w:before="40" w:after="40"/>
            </w:pPr>
            <w:r>
              <w:rPr>
                <w:rFonts w:ascii="Calibri" w:hAnsi="Calibri"/>
                <w:b/>
                <w:color w:val="FFFFFF"/>
                <w:sz w:val="19"/>
              </w:rPr>
              <w:t>Cadence</w:t>
            </w:r>
          </w:p>
        </w:tc>
      </w:tr>
      <w:tr w:rsidR="00C50DB3" w14:paraId="153B7A57"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CD2BD06" w14:textId="77777777" w:rsidR="00C50DB3" w:rsidRDefault="00000000">
            <w:pPr>
              <w:spacing w:before="40" w:after="40"/>
            </w:pPr>
            <w:r>
              <w:rPr>
                <w:rFonts w:ascii="Calibri" w:hAnsi="Calibri"/>
                <w:color w:val="24292E"/>
                <w:sz w:val="19"/>
              </w:rPr>
              <w:t>Business Staff &amp; End Users</w:t>
            </w:r>
          </w:p>
        </w:tc>
        <w:tc>
          <w:tcPr>
            <w:tcW w:w="316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BAA4F04" w14:textId="77777777" w:rsidR="00C50DB3" w:rsidRDefault="00000000">
            <w:pPr>
              <w:spacing w:before="40" w:after="40"/>
            </w:pPr>
            <w:r>
              <w:rPr>
                <w:rFonts w:ascii="Calibri" w:hAnsi="Calibri"/>
                <w:color w:val="24292E"/>
                <w:sz w:val="19"/>
              </w:rPr>
              <w:t>AI Tool Navigation, Prompting Essentials, Output Verification, Data Privacy Basics</w:t>
            </w:r>
          </w:p>
        </w:tc>
        <w:tc>
          <w:tcPr>
            <w:tcW w:w="288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2FA6435E" w14:textId="77777777" w:rsidR="00C50DB3" w:rsidRDefault="00000000">
            <w:pPr>
              <w:spacing w:before="40" w:after="40"/>
            </w:pPr>
            <w:r>
              <w:rPr>
                <w:rFonts w:ascii="Calibri" w:hAnsi="Calibri"/>
                <w:color w:val="24292E"/>
                <w:sz w:val="19"/>
              </w:rPr>
              <w:t>Module 101: Practical AI in Daily Operations (Interactive Workshops &amp; Job Aids)</w:t>
            </w:r>
          </w:p>
        </w:tc>
        <w:tc>
          <w:tcPr>
            <w:tcW w:w="115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8732ABE" w14:textId="77777777" w:rsidR="00C50DB3" w:rsidRDefault="00000000">
            <w:pPr>
              <w:spacing w:before="40" w:after="40"/>
            </w:pPr>
            <w:r>
              <w:rPr>
                <w:rFonts w:ascii="Calibri" w:hAnsi="Calibri"/>
                <w:color w:val="24292E"/>
                <w:sz w:val="19"/>
              </w:rPr>
              <w:t>Quarterly</w:t>
            </w:r>
          </w:p>
        </w:tc>
      </w:tr>
      <w:tr w:rsidR="00C50DB3" w14:paraId="74A48CB8"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25D121BE" w14:textId="77777777" w:rsidR="00C50DB3" w:rsidRDefault="00000000">
            <w:pPr>
              <w:spacing w:before="40" w:after="40"/>
            </w:pPr>
            <w:r>
              <w:rPr>
                <w:rFonts w:ascii="Calibri" w:hAnsi="Calibri"/>
                <w:color w:val="24292E"/>
                <w:sz w:val="19"/>
              </w:rPr>
              <w:t xml:space="preserve">Business Leads &amp; </w:t>
            </w:r>
            <w:r>
              <w:rPr>
                <w:rFonts w:ascii="Calibri" w:hAnsi="Calibri"/>
                <w:color w:val="24292E"/>
                <w:sz w:val="19"/>
              </w:rPr>
              <w:lastRenderedPageBreak/>
              <w:t>Product Owners</w:t>
            </w:r>
          </w:p>
        </w:tc>
        <w:tc>
          <w:tcPr>
            <w:tcW w:w="316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3082A19" w14:textId="77777777" w:rsidR="00C50DB3" w:rsidRDefault="00000000">
            <w:pPr>
              <w:spacing w:before="40" w:after="40"/>
            </w:pPr>
            <w:r>
              <w:rPr>
                <w:rFonts w:ascii="Calibri" w:hAnsi="Calibri"/>
                <w:color w:val="24292E"/>
                <w:sz w:val="19"/>
              </w:rPr>
              <w:lastRenderedPageBreak/>
              <w:t xml:space="preserve">AI Opportunity Identification, Value </w:t>
            </w:r>
            <w:r>
              <w:rPr>
                <w:rFonts w:ascii="Calibri" w:hAnsi="Calibri"/>
                <w:color w:val="24292E"/>
                <w:sz w:val="19"/>
              </w:rPr>
              <w:lastRenderedPageBreak/>
              <w:t>Scoring, Risk Assessment, Output Auditing</w:t>
            </w:r>
          </w:p>
        </w:tc>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4B43E423" w14:textId="77777777" w:rsidR="00C50DB3" w:rsidRDefault="00000000">
            <w:pPr>
              <w:spacing w:before="40" w:after="40"/>
            </w:pPr>
            <w:r>
              <w:rPr>
                <w:rFonts w:ascii="Calibri" w:hAnsi="Calibri"/>
                <w:color w:val="24292E"/>
                <w:sz w:val="19"/>
              </w:rPr>
              <w:lastRenderedPageBreak/>
              <w:t xml:space="preserve">Module 201: AI Product </w:t>
            </w:r>
            <w:r>
              <w:rPr>
                <w:rFonts w:ascii="Calibri" w:hAnsi="Calibri"/>
                <w:color w:val="24292E"/>
                <w:sz w:val="19"/>
              </w:rPr>
              <w:lastRenderedPageBreak/>
              <w:t>Ownership &amp; Intake Evaluation (Case Studies &amp; Exercises)</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0693F181" w14:textId="77777777" w:rsidR="00C50DB3" w:rsidRDefault="00000000">
            <w:pPr>
              <w:spacing w:before="40" w:after="40"/>
            </w:pPr>
            <w:r>
              <w:rPr>
                <w:rFonts w:ascii="Calibri" w:hAnsi="Calibri"/>
                <w:color w:val="24292E"/>
                <w:sz w:val="19"/>
              </w:rPr>
              <w:lastRenderedPageBreak/>
              <w:t>Bi-</w:t>
            </w:r>
            <w:r>
              <w:rPr>
                <w:rFonts w:ascii="Calibri" w:hAnsi="Calibri"/>
                <w:color w:val="24292E"/>
                <w:sz w:val="19"/>
              </w:rPr>
              <w:lastRenderedPageBreak/>
              <w:t>Annually</w:t>
            </w:r>
          </w:p>
        </w:tc>
      </w:tr>
      <w:tr w:rsidR="00C50DB3" w14:paraId="4CE47383" w14:textId="77777777">
        <w:trPr>
          <w:jc w:val="center"/>
        </w:trPr>
        <w:tc>
          <w:tcPr>
            <w:tcW w:w="216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7B76B26" w14:textId="77777777" w:rsidR="00C50DB3" w:rsidRDefault="00000000">
            <w:pPr>
              <w:spacing w:before="40" w:after="40"/>
            </w:pPr>
            <w:r>
              <w:rPr>
                <w:rFonts w:ascii="Calibri" w:hAnsi="Calibri"/>
                <w:color w:val="24292E"/>
                <w:sz w:val="19"/>
              </w:rPr>
              <w:lastRenderedPageBreak/>
              <w:t>Engineering &amp; Technical Staff</w:t>
            </w:r>
          </w:p>
        </w:tc>
        <w:tc>
          <w:tcPr>
            <w:tcW w:w="316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29677D6" w14:textId="77777777" w:rsidR="00C50DB3" w:rsidRDefault="00000000">
            <w:pPr>
              <w:spacing w:before="40" w:after="40"/>
            </w:pPr>
            <w:r>
              <w:rPr>
                <w:rFonts w:ascii="Calibri" w:hAnsi="Calibri"/>
                <w:color w:val="24292E"/>
                <w:sz w:val="19"/>
              </w:rPr>
              <w:t>Context Engineering, AI-Assisted Coding, Model Integration, Security Guardrails</w:t>
            </w:r>
          </w:p>
        </w:tc>
        <w:tc>
          <w:tcPr>
            <w:tcW w:w="288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617FF6DA" w14:textId="77777777" w:rsidR="00C50DB3" w:rsidRDefault="00000000">
            <w:pPr>
              <w:spacing w:before="40" w:after="40"/>
            </w:pPr>
            <w:r>
              <w:rPr>
                <w:rFonts w:ascii="Calibri" w:hAnsi="Calibri"/>
                <w:color w:val="24292E"/>
                <w:sz w:val="19"/>
              </w:rPr>
              <w:t>Module 301: Adaptive AI Delivery &amp; Architecture (Hands-on Labs &amp; Code Reviews)</w:t>
            </w:r>
          </w:p>
        </w:tc>
        <w:tc>
          <w:tcPr>
            <w:tcW w:w="1152"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52DE630" w14:textId="77777777" w:rsidR="00C50DB3" w:rsidRDefault="00000000">
            <w:pPr>
              <w:spacing w:before="40" w:after="40"/>
            </w:pPr>
            <w:r>
              <w:rPr>
                <w:rFonts w:ascii="Calibri" w:hAnsi="Calibri"/>
                <w:color w:val="24292E"/>
                <w:sz w:val="19"/>
              </w:rPr>
              <w:t>Monthly</w:t>
            </w:r>
          </w:p>
        </w:tc>
      </w:tr>
    </w:tbl>
    <w:p w14:paraId="73304BA4" w14:textId="77777777" w:rsidR="00C50DB3" w:rsidRDefault="00000000">
      <w:pPr>
        <w:pStyle w:val="Heading2"/>
        <w:spacing w:before="280" w:after="80"/>
      </w:pPr>
      <w:r>
        <w:rPr>
          <w:rFonts w:ascii="Calibri" w:hAnsi="Calibri"/>
          <w:color w:val="334E68"/>
        </w:rPr>
        <w:t>5.2 Stakeholder Communication &amp; Organizational Adoption Strategy</w:t>
      </w:r>
    </w:p>
    <w:p w14:paraId="1ED2D7BA" w14:textId="77777777" w:rsidR="00C50DB3" w:rsidRDefault="00000000">
      <w:pPr>
        <w:spacing w:after="120"/>
      </w:pPr>
      <w:r>
        <w:rPr>
          <w:rFonts w:ascii="Calibri" w:hAnsi="Calibri"/>
          <w:color w:val="24292E"/>
          <w:sz w:val="20"/>
        </w:rPr>
        <w:t>Transparent, proactive communication builds organizational trust. Project teams must publish regular updates regarding implementation roadmaps, upcoming training sessions, pilot outcomes, and available support resources. Executive sponsors and business managers must remain visibly engaged, reinforcing success stories and addressing employee concerns.</w:t>
      </w:r>
    </w:p>
    <w:p w14:paraId="19AACBDF" w14:textId="77777777" w:rsidR="00C50DB3" w:rsidRDefault="00000000">
      <w:pPr>
        <w:pStyle w:val="Heading2"/>
        <w:spacing w:before="280" w:after="80"/>
      </w:pPr>
      <w:r>
        <w:rPr>
          <w:rFonts w:ascii="Calibri" w:hAnsi="Calibri"/>
          <w:color w:val="334E68"/>
        </w:rPr>
        <w:t>5.3 Knowledge Transfer &amp; Support Transition Protocol</w:t>
      </w:r>
    </w:p>
    <w:p w14:paraId="485BE08F" w14:textId="77777777" w:rsidR="00C50DB3" w:rsidRDefault="00000000">
      <w:pPr>
        <w:spacing w:after="120"/>
      </w:pPr>
      <w:r>
        <w:rPr>
          <w:rFonts w:ascii="Calibri" w:hAnsi="Calibri"/>
          <w:color w:val="24292E"/>
          <w:sz w:val="20"/>
        </w:rPr>
        <w:t>Knowledge transfer is a mandatory delivery requirement that occurs incrementally throughout sprint execution, rather than as a rushed activity at go-live. System documentation, user guides, operational runbooks, and troubleshooting procedures must be delivered and validated before active project support concludes.</w:t>
      </w:r>
    </w:p>
    <w:p w14:paraId="07C2B0C9" w14:textId="77777777" w:rsidR="00C50DB3" w:rsidRDefault="00000000">
      <w:pPr>
        <w:pStyle w:val="Heading1"/>
        <w:spacing w:before="360" w:after="120"/>
      </w:pPr>
      <w:r>
        <w:rPr>
          <w:rFonts w:ascii="Calibri" w:hAnsi="Calibri"/>
          <w:color w:val="1B365D"/>
          <w:sz w:val="32"/>
        </w:rPr>
        <w:t>6.0 CoE Project Support &amp; Value Realization</w:t>
      </w:r>
    </w:p>
    <w:tbl>
      <w:tblPr>
        <w:tblW w:w="0" w:type="auto"/>
        <w:jc w:val="center"/>
        <w:tblLayout w:type="fixed"/>
        <w:tblLook w:val="04A0" w:firstRow="1" w:lastRow="0" w:firstColumn="1" w:lastColumn="0" w:noHBand="0" w:noVBand="1"/>
      </w:tblPr>
      <w:tblGrid>
        <w:gridCol w:w="9360"/>
      </w:tblGrid>
      <w:tr w:rsidR="00C50DB3" w14:paraId="5F53EAE0"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5304B289" w14:textId="77777777" w:rsidR="00C50DB3" w:rsidRDefault="00000000">
            <w:pPr>
              <w:spacing w:before="40" w:after="80"/>
            </w:pPr>
            <w:r>
              <w:rPr>
                <w:rFonts w:ascii="Calibri" w:hAnsi="Calibri"/>
                <w:b/>
                <w:color w:val="1B365D"/>
                <w:sz w:val="21"/>
              </w:rPr>
              <w:t>💡 GUIDANCE &amp; CHALLENGE MANAGEMENT: PROJECT SUPPORT &amp; VALUE TRACKING CHALLENGES</w:t>
            </w:r>
            <w:r>
              <w:rPr>
                <w:rFonts w:ascii="Calibri" w:hAnsi="Calibri"/>
                <w:b/>
                <w:color w:val="1B365D"/>
                <w:sz w:val="21"/>
              </w:rPr>
              <w:br/>
            </w:r>
            <w:r>
              <w:rPr>
                <w:rFonts w:ascii="Calibri" w:hAnsi="Calibri"/>
                <w:i/>
                <w:color w:val="24292E"/>
                <w:sz w:val="19"/>
              </w:rPr>
              <w:t>Challenge: Organizations frequently suffer from the 'build and abandon' syndrome—where AI solutions are developed with enthusiasm, but post-launch monitoring is neglected, resulting in unverified ROI, untracked operational drift, and lost institutional learning.</w:t>
            </w:r>
          </w:p>
          <w:p w14:paraId="76420F5A" w14:textId="77777777" w:rsidR="00C50DB3" w:rsidRDefault="00000000">
            <w:pPr>
              <w:spacing w:before="80" w:after="80"/>
            </w:pPr>
            <w:r>
              <w:rPr>
                <w:rFonts w:ascii="Calibri" w:hAnsi="Calibri"/>
                <w:i/>
                <w:color w:val="24292E"/>
                <w:sz w:val="19"/>
              </w:rPr>
              <w:t>Management Approach: The CoE delivers structured technical support from project initiation through post-implementation reviews. Business units receive hands-on assistance during scope definition and sprint execution. Following deployment, the CoE enforces 30-, 60-, and 90-day benefit audits comparing actual operational metrics against intake baselines, while capturing lessons learned in the central repository to continuously improve future architectures.</w:t>
            </w:r>
          </w:p>
        </w:tc>
      </w:tr>
    </w:tbl>
    <w:p w14:paraId="4504FFC9" w14:textId="77777777" w:rsidR="00C50DB3" w:rsidRDefault="00000000">
      <w:pPr>
        <w:pStyle w:val="Heading2"/>
        <w:spacing w:before="280" w:after="80"/>
      </w:pPr>
      <w:r>
        <w:rPr>
          <w:rFonts w:ascii="Calibri" w:hAnsi="Calibri"/>
          <w:color w:val="334E68"/>
        </w:rPr>
        <w:t>6.1 Project Identification, Intake Support &amp; Request Template</w:t>
      </w:r>
    </w:p>
    <w:p w14:paraId="6BD59D81" w14:textId="77777777" w:rsidR="00C50DB3" w:rsidRDefault="00000000">
      <w:pPr>
        <w:spacing w:after="120"/>
      </w:pPr>
      <w:r>
        <w:rPr>
          <w:rFonts w:ascii="Calibri" w:hAnsi="Calibri"/>
          <w:color w:val="24292E"/>
          <w:sz w:val="20"/>
        </w:rPr>
        <w:t>Business units frequently understand the operational problems they face but require technical expertise to define solution scope, document technical dependencies, evaluate feasibility, and estimate effort. The CoE provides intake coaching to help business leads articulate clear objectives and compile initial business cases.</w:t>
      </w:r>
    </w:p>
    <w:p w14:paraId="7D0855BF" w14:textId="77777777" w:rsidR="00C50DB3" w:rsidRDefault="00000000">
      <w:pPr>
        <w:spacing w:after="120"/>
      </w:pPr>
      <w:r>
        <w:rPr>
          <w:rFonts w:ascii="Calibri" w:hAnsi="Calibri"/>
          <w:b/>
          <w:color w:val="1B365D"/>
          <w:sz w:val="21"/>
        </w:rPr>
        <w:t xml:space="preserve">Form Template 6.1: </w:t>
      </w:r>
      <w:r>
        <w:rPr>
          <w:rFonts w:ascii="Calibri" w:hAnsi="Calibri"/>
          <w:color w:val="24292E"/>
          <w:sz w:val="20"/>
        </w:rPr>
        <w:t>Fillable Technical Engagement Request Form:</w:t>
      </w:r>
    </w:p>
    <w:p w14:paraId="00F71204" w14:textId="05387628" w:rsidR="00392D82" w:rsidRPr="00392D82" w:rsidRDefault="00000000" w:rsidP="00392D82">
      <w:pPr>
        <w:pStyle w:val="ListParagraph"/>
        <w:numPr>
          <w:ilvl w:val="0"/>
          <w:numId w:val="11"/>
        </w:numPr>
        <w:spacing w:before="80" w:after="160"/>
        <w:ind w:left="630" w:right="288"/>
        <w:rPr>
          <w:rFonts w:ascii="Courier New" w:hAnsi="Courier New"/>
          <w:color w:val="1B365D"/>
          <w:sz w:val="18"/>
        </w:rPr>
      </w:pPr>
      <w:r w:rsidRPr="00392D82">
        <w:rPr>
          <w:rFonts w:ascii="Courier New" w:hAnsi="Courier New"/>
          <w:color w:val="1B365D"/>
          <w:sz w:val="18"/>
        </w:rPr>
        <w:t xml:space="preserve">Project Title &amp; Business Owner: [ Insert Name, Department, and Executive </w:t>
      </w:r>
      <w:proofErr w:type="gramStart"/>
      <w:r w:rsidRPr="00392D82">
        <w:rPr>
          <w:rFonts w:ascii="Courier New" w:hAnsi="Courier New"/>
          <w:color w:val="1B365D"/>
          <w:sz w:val="18"/>
        </w:rPr>
        <w:t>Sponsor ]</w:t>
      </w:r>
      <w:proofErr w:type="gramEnd"/>
    </w:p>
    <w:p w14:paraId="261251E4" w14:textId="23F14D46" w:rsidR="00392D82" w:rsidRPr="00392D82" w:rsidRDefault="00000000" w:rsidP="00392D82">
      <w:pPr>
        <w:pStyle w:val="ListParagraph"/>
        <w:numPr>
          <w:ilvl w:val="0"/>
          <w:numId w:val="11"/>
        </w:numPr>
        <w:spacing w:before="80" w:after="160"/>
        <w:ind w:left="630" w:right="288"/>
      </w:pPr>
      <w:r w:rsidRPr="00392D82">
        <w:rPr>
          <w:rFonts w:ascii="Courier New" w:hAnsi="Courier New"/>
          <w:color w:val="1B365D"/>
          <w:sz w:val="18"/>
        </w:rPr>
        <w:t xml:space="preserve">Operational Problem Statement: [ Describe current bottleneck, manual labor hours, or quality </w:t>
      </w:r>
      <w:proofErr w:type="gramStart"/>
      <w:r w:rsidRPr="00392D82">
        <w:rPr>
          <w:rFonts w:ascii="Courier New" w:hAnsi="Courier New"/>
          <w:color w:val="1B365D"/>
          <w:sz w:val="18"/>
        </w:rPr>
        <w:t>issues ]</w:t>
      </w:r>
      <w:proofErr w:type="gramEnd"/>
    </w:p>
    <w:p w14:paraId="7C5E0A12" w14:textId="7B2E3EF5" w:rsidR="00392D82" w:rsidRPr="00392D82" w:rsidRDefault="00000000" w:rsidP="00392D82">
      <w:pPr>
        <w:pStyle w:val="ListParagraph"/>
        <w:numPr>
          <w:ilvl w:val="0"/>
          <w:numId w:val="11"/>
        </w:numPr>
        <w:spacing w:before="80" w:after="160"/>
        <w:ind w:left="630" w:right="288"/>
      </w:pPr>
      <w:r w:rsidRPr="00392D82">
        <w:rPr>
          <w:rFonts w:ascii="Courier New" w:hAnsi="Courier New"/>
          <w:color w:val="1B365D"/>
          <w:sz w:val="18"/>
        </w:rPr>
        <w:t>Target Business Outcome: [ e.g., Reduce processing cycle time by 40%, lower error rate below 1</w:t>
      </w:r>
      <w:proofErr w:type="gramStart"/>
      <w:r w:rsidRPr="00392D82">
        <w:rPr>
          <w:rFonts w:ascii="Courier New" w:hAnsi="Courier New"/>
          <w:color w:val="1B365D"/>
          <w:sz w:val="18"/>
        </w:rPr>
        <w:t>% ]</w:t>
      </w:r>
      <w:proofErr w:type="gramEnd"/>
    </w:p>
    <w:p w14:paraId="18FA39A4" w14:textId="3832369D" w:rsidR="00392D82" w:rsidRPr="00392D82" w:rsidRDefault="00000000" w:rsidP="00392D82">
      <w:pPr>
        <w:pStyle w:val="ListParagraph"/>
        <w:numPr>
          <w:ilvl w:val="0"/>
          <w:numId w:val="11"/>
        </w:numPr>
        <w:spacing w:before="80" w:after="160"/>
        <w:ind w:left="630" w:right="288"/>
      </w:pPr>
      <w:r w:rsidRPr="00392D82">
        <w:rPr>
          <w:rFonts w:ascii="Courier New" w:hAnsi="Courier New"/>
          <w:color w:val="1B365D"/>
          <w:sz w:val="18"/>
        </w:rPr>
        <w:lastRenderedPageBreak/>
        <w:t>Requested Support Type:</w:t>
      </w:r>
      <w:r w:rsidRPr="00392D82">
        <w:rPr>
          <w:rFonts w:ascii="Courier New" w:hAnsi="Courier New"/>
          <w:color w:val="1B365D"/>
          <w:sz w:val="18"/>
        </w:rPr>
        <w:br/>
      </w:r>
      <w:proofErr w:type="gramStart"/>
      <w:r w:rsidRPr="00392D82">
        <w:rPr>
          <w:rFonts w:ascii="Courier New" w:hAnsi="Courier New"/>
          <w:color w:val="1B365D"/>
          <w:sz w:val="18"/>
        </w:rPr>
        <w:t xml:space="preserve">   [  ]</w:t>
      </w:r>
      <w:proofErr w:type="gramEnd"/>
      <w:r w:rsidRPr="00392D82">
        <w:rPr>
          <w:rFonts w:ascii="Courier New" w:hAnsi="Courier New"/>
          <w:color w:val="1B365D"/>
          <w:sz w:val="18"/>
        </w:rPr>
        <w:t xml:space="preserve"> Architecture &amp; Security Review</w:t>
      </w:r>
      <w:proofErr w:type="gramStart"/>
      <w:r w:rsidRPr="00392D82">
        <w:rPr>
          <w:rFonts w:ascii="Courier New" w:hAnsi="Courier New"/>
          <w:color w:val="1B365D"/>
          <w:sz w:val="18"/>
        </w:rPr>
        <w:t xml:space="preserve">   [  ]</w:t>
      </w:r>
      <w:proofErr w:type="gramEnd"/>
      <w:r w:rsidRPr="00392D82">
        <w:rPr>
          <w:rFonts w:ascii="Courier New" w:hAnsi="Courier New"/>
          <w:color w:val="1B365D"/>
          <w:sz w:val="18"/>
        </w:rPr>
        <w:t xml:space="preserve"> 1–3 Day Sprint Coaching</w:t>
      </w:r>
      <w:proofErr w:type="gramStart"/>
      <w:r w:rsidRPr="00392D82">
        <w:rPr>
          <w:rFonts w:ascii="Courier New" w:hAnsi="Courier New"/>
          <w:color w:val="1B365D"/>
          <w:sz w:val="18"/>
        </w:rPr>
        <w:t xml:space="preserve">   [  ]</w:t>
      </w:r>
      <w:proofErr w:type="gramEnd"/>
      <w:r w:rsidRPr="00392D82">
        <w:rPr>
          <w:rFonts w:ascii="Courier New" w:hAnsi="Courier New"/>
          <w:color w:val="1B365D"/>
          <w:sz w:val="18"/>
        </w:rPr>
        <w:t xml:space="preserve"> Full </w:t>
      </w:r>
      <w:proofErr w:type="spellStart"/>
      <w:r w:rsidRPr="00392D82">
        <w:rPr>
          <w:rFonts w:ascii="Courier New" w:hAnsi="Courier New"/>
          <w:color w:val="1B365D"/>
          <w:sz w:val="18"/>
        </w:rPr>
        <w:t>CoE</w:t>
      </w:r>
      <w:proofErr w:type="spellEnd"/>
      <w:r w:rsidRPr="00392D82">
        <w:rPr>
          <w:rFonts w:ascii="Courier New" w:hAnsi="Courier New"/>
          <w:color w:val="1B365D"/>
          <w:sz w:val="18"/>
        </w:rPr>
        <w:t xml:space="preserve"> Co-Delivery</w:t>
      </w:r>
    </w:p>
    <w:p w14:paraId="2285716E" w14:textId="7965F761" w:rsidR="00392D82" w:rsidRPr="00392D82" w:rsidRDefault="00000000" w:rsidP="00392D82">
      <w:pPr>
        <w:pStyle w:val="ListParagraph"/>
        <w:numPr>
          <w:ilvl w:val="0"/>
          <w:numId w:val="11"/>
        </w:numPr>
        <w:spacing w:before="80" w:after="160"/>
        <w:ind w:left="630" w:right="288"/>
      </w:pPr>
      <w:r w:rsidRPr="00392D82">
        <w:rPr>
          <w:rFonts w:ascii="Courier New" w:hAnsi="Courier New"/>
          <w:color w:val="1B365D"/>
          <w:sz w:val="18"/>
        </w:rPr>
        <w:t xml:space="preserve">Data &amp; System Scope: [ List target systems, databases, APIs, and data classification </w:t>
      </w:r>
      <w:proofErr w:type="gramStart"/>
      <w:r w:rsidRPr="00392D82">
        <w:rPr>
          <w:rFonts w:ascii="Courier New" w:hAnsi="Courier New"/>
          <w:color w:val="1B365D"/>
          <w:sz w:val="18"/>
        </w:rPr>
        <w:t>level ]</w:t>
      </w:r>
      <w:proofErr w:type="gramEnd"/>
    </w:p>
    <w:p w14:paraId="43CE7234" w14:textId="5FBAF63D" w:rsidR="00C50DB3" w:rsidRDefault="00000000" w:rsidP="00392D82">
      <w:pPr>
        <w:pStyle w:val="ListParagraph"/>
        <w:numPr>
          <w:ilvl w:val="0"/>
          <w:numId w:val="11"/>
        </w:numPr>
        <w:spacing w:before="80" w:after="160"/>
        <w:ind w:left="630" w:right="288"/>
      </w:pPr>
      <w:r w:rsidRPr="00392D82">
        <w:rPr>
          <w:rFonts w:ascii="Courier New" w:hAnsi="Courier New"/>
          <w:color w:val="1B365D"/>
          <w:sz w:val="18"/>
        </w:rPr>
        <w:t xml:space="preserve">Target Timeline: [ Proposed Start Date / Target Production Launch </w:t>
      </w:r>
      <w:proofErr w:type="gramStart"/>
      <w:r w:rsidRPr="00392D82">
        <w:rPr>
          <w:rFonts w:ascii="Courier New" w:hAnsi="Courier New"/>
          <w:color w:val="1B365D"/>
          <w:sz w:val="18"/>
        </w:rPr>
        <w:t>Date ]</w:t>
      </w:r>
      <w:proofErr w:type="gramEnd"/>
    </w:p>
    <w:p w14:paraId="62000B6E" w14:textId="77777777" w:rsidR="00C50DB3" w:rsidRDefault="00000000">
      <w:pPr>
        <w:pStyle w:val="Heading2"/>
        <w:spacing w:before="280" w:after="80"/>
      </w:pPr>
      <w:r>
        <w:rPr>
          <w:rFonts w:ascii="Calibri" w:hAnsi="Calibri"/>
          <w:color w:val="334E68"/>
        </w:rPr>
        <w:t>6.2 Delivery Assistance &amp; Multi-Team Coordination Framework</w:t>
      </w:r>
    </w:p>
    <w:p w14:paraId="36C3734C" w14:textId="77777777" w:rsidR="00C50DB3" w:rsidRDefault="00000000">
      <w:pPr>
        <w:spacing w:after="120"/>
      </w:pPr>
      <w:r>
        <w:rPr>
          <w:rFonts w:ascii="Calibri" w:hAnsi="Calibri"/>
          <w:color w:val="24292E"/>
          <w:sz w:val="20"/>
        </w:rPr>
        <w:t>During solution execution, the CoE provides direct technical coaching, architecture reviews, and delivery facilitation. When initiatives span multiple business departments or technology teams, the CoE coordinates cross-functional dependencies, aligns release schedules, and resolves technical blockers before they affect project timelines.</w:t>
      </w:r>
    </w:p>
    <w:p w14:paraId="032AF983" w14:textId="77777777" w:rsidR="00C50DB3" w:rsidRDefault="00000000">
      <w:pPr>
        <w:pStyle w:val="Heading2"/>
        <w:spacing w:before="280" w:after="80"/>
      </w:pPr>
      <w:r>
        <w:rPr>
          <w:rFonts w:ascii="Calibri" w:hAnsi="Calibri"/>
          <w:color w:val="334E68"/>
        </w:rPr>
        <w:t>6.3 Outcome Measurement, KPI Tracker &amp; Lessons Learned Protocol</w:t>
      </w:r>
    </w:p>
    <w:p w14:paraId="22B2D455" w14:textId="77777777" w:rsidR="00C50DB3" w:rsidRDefault="00000000">
      <w:pPr>
        <w:spacing w:after="120"/>
      </w:pPr>
      <w:r>
        <w:rPr>
          <w:rFonts w:ascii="Calibri" w:hAnsi="Calibri"/>
          <w:color w:val="24292E"/>
          <w:sz w:val="20"/>
        </w:rPr>
        <w:t>Project success is evaluated against the baseline performance metrics established during intake. Post-implementation reviews assess whether expected business value was realized, whether operational controls proved effective, and what technical lessons should inform future enterprise projects.</w:t>
      </w:r>
    </w:p>
    <w:tbl>
      <w:tblPr>
        <w:tblW w:w="0" w:type="auto"/>
        <w:jc w:val="center"/>
        <w:tblLayout w:type="fixed"/>
        <w:tblLook w:val="04A0" w:firstRow="1" w:lastRow="0" w:firstColumn="1" w:lastColumn="0" w:noHBand="0" w:noVBand="1"/>
      </w:tblPr>
      <w:tblGrid>
        <w:gridCol w:w="3168"/>
        <w:gridCol w:w="1584"/>
        <w:gridCol w:w="1584"/>
        <w:gridCol w:w="1584"/>
        <w:gridCol w:w="1440"/>
      </w:tblGrid>
      <w:tr w:rsidR="00C50DB3" w14:paraId="2B48AF59" w14:textId="77777777">
        <w:trPr>
          <w:jc w:val="center"/>
        </w:trPr>
        <w:tc>
          <w:tcPr>
            <w:tcW w:w="3168"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41888E22" w14:textId="77777777" w:rsidR="00C50DB3" w:rsidRDefault="00000000">
            <w:pPr>
              <w:spacing w:before="40" w:after="40"/>
            </w:pPr>
            <w:r>
              <w:rPr>
                <w:rFonts w:ascii="Calibri" w:hAnsi="Calibri"/>
                <w:b/>
                <w:color w:val="FFFFFF"/>
                <w:sz w:val="19"/>
              </w:rPr>
              <w:t>Key Performance Indicator (KPI)</w:t>
            </w:r>
          </w:p>
        </w:tc>
        <w:tc>
          <w:tcPr>
            <w:tcW w:w="1584"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EC1833F" w14:textId="77777777" w:rsidR="00C50DB3" w:rsidRDefault="00000000">
            <w:pPr>
              <w:spacing w:before="40" w:after="40"/>
              <w:jc w:val="center"/>
            </w:pPr>
            <w:r>
              <w:rPr>
                <w:rFonts w:ascii="Calibri" w:hAnsi="Calibri"/>
                <w:b/>
                <w:color w:val="FFFFFF"/>
                <w:sz w:val="19"/>
              </w:rPr>
              <w:t>Intake Baseline</w:t>
            </w:r>
          </w:p>
        </w:tc>
        <w:tc>
          <w:tcPr>
            <w:tcW w:w="1584"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50D4DA02" w14:textId="77777777" w:rsidR="00C50DB3" w:rsidRDefault="00000000">
            <w:pPr>
              <w:spacing w:before="40" w:after="40"/>
              <w:jc w:val="center"/>
            </w:pPr>
            <w:r>
              <w:rPr>
                <w:rFonts w:ascii="Calibri" w:hAnsi="Calibri"/>
                <w:b/>
                <w:color w:val="FFFFFF"/>
                <w:sz w:val="19"/>
              </w:rPr>
              <w:t>Target Goal</w:t>
            </w:r>
          </w:p>
        </w:tc>
        <w:tc>
          <w:tcPr>
            <w:tcW w:w="1584"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10BC5B91" w14:textId="77777777" w:rsidR="00C50DB3" w:rsidRDefault="00000000">
            <w:pPr>
              <w:spacing w:before="40" w:after="40"/>
              <w:jc w:val="center"/>
            </w:pPr>
            <w:r>
              <w:rPr>
                <w:rFonts w:ascii="Calibri" w:hAnsi="Calibri"/>
                <w:b/>
                <w:color w:val="FFFFFF"/>
                <w:sz w:val="19"/>
              </w:rPr>
              <w:t>Actual Realized</w:t>
            </w:r>
          </w:p>
        </w:tc>
        <w:tc>
          <w:tcPr>
            <w:tcW w:w="1440" w:type="dxa"/>
            <w:tcBorders>
              <w:top w:val="single" w:sz="6" w:space="0" w:color="1B365D"/>
              <w:left w:val="single" w:sz="4" w:space="0" w:color="E1E4E8"/>
              <w:bottom w:val="single" w:sz="12" w:space="0" w:color="1B365D"/>
              <w:right w:val="single" w:sz="4" w:space="0" w:color="E1E4E8"/>
            </w:tcBorders>
            <w:shd w:val="clear" w:color="auto" w:fill="1B365D"/>
            <w:tcMar>
              <w:top w:w="120" w:type="dxa"/>
              <w:left w:w="140" w:type="dxa"/>
              <w:bottom w:w="120" w:type="dxa"/>
              <w:right w:w="140" w:type="dxa"/>
            </w:tcMar>
          </w:tcPr>
          <w:p w14:paraId="25117F2D" w14:textId="77777777" w:rsidR="00C50DB3" w:rsidRDefault="00000000">
            <w:pPr>
              <w:spacing w:before="40" w:after="40"/>
              <w:jc w:val="center"/>
            </w:pPr>
            <w:r>
              <w:rPr>
                <w:rFonts w:ascii="Calibri" w:hAnsi="Calibri"/>
                <w:b/>
                <w:color w:val="FFFFFF"/>
                <w:sz w:val="19"/>
              </w:rPr>
              <w:t>Variance %</w:t>
            </w:r>
          </w:p>
        </w:tc>
      </w:tr>
      <w:tr w:rsidR="00C50DB3" w14:paraId="0725C5EB"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E7BC68C" w14:textId="77777777" w:rsidR="00C50DB3" w:rsidRDefault="00000000">
            <w:pPr>
              <w:spacing w:before="40" w:after="40"/>
            </w:pPr>
            <w:r>
              <w:rPr>
                <w:rFonts w:ascii="Calibri" w:hAnsi="Calibri"/>
                <w:color w:val="24292E"/>
                <w:sz w:val="19"/>
              </w:rPr>
              <w:t>Process Cycle Time (Hours per Transaction)</w:t>
            </w:r>
          </w:p>
        </w:tc>
        <w:tc>
          <w:tcPr>
            <w:tcW w:w="158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D7C9AD7" w14:textId="77777777" w:rsidR="00C50DB3" w:rsidRDefault="00000000">
            <w:pPr>
              <w:spacing w:before="40" w:after="40"/>
              <w:jc w:val="center"/>
            </w:pPr>
            <w:r>
              <w:rPr>
                <w:rFonts w:ascii="Calibri" w:hAnsi="Calibri"/>
                <w:color w:val="24292E"/>
                <w:sz w:val="19"/>
              </w:rPr>
              <w:t>[ e.g., 14.5 hrs ]</w:t>
            </w:r>
          </w:p>
        </w:tc>
        <w:tc>
          <w:tcPr>
            <w:tcW w:w="158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04CE381" w14:textId="77777777" w:rsidR="00C50DB3" w:rsidRDefault="00000000">
            <w:pPr>
              <w:spacing w:before="40" w:after="40"/>
              <w:jc w:val="center"/>
            </w:pPr>
            <w:r>
              <w:rPr>
                <w:rFonts w:ascii="Calibri" w:hAnsi="Calibri"/>
                <w:color w:val="24292E"/>
                <w:sz w:val="19"/>
              </w:rPr>
              <w:t>[ e.g., 4.0 hrs ]</w:t>
            </w:r>
          </w:p>
        </w:tc>
        <w:tc>
          <w:tcPr>
            <w:tcW w:w="158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20C08496" w14:textId="77777777" w:rsidR="00C50DB3" w:rsidRDefault="00000000">
            <w:pPr>
              <w:spacing w:before="40" w:after="40"/>
              <w:jc w:val="center"/>
            </w:pPr>
            <w:r>
              <w:rPr>
                <w:rFonts w:ascii="Calibri" w:hAnsi="Calibri"/>
                <w:color w:val="24292E"/>
                <w:sz w:val="19"/>
              </w:rPr>
              <w:t>[ Actual ]</w:t>
            </w:r>
          </w:p>
        </w:tc>
        <w:tc>
          <w:tcPr>
            <w:tcW w:w="144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14AB353B" w14:textId="77777777" w:rsidR="00C50DB3" w:rsidRDefault="00000000">
            <w:pPr>
              <w:spacing w:before="40" w:after="40"/>
              <w:jc w:val="center"/>
            </w:pPr>
            <w:r>
              <w:rPr>
                <w:rFonts w:ascii="Calibri" w:hAnsi="Calibri"/>
                <w:color w:val="24292E"/>
                <w:sz w:val="19"/>
              </w:rPr>
              <w:t>[ % ]</w:t>
            </w:r>
          </w:p>
        </w:tc>
      </w:tr>
      <w:tr w:rsidR="00C50DB3" w14:paraId="39C51584"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4F2685A9" w14:textId="77777777" w:rsidR="00C50DB3" w:rsidRDefault="00000000">
            <w:pPr>
              <w:spacing w:before="40" w:after="40"/>
            </w:pPr>
            <w:r>
              <w:rPr>
                <w:rFonts w:ascii="Calibri" w:hAnsi="Calibri"/>
                <w:color w:val="24292E"/>
                <w:sz w:val="19"/>
              </w:rPr>
              <w:t>Operating Cost per Unit Processed ($)</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13E29491" w14:textId="77777777" w:rsidR="00C50DB3" w:rsidRDefault="00000000">
            <w:pPr>
              <w:spacing w:before="40" w:after="40"/>
              <w:jc w:val="center"/>
            </w:pPr>
            <w:r>
              <w:rPr>
                <w:rFonts w:ascii="Calibri" w:hAnsi="Calibri"/>
                <w:color w:val="24292E"/>
                <w:sz w:val="19"/>
              </w:rPr>
              <w:t>[ e.g., $42.00 ]</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766A2EED" w14:textId="77777777" w:rsidR="00C50DB3" w:rsidRDefault="00000000">
            <w:pPr>
              <w:spacing w:before="40" w:after="40"/>
              <w:jc w:val="center"/>
            </w:pPr>
            <w:r>
              <w:rPr>
                <w:rFonts w:ascii="Calibri" w:hAnsi="Calibri"/>
                <w:color w:val="24292E"/>
                <w:sz w:val="19"/>
              </w:rPr>
              <w:t>[ e.g., $15.00 ]</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62973966" w14:textId="77777777" w:rsidR="00C50DB3" w:rsidRDefault="00000000">
            <w:pPr>
              <w:spacing w:before="40" w:after="40"/>
              <w:jc w:val="center"/>
            </w:pPr>
            <w:r>
              <w:rPr>
                <w:rFonts w:ascii="Calibri" w:hAnsi="Calibri"/>
                <w:color w:val="24292E"/>
                <w:sz w:val="19"/>
              </w:rPr>
              <w:t>[ Actual ]</w:t>
            </w:r>
          </w:p>
        </w:tc>
        <w:tc>
          <w:tcPr>
            <w:tcW w:w="1440" w:type="dxa"/>
            <w:tcBorders>
              <w:top w:val="single" w:sz="4" w:space="0" w:color="E1E4E8"/>
              <w:left w:val="single" w:sz="4" w:space="0" w:color="E1E4E8"/>
              <w:bottom w:val="single" w:sz="4" w:space="0" w:color="E1E4E8"/>
              <w:right w:val="single" w:sz="4" w:space="0" w:color="E1E4E8"/>
            </w:tcBorders>
            <w:shd w:val="clear" w:color="auto" w:fill="FFFFFF"/>
            <w:tcMar>
              <w:top w:w="100" w:type="dxa"/>
              <w:left w:w="140" w:type="dxa"/>
              <w:bottom w:w="100" w:type="dxa"/>
              <w:right w:w="140" w:type="dxa"/>
            </w:tcMar>
          </w:tcPr>
          <w:p w14:paraId="5E81EF45" w14:textId="77777777" w:rsidR="00C50DB3" w:rsidRDefault="00000000">
            <w:pPr>
              <w:spacing w:before="40" w:after="40"/>
              <w:jc w:val="center"/>
            </w:pPr>
            <w:r>
              <w:rPr>
                <w:rFonts w:ascii="Calibri" w:hAnsi="Calibri"/>
                <w:color w:val="24292E"/>
                <w:sz w:val="19"/>
              </w:rPr>
              <w:t>[ % ]</w:t>
            </w:r>
          </w:p>
        </w:tc>
      </w:tr>
      <w:tr w:rsidR="00C50DB3" w14:paraId="46D159AA" w14:textId="77777777">
        <w:trPr>
          <w:jc w:val="center"/>
        </w:trPr>
        <w:tc>
          <w:tcPr>
            <w:tcW w:w="3168"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8D72E8F" w14:textId="77777777" w:rsidR="00C50DB3" w:rsidRDefault="00000000">
            <w:pPr>
              <w:spacing w:before="40" w:after="40"/>
            </w:pPr>
            <w:r>
              <w:rPr>
                <w:rFonts w:ascii="Calibri" w:hAnsi="Calibri"/>
                <w:color w:val="24292E"/>
                <w:sz w:val="19"/>
              </w:rPr>
              <w:t>User Productivity / Capacity Expansion (%)</w:t>
            </w:r>
          </w:p>
        </w:tc>
        <w:tc>
          <w:tcPr>
            <w:tcW w:w="158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2221A56" w14:textId="77777777" w:rsidR="00C50DB3" w:rsidRDefault="00000000">
            <w:pPr>
              <w:spacing w:before="40" w:after="40"/>
              <w:jc w:val="center"/>
            </w:pPr>
            <w:r>
              <w:rPr>
                <w:rFonts w:ascii="Calibri" w:hAnsi="Calibri"/>
                <w:color w:val="24292E"/>
                <w:sz w:val="19"/>
              </w:rPr>
              <w:t>[ Baseline ]</w:t>
            </w:r>
          </w:p>
        </w:tc>
        <w:tc>
          <w:tcPr>
            <w:tcW w:w="158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1592EC9" w14:textId="77777777" w:rsidR="00C50DB3" w:rsidRDefault="00000000">
            <w:pPr>
              <w:spacing w:before="40" w:after="40"/>
              <w:jc w:val="center"/>
            </w:pPr>
            <w:r>
              <w:rPr>
                <w:rFonts w:ascii="Calibri" w:hAnsi="Calibri"/>
                <w:color w:val="24292E"/>
                <w:sz w:val="19"/>
              </w:rPr>
              <w:t>[ +35% ]</w:t>
            </w:r>
          </w:p>
        </w:tc>
        <w:tc>
          <w:tcPr>
            <w:tcW w:w="1584"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55648AD1" w14:textId="77777777" w:rsidR="00C50DB3" w:rsidRDefault="00000000">
            <w:pPr>
              <w:spacing w:before="40" w:after="40"/>
              <w:jc w:val="center"/>
            </w:pPr>
            <w:r>
              <w:rPr>
                <w:rFonts w:ascii="Calibri" w:hAnsi="Calibri"/>
                <w:color w:val="24292E"/>
                <w:sz w:val="19"/>
              </w:rPr>
              <w:t>[ Actual ]</w:t>
            </w:r>
          </w:p>
        </w:tc>
        <w:tc>
          <w:tcPr>
            <w:tcW w:w="1440" w:type="dxa"/>
            <w:tcBorders>
              <w:top w:val="single" w:sz="4" w:space="0" w:color="E1E4E8"/>
              <w:left w:val="single" w:sz="4" w:space="0" w:color="E1E4E8"/>
              <w:bottom w:val="single" w:sz="4" w:space="0" w:color="E1E4E8"/>
              <w:right w:val="single" w:sz="4" w:space="0" w:color="E1E4E8"/>
            </w:tcBorders>
            <w:shd w:val="clear" w:color="auto" w:fill="F8FAFC"/>
            <w:tcMar>
              <w:top w:w="100" w:type="dxa"/>
              <w:left w:w="140" w:type="dxa"/>
              <w:bottom w:w="100" w:type="dxa"/>
              <w:right w:w="140" w:type="dxa"/>
            </w:tcMar>
          </w:tcPr>
          <w:p w14:paraId="0D2E5DCE" w14:textId="77777777" w:rsidR="00C50DB3" w:rsidRDefault="00000000">
            <w:pPr>
              <w:spacing w:before="40" w:after="40"/>
              <w:jc w:val="center"/>
            </w:pPr>
            <w:r>
              <w:rPr>
                <w:rFonts w:ascii="Calibri" w:hAnsi="Calibri"/>
                <w:color w:val="24292E"/>
                <w:sz w:val="19"/>
              </w:rPr>
              <w:t>[ % ]</w:t>
            </w:r>
          </w:p>
        </w:tc>
      </w:tr>
    </w:tbl>
    <w:p w14:paraId="6869A094" w14:textId="77777777" w:rsidR="00C50DB3" w:rsidRDefault="00000000">
      <w:pPr>
        <w:spacing w:after="120"/>
      </w:pPr>
      <w:r>
        <w:rPr>
          <w:rFonts w:ascii="Calibri" w:hAnsi="Calibri"/>
          <w:b/>
          <w:color w:val="1B365D"/>
          <w:sz w:val="21"/>
        </w:rPr>
        <w:t xml:space="preserve">Retrospective Protocol: </w:t>
      </w:r>
      <w:r>
        <w:rPr>
          <w:rFonts w:ascii="Calibri" w:hAnsi="Calibri"/>
          <w:color w:val="24292E"/>
          <w:sz w:val="20"/>
        </w:rPr>
        <w:t>Lessons Learned Repository: Following project completion, the project lead and CoE coach must publish a 1-page retrospective summarizing key technical discoveries, prompt optimization findings, and reusable components to the central repository.</w:t>
      </w:r>
    </w:p>
    <w:sectPr w:rsidR="00C50DB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EDFC91" w14:textId="77777777" w:rsidR="00861F00" w:rsidRDefault="00861F00">
      <w:pPr>
        <w:spacing w:after="0" w:line="240" w:lineRule="auto"/>
      </w:pPr>
      <w:r>
        <w:separator/>
      </w:r>
    </w:p>
  </w:endnote>
  <w:endnote w:type="continuationSeparator" w:id="0">
    <w:p w14:paraId="46E4F337" w14:textId="77777777" w:rsidR="00861F00" w:rsidRDefault="0086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DEA41" w14:textId="77777777" w:rsidR="00C50DB3" w:rsidRDefault="00000000">
    <w:pPr>
      <w:pStyle w:val="Footer"/>
      <w:jc w:val="center"/>
    </w:pPr>
    <w:r>
      <w:rPr>
        <w:rFonts w:ascii="Calibri" w:hAnsi="Calibri"/>
        <w:color w:val="829AB1"/>
        <w:sz w:val="17"/>
      </w:rPr>
      <w:t>Confidential — For Internal Enterprise Operational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FBA4EC" w14:textId="77777777" w:rsidR="00861F00" w:rsidRDefault="00861F00">
      <w:pPr>
        <w:spacing w:after="0" w:line="240" w:lineRule="auto"/>
      </w:pPr>
      <w:r>
        <w:separator/>
      </w:r>
    </w:p>
  </w:footnote>
  <w:footnote w:type="continuationSeparator" w:id="0">
    <w:p w14:paraId="39BCBB6C" w14:textId="77777777" w:rsidR="00861F00" w:rsidRDefault="00861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6B535" w14:textId="77777777" w:rsidR="00C50DB3" w:rsidRDefault="00000000">
    <w:pPr>
      <w:pStyle w:val="Header"/>
      <w:jc w:val="right"/>
    </w:pPr>
    <w:r>
      <w:rPr>
        <w:rFonts w:ascii="Calibri" w:hAnsi="Calibri"/>
        <w:color w:val="829AB1"/>
        <w:sz w:val="17"/>
      </w:rPr>
      <w:t>AI Center of Excellence (</w:t>
    </w:r>
    <w:proofErr w:type="spellStart"/>
    <w:r>
      <w:rPr>
        <w:rFonts w:ascii="Calibri" w:hAnsi="Calibri"/>
        <w:color w:val="829AB1"/>
        <w:sz w:val="17"/>
      </w:rPr>
      <w:t>CoE</w:t>
    </w:r>
    <w:proofErr w:type="spellEnd"/>
    <w:r>
      <w:rPr>
        <w:rFonts w:ascii="Calibri" w:hAnsi="Calibri"/>
        <w:color w:val="829AB1"/>
        <w:sz w:val="17"/>
      </w:rPr>
      <w:t>) | Enterprise Live Operating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33984"/>
    <w:multiLevelType w:val="hybridMultilevel"/>
    <w:tmpl w:val="C30C50FC"/>
    <w:lvl w:ilvl="0" w:tplc="222A196C">
      <w:start w:val="1"/>
      <w:numFmt w:val="decimal"/>
      <w:lvlText w:val="%1."/>
      <w:lvlJc w:val="left"/>
      <w:pPr>
        <w:ind w:left="648" w:hanging="360"/>
      </w:pPr>
      <w:rPr>
        <w:rFonts w:ascii="Courier New" w:eastAsiaTheme="minorEastAsia" w:hAnsi="Courier New" w:cstheme="minorBidi"/>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726B4077"/>
    <w:multiLevelType w:val="hybridMultilevel"/>
    <w:tmpl w:val="8A3A745A"/>
    <w:lvl w:ilvl="0" w:tplc="222A196C">
      <w:start w:val="1"/>
      <w:numFmt w:val="decimal"/>
      <w:lvlText w:val="%1."/>
      <w:lvlJc w:val="left"/>
      <w:pPr>
        <w:ind w:left="936" w:hanging="360"/>
      </w:pPr>
      <w:rPr>
        <w:rFonts w:ascii="Courier New" w:eastAsiaTheme="minorEastAsia" w:hAnsi="Courier New" w:cstheme="minorBidi"/>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1546869158">
    <w:abstractNumId w:val="8"/>
  </w:num>
  <w:num w:numId="2" w16cid:durableId="618528878">
    <w:abstractNumId w:val="6"/>
  </w:num>
  <w:num w:numId="3" w16cid:durableId="337654481">
    <w:abstractNumId w:val="5"/>
  </w:num>
  <w:num w:numId="4" w16cid:durableId="968588173">
    <w:abstractNumId w:val="4"/>
  </w:num>
  <w:num w:numId="5" w16cid:durableId="396244751">
    <w:abstractNumId w:val="7"/>
  </w:num>
  <w:num w:numId="6" w16cid:durableId="116536015">
    <w:abstractNumId w:val="3"/>
  </w:num>
  <w:num w:numId="7" w16cid:durableId="902444534">
    <w:abstractNumId w:val="2"/>
  </w:num>
  <w:num w:numId="8" w16cid:durableId="374893721">
    <w:abstractNumId w:val="1"/>
  </w:num>
  <w:num w:numId="9" w16cid:durableId="605356409">
    <w:abstractNumId w:val="0"/>
  </w:num>
  <w:num w:numId="10" w16cid:durableId="1781144499">
    <w:abstractNumId w:val="9"/>
  </w:num>
  <w:num w:numId="11" w16cid:durableId="75689997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101"/>
    <w:rsid w:val="0029639D"/>
    <w:rsid w:val="00326F90"/>
    <w:rsid w:val="00392D82"/>
    <w:rsid w:val="003C2FFE"/>
    <w:rsid w:val="004345F3"/>
    <w:rsid w:val="00487D91"/>
    <w:rsid w:val="005D51F4"/>
    <w:rsid w:val="005E0F6C"/>
    <w:rsid w:val="006F1B67"/>
    <w:rsid w:val="00846354"/>
    <w:rsid w:val="00861F00"/>
    <w:rsid w:val="00971398"/>
    <w:rsid w:val="00A92413"/>
    <w:rsid w:val="00AA1D8D"/>
    <w:rsid w:val="00B47730"/>
    <w:rsid w:val="00C43B69"/>
    <w:rsid w:val="00C50DB3"/>
    <w:rsid w:val="00CB0664"/>
    <w:rsid w:val="00D33270"/>
    <w:rsid w:val="00E02B09"/>
    <w:rsid w:val="00F04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A2C9E"/>
  <w14:defaultImageDpi w14:val="300"/>
  <w15:docId w15:val="{4DA0CFBE-4CF9-3D47-A0A6-63EEEC6A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3626</Words>
  <Characters>23569</Characters>
  <Application>Microsoft Office Word</Application>
  <DocSecurity>0</DocSecurity>
  <Lines>561</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Sobrino</cp:lastModifiedBy>
  <cp:revision>8</cp:revision>
  <dcterms:created xsi:type="dcterms:W3CDTF">2013-12-23T23:15:00Z</dcterms:created>
  <dcterms:modified xsi:type="dcterms:W3CDTF">2026-09-21T15:49:00Z</dcterms:modified>
  <cp:category/>
</cp:coreProperties>
</file>