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069AA7" w14:textId="2DCDF59B" w:rsidR="006A7C31" w:rsidRPr="00801D2C" w:rsidRDefault="00E54AE5" w:rsidP="00E108C9">
      <w:pPr>
        <w:pStyle w:val="Title"/>
        <w:rPr>
          <w:rFonts w:ascii="Calibri" w:hAnsi="Calibri" w:cs="Calibri"/>
          <w:sz w:val="44"/>
          <w:szCs w:val="44"/>
        </w:rPr>
      </w:pPr>
      <w:r w:rsidRPr="00801D2C">
        <w:rPr>
          <w:rFonts w:ascii="Calibri" w:hAnsi="Calibri" w:cs="Calibri"/>
          <w:b/>
          <w:bCs/>
          <w:sz w:val="44"/>
          <w:szCs w:val="44"/>
        </w:rPr>
        <w:t>ALETHEIA</w:t>
      </w:r>
      <w:r w:rsidRPr="00801D2C">
        <w:rPr>
          <w:rFonts w:ascii="Calibri" w:hAnsi="Calibri" w:cs="Calibri"/>
          <w:sz w:val="44"/>
          <w:szCs w:val="44"/>
        </w:rPr>
        <w:t xml:space="preserve"> (IM)</w:t>
      </w:r>
      <w:r w:rsidR="00874E81" w:rsidRPr="00801D2C">
        <w:rPr>
          <w:rFonts w:ascii="Calibri" w:hAnsi="Calibri" w:cs="Calibri"/>
          <w:sz w:val="44"/>
          <w:szCs w:val="44"/>
        </w:rPr>
        <w:t xml:space="preserve"> Abstraction and Extensibility</w:t>
      </w:r>
    </w:p>
    <w:p w14:paraId="618A72A7" w14:textId="6DDAB6AA" w:rsidR="00801D2C" w:rsidRPr="00801D2C" w:rsidRDefault="00801D2C" w:rsidP="00045E82">
      <w:pPr>
        <w:pStyle w:val="Heading1"/>
        <w:rPr>
          <w:rFonts w:ascii="Calibri" w:hAnsi="Calibri" w:cs="Calibri"/>
        </w:rPr>
      </w:pPr>
      <w:r w:rsidRPr="00801D2C">
        <w:rPr>
          <w:rFonts w:ascii="Calibri" w:hAnsi="Calibri" w:cs="Calibri"/>
        </w:rPr>
        <w:t>Abstract</w:t>
      </w:r>
    </w:p>
    <w:p w14:paraId="7B591E1D" w14:textId="77777777" w:rsidR="00801D2C" w:rsidRPr="00801D2C" w:rsidRDefault="00801D2C" w:rsidP="00801D2C">
      <w:pPr>
        <w:spacing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Software development today still relies heavily on the manual, line-by-line translation of ideas into code. Project ALETHEIA envisions a new era where entire software systems are built autonomously from structured blueprints, much like how physical buildings are constructed from architectural plans. The true power of this platform lies in its </w:t>
      </w:r>
      <w:r w:rsidRPr="00801D2C">
        <w:rPr>
          <w:rFonts w:ascii="Calibri" w:eastAsia="Times New Roman" w:hAnsi="Calibri" w:cs="Calibri"/>
          <w:b/>
          <w:bCs/>
          <w:kern w:val="0"/>
          <w14:ligatures w14:val="none"/>
        </w:rPr>
        <w:t>"Any Domain, Any Target"</w:t>
      </w:r>
      <w:r w:rsidRPr="00801D2C">
        <w:rPr>
          <w:rFonts w:ascii="Calibri" w:eastAsia="Times New Roman" w:hAnsi="Calibri" w:cs="Calibri"/>
          <w:kern w:val="0"/>
          <w14:ligatures w14:val="none"/>
        </w:rPr>
        <w:t xml:space="preserve"> philosophy, which allows it to act as a universal construction engine for almost any type of project. It achieves this limitless flexibility by strictly separating </w:t>
      </w:r>
      <w:r w:rsidRPr="00801D2C">
        <w:rPr>
          <w:rFonts w:ascii="Calibri" w:eastAsia="Times New Roman" w:hAnsi="Calibri" w:cs="Calibri"/>
          <w:i/>
          <w:iCs/>
          <w:kern w:val="0"/>
          <w14:ligatures w14:val="none"/>
        </w:rPr>
        <w:t>what</w:t>
      </w:r>
      <w:r w:rsidRPr="00801D2C">
        <w:rPr>
          <w:rFonts w:ascii="Calibri" w:eastAsia="Times New Roman" w:hAnsi="Calibri" w:cs="Calibri"/>
          <w:kern w:val="0"/>
          <w14:ligatures w14:val="none"/>
        </w:rPr>
        <w:t xml:space="preserve"> a system should do (the design) from the mechanical steps of </w:t>
      </w:r>
      <w:r w:rsidRPr="00801D2C">
        <w:rPr>
          <w:rFonts w:ascii="Calibri" w:eastAsia="Times New Roman" w:hAnsi="Calibri" w:cs="Calibri"/>
          <w:i/>
          <w:iCs/>
          <w:kern w:val="0"/>
          <w14:ligatures w14:val="none"/>
        </w:rPr>
        <w:t>how</w:t>
      </w:r>
      <w:r w:rsidRPr="00801D2C">
        <w:rPr>
          <w:rFonts w:ascii="Calibri" w:eastAsia="Times New Roman" w:hAnsi="Calibri" w:cs="Calibri"/>
          <w:kern w:val="0"/>
          <w14:ligatures w14:val="none"/>
        </w:rPr>
        <w:t xml:space="preserve"> it is </w:t>
      </w:r>
      <w:proofErr w:type="gramStart"/>
      <w:r w:rsidRPr="00801D2C">
        <w:rPr>
          <w:rFonts w:ascii="Calibri" w:eastAsia="Times New Roman" w:hAnsi="Calibri" w:cs="Calibri"/>
          <w:kern w:val="0"/>
          <w14:ligatures w14:val="none"/>
        </w:rPr>
        <w:t>actually coded</w:t>
      </w:r>
      <w:proofErr w:type="gramEnd"/>
      <w:r w:rsidRPr="00801D2C">
        <w:rPr>
          <w:rFonts w:ascii="Calibri" w:eastAsia="Times New Roman" w:hAnsi="Calibri" w:cs="Calibri"/>
          <w:kern w:val="0"/>
          <w14:ligatures w14:val="none"/>
        </w:rPr>
        <w:t xml:space="preserve"> and compiled.</w:t>
      </w:r>
    </w:p>
    <w:p w14:paraId="24E54110" w14:textId="77777777" w:rsidR="00801D2C" w:rsidRPr="00801D2C" w:rsidRDefault="00801D2C" w:rsidP="00801D2C">
      <w:pPr>
        <w:spacing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Whether an organization needs a highly secure data system for law enforcement, a complex financial application, or a simple customer service tool, human experts focus purely on defining the rules, security needs, and business goals in a clear architectural blueprint. The ALETHEIA platform then takes over, coordinating a specialized workforce of artificial intelligence "agents" to generate the implementation, while using standard, objective engineering tools to test and verify the results. If any errors are found during testing, the system automatically repairs its own work until the software functions exactly as the human designers intended.</w:t>
      </w:r>
    </w:p>
    <w:p w14:paraId="09FDC67A" w14:textId="77777777" w:rsidR="00801D2C" w:rsidRPr="00801D2C" w:rsidRDefault="00801D2C" w:rsidP="00801D2C">
      <w:pPr>
        <w:spacing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Because the platform isolates the human design from the rapidly changing landscape of programming languages and AI models, the resulting software can be deployed to </w:t>
      </w:r>
      <w:r w:rsidRPr="00801D2C">
        <w:rPr>
          <w:rFonts w:ascii="Calibri" w:eastAsia="Times New Roman" w:hAnsi="Calibri" w:cs="Calibri"/>
          <w:b/>
          <w:bCs/>
          <w:kern w:val="0"/>
          <w14:ligatures w14:val="none"/>
        </w:rPr>
        <w:t>any target environment</w:t>
      </w:r>
      <w:r w:rsidRPr="00801D2C">
        <w:rPr>
          <w:rFonts w:ascii="Calibri" w:eastAsia="Times New Roman" w:hAnsi="Calibri" w:cs="Calibri"/>
          <w:kern w:val="0"/>
          <w14:ligatures w14:val="none"/>
        </w:rPr>
        <w:t>—from a single local computer to a massive, global cloud network. Ultimately, ALETHEIA elevates human professionals to focus on creative problem-solving, system design, and strategy, leaving the repetitive, mechanical labor of software construction entirely to the machine.</w:t>
      </w:r>
    </w:p>
    <w:p w14:paraId="46937855" w14:textId="6546A08F" w:rsidR="00045E82" w:rsidRPr="00801D2C" w:rsidRDefault="00CD338B" w:rsidP="00045E82">
      <w:pPr>
        <w:pStyle w:val="Heading1"/>
        <w:rPr>
          <w:rFonts w:ascii="Calibri" w:hAnsi="Calibri" w:cs="Calibri"/>
        </w:rPr>
      </w:pPr>
      <w:r w:rsidRPr="00801D2C">
        <w:rPr>
          <w:rFonts w:ascii="Calibri" w:hAnsi="Calibri" w:cs="Calibri"/>
        </w:rPr>
        <w:t>Executive Summary</w:t>
      </w:r>
    </w:p>
    <w:p w14:paraId="46760751" w14:textId="690381B2" w:rsidR="00CD338B" w:rsidRPr="00801D2C" w:rsidRDefault="00CD338B" w:rsidP="00045E82">
      <w:pPr>
        <w:pStyle w:val="Heading2"/>
        <w:rPr>
          <w:rFonts w:ascii="Calibri" w:hAnsi="Calibri" w:cs="Calibri"/>
        </w:rPr>
      </w:pPr>
      <w:r w:rsidRPr="00801D2C">
        <w:rPr>
          <w:rFonts w:ascii="Calibri" w:hAnsi="Calibri" w:cs="Calibri"/>
        </w:rPr>
        <w:t>Architecting for Universal Autonomous Construction Through MACS-Optimized Protocols</w:t>
      </w:r>
    </w:p>
    <w:p w14:paraId="39038F16"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Abstraction and extensibility are the foundational mechanisms that allow the ALETHEIA (IM) autonomous development loop to remain stable, reliable, and continuously operational in a rapidly changing technological landscape. To successfully automate the entire software development lifecycle, the platform must constantly coordinate its Reasoning Agents with its Deterministic Engineering Tools. Because AI models, programming languages, and engineering tools evolve quickly, tightly coupling them to the platform's core would cause the autonomous workflows to break with every external update.</w:t>
      </w:r>
    </w:p>
    <w:p w14:paraId="5894FE9B"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By enforcing strict abstraction boundaries through the Model Integration and Abstraction Layer and the Tool Abstraction Layer, ALETHEIA isolates its core execution runtime from these external dependencies. This decoupling allows the platform to act as a universal construction </w:t>
      </w:r>
      <w:r w:rsidRPr="00801D2C">
        <w:rPr>
          <w:rFonts w:ascii="Calibri" w:eastAsia="Times New Roman" w:hAnsi="Calibri" w:cs="Calibri"/>
          <w:kern w:val="0"/>
          <w14:ligatures w14:val="none"/>
        </w:rPr>
        <w:lastRenderedPageBreak/>
        <w:t>engine capable of targeting anything from complex enterprise ecosystems to the platform's Minimal Autonomous Construction System (MACS) reference implementation: a local-first, containerized .NET REST service.</w:t>
      </w:r>
    </w:p>
    <w:p w14:paraId="66F86250"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To prevent scope drift and ensure the platform acts purely as an architectural engine rather than a generic coding assistant, the process enforces </w:t>
      </w:r>
      <w:r w:rsidRPr="00801D2C">
        <w:rPr>
          <w:rFonts w:ascii="Calibri" w:eastAsia="Times New Roman" w:hAnsi="Calibri" w:cs="Calibri"/>
          <w:b/>
          <w:bCs/>
          <w:kern w:val="0"/>
          <w14:ligatures w14:val="none"/>
        </w:rPr>
        <w:t>Prohibited Artifacts</w:t>
      </w:r>
      <w:r w:rsidRPr="00801D2C">
        <w:rPr>
          <w:rFonts w:ascii="Calibri" w:eastAsia="Times New Roman" w:hAnsi="Calibri" w:cs="Calibri"/>
          <w:kern w:val="0"/>
          <w14:ligatures w14:val="none"/>
        </w:rPr>
        <w:t xml:space="preserve">: it strictly forbids the generation of UI mockups, manual code snippets, or vendor-specific solutions within the specification. Furthermore, the platform demands that all inputs satisfy a strict </w:t>
      </w:r>
      <w:r w:rsidRPr="00801D2C">
        <w:rPr>
          <w:rFonts w:ascii="Calibri" w:eastAsia="Times New Roman" w:hAnsi="Calibri" w:cs="Calibri"/>
          <w:b/>
          <w:bCs/>
          <w:kern w:val="0"/>
          <w14:ligatures w14:val="none"/>
        </w:rPr>
        <w:t>Dual-Audience Requirement</w:t>
      </w:r>
      <w:r w:rsidRPr="00801D2C">
        <w:rPr>
          <w:rFonts w:ascii="Calibri" w:eastAsia="Times New Roman" w:hAnsi="Calibri" w:cs="Calibri"/>
          <w:kern w:val="0"/>
          <w14:ligatures w14:val="none"/>
        </w:rPr>
        <w:t>: outputs must be readable by Human Governance Roles (such as IT Architects, Security Validators, and Court Auditors) to pass Approval Gates, while simultaneously remaining strictly formatted for programmatic parsing by the ALETHEIA Specification Engine.</w:t>
      </w:r>
    </w:p>
    <w:p w14:paraId="61E08761"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This extensible design fulfills the platform's autonomous promises by enforcing programmatic precision over informal AI interpretation:</w:t>
      </w:r>
    </w:p>
    <w:p w14:paraId="7DB678CA" w14:textId="77777777" w:rsidR="00CD338B" w:rsidRPr="00801D2C" w:rsidRDefault="00CD338B" w:rsidP="00045E82">
      <w:pPr>
        <w:numPr>
          <w:ilvl w:val="0"/>
          <w:numId w:val="32"/>
        </w:numPr>
        <w:spacing w:before="120" w:after="12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Continuous Reasoning via Format Constraints &amp; Agent Rosters:</w:t>
      </w:r>
      <w:r w:rsidRPr="00801D2C">
        <w:rPr>
          <w:rFonts w:ascii="Calibri" w:eastAsia="Times New Roman" w:hAnsi="Calibri" w:cs="Calibri"/>
          <w:kern w:val="0"/>
          <w14:ligatures w14:val="none"/>
        </w:rPr>
        <w:t xml:space="preserve"> The platform abandons traditional prose prompting entirely. Instead, initiation requires a formal Structured Transaction Payload utilizing YAML-style frontmatter for metadata followed by exact markdown headers:</w:t>
      </w:r>
    </w:p>
    <w:p w14:paraId="5C44D471"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w:t>
      </w:r>
    </w:p>
    <w:p w14:paraId="5796E504"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TRANSACTION_ID: TASK-SPEC-INIT-001</w:t>
      </w:r>
    </w:p>
    <w:p w14:paraId="52DCAEDB"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AGENT_ROLES: [Specification Interpreter, Architecture Planner, Security Validator, Test Generator]</w:t>
      </w:r>
    </w:p>
    <w:p w14:paraId="772CF0AE"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TARGET_ARCHITECTURE: Minimal Autonomous Construction System (MACS) .NET REST Service</w:t>
      </w:r>
    </w:p>
    <w:p w14:paraId="121A3D59"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w:t>
      </w:r>
    </w:p>
    <w:p w14:paraId="13B035CF"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 CONTEXT ASSEMBLY:</w:t>
      </w:r>
    </w:p>
    <w:p w14:paraId="6A0CFBB2"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 OPERATIONAL CONSTRAINTS:</w:t>
      </w:r>
    </w:p>
    <w:p w14:paraId="0F20D008" w14:textId="77777777" w:rsidR="00CD338B" w:rsidRPr="00801D2C" w:rsidRDefault="00CD338B" w:rsidP="00CD338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 OUTPUT CONTRACT:</w:t>
      </w:r>
    </w:p>
    <w:p w14:paraId="78D979C0"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This active payload passes context and constraints directly to a formal roster of agents—the Specification Interpreter, Architecture Planner, Security Validator, and Test Generator—exclusively utilizing Structured Reasoning Transactions. This contract enforces rigid </w:t>
      </w:r>
      <w:r w:rsidRPr="00801D2C">
        <w:rPr>
          <w:rFonts w:ascii="Calibri" w:eastAsia="Times New Roman" w:hAnsi="Calibri" w:cs="Calibri"/>
          <w:b/>
          <w:bCs/>
          <w:kern w:val="0"/>
          <w14:ligatures w14:val="none"/>
        </w:rPr>
        <w:t>Format Constraints</w:t>
      </w:r>
      <w:r w:rsidRPr="00801D2C">
        <w:rPr>
          <w:rFonts w:ascii="Calibri" w:eastAsia="Times New Roman" w:hAnsi="Calibri" w:cs="Calibri"/>
          <w:kern w:val="0"/>
          <w14:ligatures w14:val="none"/>
        </w:rPr>
        <w:t xml:space="preserve">: agents must force all generated responses into strict Markdown, JSON, or YAML formats, absolutely prohibiting conversational preambles, acknowledgments, or concluding remarks. To satisfy the Dual-Audience Requirement, agents enforce strict </w:t>
      </w:r>
      <w:r w:rsidRPr="00801D2C">
        <w:rPr>
          <w:rFonts w:ascii="Calibri" w:eastAsia="Times New Roman" w:hAnsi="Calibri" w:cs="Calibri"/>
          <w:b/>
          <w:bCs/>
          <w:kern w:val="0"/>
          <w14:ligatures w14:val="none"/>
        </w:rPr>
        <w:t>Terminology Discipline</w:t>
      </w:r>
      <w:r w:rsidRPr="00801D2C">
        <w:rPr>
          <w:rFonts w:ascii="Calibri" w:eastAsia="Times New Roman" w:hAnsi="Calibri" w:cs="Calibri"/>
          <w:kern w:val="0"/>
          <w14:ligatures w14:val="none"/>
        </w:rPr>
        <w:t xml:space="preserve"> (consistent vocabulary, no synonyms, capitalizing defined terms). Agents also engage in </w:t>
      </w:r>
      <w:r w:rsidRPr="00801D2C">
        <w:rPr>
          <w:rFonts w:ascii="Calibri" w:eastAsia="Times New Roman" w:hAnsi="Calibri" w:cs="Calibri"/>
          <w:b/>
          <w:bCs/>
          <w:kern w:val="0"/>
          <w14:ligatures w14:val="none"/>
        </w:rPr>
        <w:t>Advisory Collaboration</w:t>
      </w:r>
      <w:r w:rsidRPr="00801D2C">
        <w:rPr>
          <w:rFonts w:ascii="Calibri" w:eastAsia="Times New Roman" w:hAnsi="Calibri" w:cs="Calibri"/>
          <w:kern w:val="0"/>
          <w14:ligatures w14:val="none"/>
        </w:rPr>
        <w:t xml:space="preserve">, proactively suggesting missing canonical elements using structured bulleted lists. To protect the Specification Engine's parser, inline questions are strictly prohibited; </w:t>
      </w:r>
      <w:r w:rsidRPr="00801D2C">
        <w:rPr>
          <w:rFonts w:ascii="Calibri" w:eastAsia="Times New Roman" w:hAnsi="Calibri" w:cs="Calibri"/>
          <w:b/>
          <w:bCs/>
          <w:kern w:val="0"/>
          <w14:ligatures w14:val="none"/>
        </w:rPr>
        <w:t>agents are only permitted to ask targeted questions when mandatory jurisdictional boundaries, compliance standards, or deterministic validation rules are ambiguous</w:t>
      </w:r>
      <w:r w:rsidRPr="00801D2C">
        <w:rPr>
          <w:rFonts w:ascii="Calibri" w:eastAsia="Times New Roman" w:hAnsi="Calibri" w:cs="Calibri"/>
          <w:kern w:val="0"/>
          <w14:ligatures w14:val="none"/>
        </w:rPr>
        <w:t xml:space="preserve">. When these strict triggers are met, any necessary inquiries must be placed in a strictly formatted </w:t>
      </w:r>
      <w:r w:rsidRPr="00801D2C">
        <w:rPr>
          <w:rFonts w:ascii="Calibri" w:eastAsia="Times New Roman" w:hAnsi="Calibri" w:cs="Calibri"/>
          <w:kern w:val="0"/>
          <w:sz w:val="20"/>
          <w:szCs w:val="20"/>
          <w14:ligatures w14:val="none"/>
        </w:rPr>
        <w:t>### CLARIFICATIONS REQUIRED</w:t>
      </w:r>
      <w:r w:rsidRPr="00801D2C">
        <w:rPr>
          <w:rFonts w:ascii="Calibri" w:eastAsia="Times New Roman" w:hAnsi="Calibri" w:cs="Calibri"/>
          <w:kern w:val="0"/>
          <w14:ligatures w14:val="none"/>
        </w:rPr>
        <w:t xml:space="preserve"> markdown block appended at the very end of the document.</w:t>
      </w:r>
    </w:p>
    <w:p w14:paraId="4A20B974" w14:textId="77777777" w:rsidR="00CD338B" w:rsidRPr="00801D2C" w:rsidRDefault="00CD338B" w:rsidP="00045E82">
      <w:pPr>
        <w:numPr>
          <w:ilvl w:val="0"/>
          <w:numId w:val="33"/>
        </w:numPr>
        <w:spacing w:after="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Universal Construction via Canonical Normalization &amp; Domain Standards:</w:t>
      </w:r>
      <w:r w:rsidRPr="00801D2C">
        <w:rPr>
          <w:rFonts w:ascii="Calibri" w:eastAsia="Times New Roman" w:hAnsi="Calibri" w:cs="Calibri"/>
          <w:kern w:val="0"/>
          <w14:ligatures w14:val="none"/>
        </w:rPr>
        <w:t xml:space="preserve"> Construction begins with proper Context Assembly to ground the agents in actual domain data prior to execution. The platform then parses the executable ISL Blueprint into a rigorously normalized Canonical Semantic Model. To guarantee the Specification Engine can cleanly extract the architectural intent, the platform mandates physical </w:t>
      </w:r>
      <w:r w:rsidRPr="00801D2C">
        <w:rPr>
          <w:rFonts w:ascii="Calibri" w:eastAsia="Times New Roman" w:hAnsi="Calibri" w:cs="Calibri"/>
          <w:b/>
          <w:bCs/>
          <w:kern w:val="0"/>
          <w14:ligatures w14:val="none"/>
        </w:rPr>
        <w:t xml:space="preserve">Strict Entity </w:t>
      </w:r>
      <w:r w:rsidRPr="00801D2C">
        <w:rPr>
          <w:rFonts w:ascii="Calibri" w:eastAsia="Times New Roman" w:hAnsi="Calibri" w:cs="Calibri"/>
          <w:b/>
          <w:bCs/>
          <w:kern w:val="0"/>
          <w14:ligatures w14:val="none"/>
        </w:rPr>
        <w:lastRenderedPageBreak/>
        <w:t>Demarcation</w:t>
      </w:r>
      <w:r w:rsidRPr="00801D2C">
        <w:rPr>
          <w:rFonts w:ascii="Calibri" w:eastAsia="Times New Roman" w:hAnsi="Calibri" w:cs="Calibri"/>
          <w:kern w:val="0"/>
          <w14:ligatures w14:val="none"/>
        </w:rPr>
        <w:t xml:space="preserve"> (using distinct sub-headers or YAML frontmatter blocks) mapped directly to </w:t>
      </w:r>
      <w:r w:rsidRPr="00801D2C">
        <w:rPr>
          <w:rFonts w:ascii="Calibri" w:eastAsia="Times New Roman" w:hAnsi="Calibri" w:cs="Calibri"/>
          <w:b/>
          <w:bCs/>
          <w:kern w:val="0"/>
          <w14:ligatures w14:val="none"/>
        </w:rPr>
        <w:t>13 exact, singular canonical entity names</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Project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Context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Stakeholder</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Actor</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Capability</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Requirement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Service</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Interface</w:t>
      </w:r>
      <w:r w:rsidRPr="00801D2C">
        <w:rPr>
          <w:rFonts w:ascii="Calibri" w:eastAsia="Times New Roman" w:hAnsi="Calibri" w:cs="Calibri"/>
          <w:kern w:val="0"/>
          <w14:ligatures w14:val="none"/>
        </w:rPr>
        <w:t xml:space="preserve">, </w:t>
      </w:r>
      <w:proofErr w:type="spellStart"/>
      <w:r w:rsidRPr="00801D2C">
        <w:rPr>
          <w:rFonts w:ascii="Calibri" w:eastAsia="Times New Roman" w:hAnsi="Calibri" w:cs="Calibri"/>
          <w:kern w:val="0"/>
          <w:sz w:val="20"/>
          <w:szCs w:val="20"/>
          <w14:ligatures w14:val="none"/>
        </w:rPr>
        <w:t>DataEntity</w:t>
      </w:r>
      <w:proofErr w:type="spellEnd"/>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Workflow</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Policy</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Infrastructure</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Validation</w:t>
      </w:r>
      <w:r w:rsidRPr="00801D2C">
        <w:rPr>
          <w:rFonts w:ascii="Calibri" w:eastAsia="Times New Roman" w:hAnsi="Calibri" w:cs="Calibri"/>
          <w:kern w:val="0"/>
          <w14:ligatures w14:val="none"/>
        </w:rPr>
        <w:t xml:space="preserve">). Furthermore, domain interoperability is structurally enforced; for example, NCSC principles are mapped directly to both </w:t>
      </w:r>
      <w:r w:rsidRPr="00801D2C">
        <w:rPr>
          <w:rFonts w:ascii="Calibri" w:eastAsia="Times New Roman" w:hAnsi="Calibri" w:cs="Calibri"/>
          <w:kern w:val="0"/>
          <w:sz w:val="20"/>
          <w:szCs w:val="20"/>
          <w14:ligatures w14:val="none"/>
        </w:rPr>
        <w:t>Workflow</w:t>
      </w:r>
      <w:r w:rsidRPr="00801D2C">
        <w:rPr>
          <w:rFonts w:ascii="Calibri" w:eastAsia="Times New Roman" w:hAnsi="Calibri" w:cs="Calibri"/>
          <w:kern w:val="0"/>
          <w14:ligatures w14:val="none"/>
        </w:rPr>
        <w:t xml:space="preserve"> and </w:t>
      </w:r>
      <w:r w:rsidRPr="00801D2C">
        <w:rPr>
          <w:rFonts w:ascii="Calibri" w:eastAsia="Times New Roman" w:hAnsi="Calibri" w:cs="Calibri"/>
          <w:kern w:val="0"/>
          <w:sz w:val="20"/>
          <w:szCs w:val="20"/>
          <w14:ligatures w14:val="none"/>
        </w:rPr>
        <w:t>Requirement</w:t>
      </w:r>
      <w:r w:rsidRPr="00801D2C">
        <w:rPr>
          <w:rFonts w:ascii="Calibri" w:eastAsia="Times New Roman" w:hAnsi="Calibri" w:cs="Calibri"/>
          <w:kern w:val="0"/>
          <w14:ligatures w14:val="none"/>
        </w:rPr>
        <w:t xml:space="preserve"> entities, NIEM models are mapped directly to both </w:t>
      </w:r>
      <w:proofErr w:type="spellStart"/>
      <w:r w:rsidRPr="00801D2C">
        <w:rPr>
          <w:rFonts w:ascii="Calibri" w:eastAsia="Times New Roman" w:hAnsi="Calibri" w:cs="Calibri"/>
          <w:kern w:val="0"/>
          <w:sz w:val="20"/>
          <w:szCs w:val="20"/>
          <w14:ligatures w14:val="none"/>
        </w:rPr>
        <w:t>DataEntity</w:t>
      </w:r>
      <w:proofErr w:type="spellEnd"/>
      <w:r w:rsidRPr="00801D2C">
        <w:rPr>
          <w:rFonts w:ascii="Calibri" w:eastAsia="Times New Roman" w:hAnsi="Calibri" w:cs="Calibri"/>
          <w:kern w:val="0"/>
          <w14:ligatures w14:val="none"/>
        </w:rPr>
        <w:t xml:space="preserve"> and </w:t>
      </w:r>
      <w:r w:rsidRPr="00801D2C">
        <w:rPr>
          <w:rFonts w:ascii="Calibri" w:eastAsia="Times New Roman" w:hAnsi="Calibri" w:cs="Calibri"/>
          <w:kern w:val="0"/>
          <w:sz w:val="20"/>
          <w:szCs w:val="20"/>
          <w14:ligatures w14:val="none"/>
        </w:rPr>
        <w:t>Interface</w:t>
      </w:r>
      <w:r w:rsidRPr="00801D2C">
        <w:rPr>
          <w:rFonts w:ascii="Calibri" w:eastAsia="Times New Roman" w:hAnsi="Calibri" w:cs="Calibri"/>
          <w:kern w:val="0"/>
          <w14:ligatures w14:val="none"/>
        </w:rPr>
        <w:t xml:space="preserve"> entities, and </w:t>
      </w:r>
      <w:r w:rsidRPr="00801D2C">
        <w:rPr>
          <w:rFonts w:ascii="Calibri" w:eastAsia="Times New Roman" w:hAnsi="Calibri" w:cs="Calibri"/>
          <w:b/>
          <w:bCs/>
          <w:kern w:val="0"/>
          <w14:ligatures w14:val="none"/>
        </w:rPr>
        <w:t xml:space="preserve">CJIS Security Policy, NIST 800-53, and Zero Trust concepts are mapped directly to </w:t>
      </w:r>
      <w:r w:rsidRPr="00801D2C">
        <w:rPr>
          <w:rFonts w:ascii="Calibri" w:eastAsia="Times New Roman" w:hAnsi="Calibri" w:cs="Calibri"/>
          <w:b/>
          <w:bCs/>
          <w:kern w:val="0"/>
          <w:sz w:val="20"/>
          <w:szCs w:val="20"/>
          <w14:ligatures w14:val="none"/>
        </w:rPr>
        <w:t>Policy</w:t>
      </w:r>
      <w:r w:rsidRPr="00801D2C">
        <w:rPr>
          <w:rFonts w:ascii="Calibri" w:eastAsia="Times New Roman" w:hAnsi="Calibri" w:cs="Calibri"/>
          <w:b/>
          <w:bCs/>
          <w:kern w:val="0"/>
          <w14:ligatures w14:val="none"/>
        </w:rPr>
        <w:t xml:space="preserve"> entities</w:t>
      </w:r>
      <w:r w:rsidRPr="00801D2C">
        <w:rPr>
          <w:rFonts w:ascii="Calibri" w:eastAsia="Times New Roman" w:hAnsi="Calibri" w:cs="Calibri"/>
          <w:kern w:val="0"/>
          <w14:ligatures w14:val="none"/>
        </w:rPr>
        <w:t xml:space="preserve">. To dictate policy enforcement, compliance standards are treated as rigorous constraints that must be </w:t>
      </w:r>
      <w:r w:rsidRPr="00801D2C">
        <w:rPr>
          <w:rFonts w:ascii="Calibri" w:eastAsia="Times New Roman" w:hAnsi="Calibri" w:cs="Calibri"/>
          <w:b/>
          <w:bCs/>
          <w:kern w:val="0"/>
          <w14:ligatures w14:val="none"/>
        </w:rPr>
        <w:t xml:space="preserve">clearly demarcated as </w:t>
      </w:r>
      <w:proofErr w:type="spellStart"/>
      <w:r w:rsidRPr="00801D2C">
        <w:rPr>
          <w:rFonts w:ascii="Calibri" w:eastAsia="Times New Roman" w:hAnsi="Calibri" w:cs="Calibri"/>
          <w:b/>
          <w:bCs/>
          <w:kern w:val="0"/>
          <w14:ligatures w14:val="none"/>
        </w:rPr>
        <w:t>parseable</w:t>
      </w:r>
      <w:proofErr w:type="spellEnd"/>
      <w:r w:rsidRPr="00801D2C">
        <w:rPr>
          <w:rFonts w:ascii="Calibri" w:eastAsia="Times New Roman" w:hAnsi="Calibri" w:cs="Calibri"/>
          <w:b/>
          <w:bCs/>
          <w:kern w:val="0"/>
          <w14:ligatures w14:val="none"/>
        </w:rPr>
        <w:t xml:space="preserve"> attributes (Mandatory, Recommended, Optional) so the Planning Engine knows exactly which policies block autonomous execution if violated</w:t>
      </w:r>
      <w:r w:rsidRPr="00801D2C">
        <w:rPr>
          <w:rFonts w:ascii="Calibri" w:eastAsia="Times New Roman" w:hAnsi="Calibri" w:cs="Calibri"/>
          <w:kern w:val="0"/>
          <w14:ligatures w14:val="none"/>
        </w:rPr>
        <w:t>.</w:t>
      </w:r>
    </w:p>
    <w:p w14:paraId="647776F9" w14:textId="77777777" w:rsidR="00CD338B" w:rsidRPr="00801D2C" w:rsidRDefault="00CD338B" w:rsidP="00045E82">
      <w:pPr>
        <w:numPr>
          <w:ilvl w:val="0"/>
          <w:numId w:val="33"/>
        </w:numPr>
        <w:spacing w:after="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Safe Enterprise Evolution via Explicit Tool-Mapping &amp; Automated Repair:</w:t>
      </w:r>
      <w:r w:rsidRPr="00801D2C">
        <w:rPr>
          <w:rFonts w:ascii="Calibri" w:eastAsia="Times New Roman" w:hAnsi="Calibri" w:cs="Calibri"/>
          <w:kern w:val="0"/>
          <w14:ligatures w14:val="none"/>
        </w:rPr>
        <w:t xml:space="preserve"> To formalize safe system evolution and prevent fragmentation, blueprints must mature through the strict </w:t>
      </w:r>
      <w:r w:rsidRPr="00801D2C">
        <w:rPr>
          <w:rFonts w:ascii="Calibri" w:eastAsia="Times New Roman" w:hAnsi="Calibri" w:cs="Calibri"/>
          <w:b/>
          <w:bCs/>
          <w:kern w:val="0"/>
          <w14:ligatures w14:val="none"/>
        </w:rPr>
        <w:t>ISL Specification Readiness Levels</w:t>
      </w:r>
      <w:r w:rsidRPr="00801D2C">
        <w:rPr>
          <w:rFonts w:ascii="Calibri" w:eastAsia="Times New Roman" w:hAnsi="Calibri" w:cs="Calibri"/>
          <w:kern w:val="0"/>
          <w14:ligatures w14:val="none"/>
        </w:rPr>
        <w:t xml:space="preserve"> (Draft, Reviewable, Machine-Valid, and Autonomous-Ready). If compliance standards conflict, the platform triggers an exception requiring human </w:t>
      </w:r>
      <w:r w:rsidRPr="00801D2C">
        <w:rPr>
          <w:rFonts w:ascii="Calibri" w:eastAsia="Times New Roman" w:hAnsi="Calibri" w:cs="Calibri"/>
          <w:b/>
          <w:bCs/>
          <w:kern w:val="0"/>
          <w14:ligatures w14:val="none"/>
        </w:rPr>
        <w:t>Approval Gates</w:t>
      </w:r>
      <w:r w:rsidRPr="00801D2C">
        <w:rPr>
          <w:rFonts w:ascii="Calibri" w:eastAsia="Times New Roman" w:hAnsi="Calibri" w:cs="Calibri"/>
          <w:kern w:val="0"/>
          <w14:ligatures w14:val="none"/>
        </w:rPr>
        <w:t xml:space="preserve">. The parsed specification must be committed to a version-controlled </w:t>
      </w:r>
      <w:r w:rsidRPr="00801D2C">
        <w:rPr>
          <w:rFonts w:ascii="Calibri" w:eastAsia="Times New Roman" w:hAnsi="Calibri" w:cs="Calibri"/>
          <w:b/>
          <w:bCs/>
          <w:kern w:val="0"/>
          <w14:ligatures w14:val="none"/>
        </w:rPr>
        <w:t>Artifact Repository</w:t>
      </w:r>
      <w:r w:rsidRPr="00801D2C">
        <w:rPr>
          <w:rFonts w:ascii="Calibri" w:eastAsia="Times New Roman" w:hAnsi="Calibri" w:cs="Calibri"/>
          <w:kern w:val="0"/>
          <w14:ligatures w14:val="none"/>
        </w:rPr>
        <w:t xml:space="preserve"> to establish the authoritative baseline before autonomous construction begins. During execution, the platform actively generates a bidirectional </w:t>
      </w:r>
      <w:r w:rsidRPr="00801D2C">
        <w:rPr>
          <w:rFonts w:ascii="Calibri" w:eastAsia="Times New Roman" w:hAnsi="Calibri" w:cs="Calibri"/>
          <w:b/>
          <w:bCs/>
          <w:kern w:val="0"/>
          <w14:ligatures w14:val="none"/>
        </w:rPr>
        <w:t>Traceability Graph</w:t>
      </w:r>
      <w:r w:rsidRPr="00801D2C">
        <w:rPr>
          <w:rFonts w:ascii="Calibri" w:eastAsia="Times New Roman" w:hAnsi="Calibri" w:cs="Calibri"/>
          <w:kern w:val="0"/>
          <w14:ligatures w14:val="none"/>
        </w:rPr>
        <w:t xml:space="preserve"> utilizing strict </w:t>
      </w:r>
      <w:r w:rsidRPr="00801D2C">
        <w:rPr>
          <w:rFonts w:ascii="Calibri" w:eastAsia="Times New Roman" w:hAnsi="Calibri" w:cs="Calibri"/>
          <w:b/>
          <w:bCs/>
          <w:kern w:val="0"/>
          <w14:ligatures w14:val="none"/>
        </w:rPr>
        <w:t xml:space="preserve">domain-specific nomenclature (e.g., </w:t>
      </w:r>
      <w:r w:rsidRPr="00801D2C">
        <w:rPr>
          <w:rFonts w:ascii="Calibri" w:eastAsia="Times New Roman" w:hAnsi="Calibri" w:cs="Calibri"/>
          <w:b/>
          <w:bCs/>
          <w:kern w:val="0"/>
          <w:sz w:val="20"/>
          <w:szCs w:val="20"/>
          <w14:ligatures w14:val="none"/>
        </w:rPr>
        <w:t>POL-CJIS-001</w:t>
      </w:r>
      <w:r w:rsidRPr="00801D2C">
        <w:rPr>
          <w:rFonts w:ascii="Calibri" w:eastAsia="Times New Roman" w:hAnsi="Calibri" w:cs="Calibri"/>
          <w:b/>
          <w:bCs/>
          <w:kern w:val="0"/>
          <w14:ligatures w14:val="none"/>
        </w:rPr>
        <w:t xml:space="preserve">, </w:t>
      </w:r>
      <w:r w:rsidRPr="00801D2C">
        <w:rPr>
          <w:rFonts w:ascii="Calibri" w:eastAsia="Times New Roman" w:hAnsi="Calibri" w:cs="Calibri"/>
          <w:b/>
          <w:bCs/>
          <w:kern w:val="0"/>
          <w:sz w:val="20"/>
          <w:szCs w:val="20"/>
          <w14:ligatures w14:val="none"/>
        </w:rPr>
        <w:t>ENT-NIEM-01</w:t>
      </w:r>
      <w:r w:rsidRPr="00801D2C">
        <w:rPr>
          <w:rFonts w:ascii="Calibri" w:eastAsia="Times New Roman" w:hAnsi="Calibri" w:cs="Calibri"/>
          <w:b/>
          <w:bCs/>
          <w:kern w:val="0"/>
          <w14:ligatures w14:val="none"/>
        </w:rPr>
        <w:t>)</w:t>
      </w:r>
      <w:r w:rsidRPr="00801D2C">
        <w:rPr>
          <w:rFonts w:ascii="Calibri" w:eastAsia="Times New Roman" w:hAnsi="Calibri" w:cs="Calibri"/>
          <w:kern w:val="0"/>
          <w14:ligatures w14:val="none"/>
        </w:rPr>
        <w:t xml:space="preserve"> and enforces </w:t>
      </w:r>
      <w:r w:rsidRPr="00801D2C">
        <w:rPr>
          <w:rFonts w:ascii="Calibri" w:eastAsia="Times New Roman" w:hAnsi="Calibri" w:cs="Calibri"/>
          <w:b/>
          <w:bCs/>
          <w:kern w:val="0"/>
          <w14:ligatures w14:val="none"/>
        </w:rPr>
        <w:t>Explicit Edge Creation</w:t>
      </w:r>
      <w:r w:rsidRPr="00801D2C">
        <w:rPr>
          <w:rFonts w:ascii="Calibri" w:eastAsia="Times New Roman" w:hAnsi="Calibri" w:cs="Calibri"/>
          <w:kern w:val="0"/>
          <w14:ligatures w14:val="none"/>
        </w:rPr>
        <w:t xml:space="preserve">, requiring downstream entities to explicitly cross-reference the upstream entities they fulfill to enable automated impact analysis. The runtime relies on </w:t>
      </w:r>
      <w:r w:rsidRPr="00801D2C">
        <w:rPr>
          <w:rFonts w:ascii="Calibri" w:eastAsia="Times New Roman" w:hAnsi="Calibri" w:cs="Calibri"/>
          <w:b/>
          <w:bCs/>
          <w:kern w:val="0"/>
          <w14:ligatures w14:val="none"/>
        </w:rPr>
        <w:t>Explicit Tool-Mapping Examples</w:t>
      </w:r>
      <w:r w:rsidRPr="00801D2C">
        <w:rPr>
          <w:rFonts w:ascii="Calibri" w:eastAsia="Times New Roman" w:hAnsi="Calibri" w:cs="Calibri"/>
          <w:kern w:val="0"/>
          <w14:ligatures w14:val="none"/>
        </w:rPr>
        <w:t xml:space="preserve">—such as mapping a NIEM requirement to a "Schema Validation Plugin" or a CJIS policy to a "Static Analysis Security Scanner"—to dictate exactly how tools will deterministically test the generated code. If validation fails, the Execution Runtime autonomously invokes the </w:t>
      </w:r>
      <w:r w:rsidRPr="00801D2C">
        <w:rPr>
          <w:rFonts w:ascii="Calibri" w:eastAsia="Times New Roman" w:hAnsi="Calibri" w:cs="Calibri"/>
          <w:b/>
          <w:bCs/>
          <w:kern w:val="0"/>
          <w14:ligatures w14:val="none"/>
        </w:rPr>
        <w:t>Repair Analyst</w:t>
      </w:r>
      <w:r w:rsidRPr="00801D2C">
        <w:rPr>
          <w:rFonts w:ascii="Calibri" w:eastAsia="Times New Roman" w:hAnsi="Calibri" w:cs="Calibri"/>
          <w:kern w:val="0"/>
          <w14:ligatures w14:val="none"/>
        </w:rPr>
        <w:t xml:space="preserve"> agent to execute </w:t>
      </w:r>
      <w:r w:rsidRPr="00801D2C">
        <w:rPr>
          <w:rFonts w:ascii="Calibri" w:eastAsia="Times New Roman" w:hAnsi="Calibri" w:cs="Calibri"/>
          <w:b/>
          <w:bCs/>
          <w:kern w:val="0"/>
          <w14:ligatures w14:val="none"/>
        </w:rPr>
        <w:t>automated repair cycles</w:t>
      </w:r>
      <w:r w:rsidRPr="00801D2C">
        <w:rPr>
          <w:rFonts w:ascii="Calibri" w:eastAsia="Times New Roman" w:hAnsi="Calibri" w:cs="Calibri"/>
          <w:kern w:val="0"/>
          <w14:ligatures w14:val="none"/>
        </w:rPr>
        <w:t xml:space="preserve">. All historical reasoning and execution context is safely preserved within the </w:t>
      </w:r>
      <w:r w:rsidRPr="00801D2C">
        <w:rPr>
          <w:rFonts w:ascii="Calibri" w:eastAsia="Times New Roman" w:hAnsi="Calibri" w:cs="Calibri"/>
          <w:b/>
          <w:bCs/>
          <w:kern w:val="0"/>
          <w14:ligatures w14:val="none"/>
        </w:rPr>
        <w:t>State and Memory Model</w:t>
      </w:r>
      <w:r w:rsidRPr="00801D2C">
        <w:rPr>
          <w:rFonts w:ascii="Calibri" w:eastAsia="Times New Roman" w:hAnsi="Calibri" w:cs="Calibri"/>
          <w:kern w:val="0"/>
          <w14:ligatures w14:val="none"/>
        </w:rPr>
        <w:t xml:space="preserve"> until the implementation converges into a stable, verified system.</w:t>
      </w:r>
    </w:p>
    <w:p w14:paraId="561C1482"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Ultimately, this rigorous, protocol-driven extensibility guarantees that the autonomous engine can scale, adapt to unforeseen enterprise challenges, and adopt future AI advancements safely without its core architecture breaking down.</w:t>
      </w:r>
    </w:p>
    <w:p w14:paraId="3D962EC8" w14:textId="77777777" w:rsidR="00045E82" w:rsidRPr="00801D2C" w:rsidRDefault="00CD338B" w:rsidP="00045E82">
      <w:pPr>
        <w:pStyle w:val="Heading1"/>
        <w:rPr>
          <w:rFonts w:ascii="Calibri" w:hAnsi="Calibri" w:cs="Calibri"/>
        </w:rPr>
      </w:pPr>
      <w:r w:rsidRPr="00801D2C">
        <w:rPr>
          <w:rFonts w:ascii="Calibri" w:hAnsi="Calibri" w:cs="Calibri"/>
        </w:rPr>
        <w:t>Any Domain, Any Target</w:t>
      </w:r>
    </w:p>
    <w:p w14:paraId="078098BA" w14:textId="1EB5C012" w:rsidR="00CD338B" w:rsidRPr="00801D2C" w:rsidRDefault="00CD338B" w:rsidP="00045E82">
      <w:pPr>
        <w:pStyle w:val="Heading2"/>
        <w:rPr>
          <w:rFonts w:ascii="Calibri" w:hAnsi="Calibri" w:cs="Calibri"/>
        </w:rPr>
      </w:pPr>
      <w:r w:rsidRPr="00801D2C">
        <w:rPr>
          <w:rFonts w:ascii="Calibri" w:hAnsi="Calibri" w:cs="Calibri"/>
        </w:rPr>
        <w:t>Resolving Enterprise Construction Concerns Through MACS-Optimized Protocols</w:t>
      </w:r>
    </w:p>
    <w:p w14:paraId="6B6FD622"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ALETHEIA supports any arbitrary software project by enforcing a strict separation between </w:t>
      </w:r>
      <w:r w:rsidRPr="00801D2C">
        <w:rPr>
          <w:rFonts w:ascii="Calibri" w:eastAsia="Times New Roman" w:hAnsi="Calibri" w:cs="Calibri"/>
          <w:i/>
          <w:iCs/>
          <w:kern w:val="0"/>
          <w14:ligatures w14:val="none"/>
        </w:rPr>
        <w:t>what</w:t>
      </w:r>
      <w:r w:rsidRPr="00801D2C">
        <w:rPr>
          <w:rFonts w:ascii="Calibri" w:eastAsia="Times New Roman" w:hAnsi="Calibri" w:cs="Calibri"/>
          <w:kern w:val="0"/>
          <w14:ligatures w14:val="none"/>
        </w:rPr>
        <w:t xml:space="preserve"> is built and </w:t>
      </w:r>
      <w:r w:rsidRPr="00801D2C">
        <w:rPr>
          <w:rFonts w:ascii="Calibri" w:eastAsia="Times New Roman" w:hAnsi="Calibri" w:cs="Calibri"/>
          <w:i/>
          <w:iCs/>
          <w:kern w:val="0"/>
          <w14:ligatures w14:val="none"/>
        </w:rPr>
        <w:t>how</w:t>
      </w:r>
      <w:r w:rsidRPr="00801D2C">
        <w:rPr>
          <w:rFonts w:ascii="Calibri" w:eastAsia="Times New Roman" w:hAnsi="Calibri" w:cs="Calibri"/>
          <w:kern w:val="0"/>
          <w14:ligatures w14:val="none"/>
        </w:rPr>
        <w:t xml:space="preserve"> it is compiled. To prevent scope drift and ensure the platform operates purely on architectural structure rather than acting as a basic coding assistant, the process </w:t>
      </w:r>
      <w:r w:rsidRPr="00801D2C">
        <w:rPr>
          <w:rFonts w:ascii="Calibri" w:eastAsia="Times New Roman" w:hAnsi="Calibri" w:cs="Calibri"/>
          <w:b/>
          <w:bCs/>
          <w:kern w:val="0"/>
          <w14:ligatures w14:val="none"/>
        </w:rPr>
        <w:t>strictly prohibits the generation of UI mockups, manual code snippets, or vendor-specific solutions</w:t>
      </w:r>
      <w:r w:rsidRPr="00801D2C">
        <w:rPr>
          <w:rFonts w:ascii="Calibri" w:eastAsia="Times New Roman" w:hAnsi="Calibri" w:cs="Calibri"/>
          <w:kern w:val="0"/>
          <w14:ligatures w14:val="none"/>
        </w:rPr>
        <w:t>.</w:t>
      </w:r>
    </w:p>
    <w:p w14:paraId="3C76C9E4"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lastRenderedPageBreak/>
        <w:t xml:space="preserve">The process abandons traditional prose prompting entirely. Instead, initiation requires a formal </w:t>
      </w:r>
      <w:r w:rsidRPr="00801D2C">
        <w:rPr>
          <w:rFonts w:ascii="Calibri" w:eastAsia="Times New Roman" w:hAnsi="Calibri" w:cs="Calibri"/>
          <w:b/>
          <w:bCs/>
          <w:kern w:val="0"/>
          <w14:ligatures w14:val="none"/>
        </w:rPr>
        <w:t>Structured Transaction Payload</w:t>
      </w:r>
      <w:r w:rsidRPr="00801D2C">
        <w:rPr>
          <w:rFonts w:ascii="Calibri" w:eastAsia="Times New Roman" w:hAnsi="Calibri" w:cs="Calibri"/>
          <w:kern w:val="0"/>
          <w14:ligatures w14:val="none"/>
        </w:rPr>
        <w:t xml:space="preserve"> utilizing YAML-style frontmatter for metadata (e.g., </w:t>
      </w:r>
      <w:r w:rsidRPr="00801D2C">
        <w:rPr>
          <w:rFonts w:ascii="Calibri" w:eastAsia="Times New Roman" w:hAnsi="Calibri" w:cs="Calibri"/>
          <w:kern w:val="0"/>
          <w:sz w:val="20"/>
          <w:szCs w:val="20"/>
          <w14:ligatures w14:val="none"/>
        </w:rPr>
        <w:t>--- TRANSACTION_ID: TASK-SPEC-INIT-001 ---</w:t>
      </w:r>
      <w:r w:rsidRPr="00801D2C">
        <w:rPr>
          <w:rFonts w:ascii="Calibri" w:eastAsia="Times New Roman" w:hAnsi="Calibri" w:cs="Calibri"/>
          <w:kern w:val="0"/>
          <w14:ligatures w14:val="none"/>
        </w:rPr>
        <w:t>) followed by exact markdown headers (</w:t>
      </w:r>
      <w:r w:rsidRPr="00801D2C">
        <w:rPr>
          <w:rFonts w:ascii="Calibri" w:eastAsia="Times New Roman" w:hAnsi="Calibri" w:cs="Calibri"/>
          <w:kern w:val="0"/>
          <w:sz w:val="20"/>
          <w:szCs w:val="20"/>
          <w14:ligatures w14:val="none"/>
        </w:rPr>
        <w:t xml:space="preserve"># CONTEXT </w:t>
      </w:r>
      <w:proofErr w:type="gramStart"/>
      <w:r w:rsidRPr="00801D2C">
        <w:rPr>
          <w:rFonts w:ascii="Calibri" w:eastAsia="Times New Roman" w:hAnsi="Calibri" w:cs="Calibri"/>
          <w:kern w:val="0"/>
          <w:sz w:val="20"/>
          <w:szCs w:val="20"/>
          <w14:ligatures w14:val="none"/>
        </w:rPr>
        <w:t>ASSEMBLY:</w:t>
      </w:r>
      <w:r w:rsidRPr="00801D2C">
        <w:rPr>
          <w:rFonts w:ascii="Calibri" w:eastAsia="Times New Roman" w:hAnsi="Calibri" w:cs="Calibri"/>
          <w:kern w:val="0"/>
          <w14:ligatures w14:val="none"/>
        </w:rPr>
        <w:t>,</w:t>
      </w:r>
      <w:proofErr w:type="gramEnd"/>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 xml:space="preserve"># OPERATIONAL </w:t>
      </w:r>
      <w:proofErr w:type="gramStart"/>
      <w:r w:rsidRPr="00801D2C">
        <w:rPr>
          <w:rFonts w:ascii="Calibri" w:eastAsia="Times New Roman" w:hAnsi="Calibri" w:cs="Calibri"/>
          <w:kern w:val="0"/>
          <w:sz w:val="20"/>
          <w:szCs w:val="20"/>
          <w14:ligatures w14:val="none"/>
        </w:rPr>
        <w:t>CONSTRAINTS:</w:t>
      </w:r>
      <w:r w:rsidRPr="00801D2C">
        <w:rPr>
          <w:rFonts w:ascii="Calibri" w:eastAsia="Times New Roman" w:hAnsi="Calibri" w:cs="Calibri"/>
          <w:kern w:val="0"/>
          <w14:ligatures w14:val="none"/>
        </w:rPr>
        <w:t>,</w:t>
      </w:r>
      <w:proofErr w:type="gramEnd"/>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 OUTPUT CONTRACT:</w:t>
      </w:r>
      <w:r w:rsidRPr="00801D2C">
        <w:rPr>
          <w:rFonts w:ascii="Calibri" w:eastAsia="Times New Roman" w:hAnsi="Calibri" w:cs="Calibri"/>
          <w:kern w:val="0"/>
          <w14:ligatures w14:val="none"/>
        </w:rPr>
        <w:t xml:space="preserve">). This active payload passes the context and constraints directly to the agents, enforcing an Output Contract that restricts all generated responses into strict </w:t>
      </w:r>
      <w:r w:rsidRPr="00801D2C">
        <w:rPr>
          <w:rFonts w:ascii="Calibri" w:eastAsia="Times New Roman" w:hAnsi="Calibri" w:cs="Calibri"/>
          <w:b/>
          <w:bCs/>
          <w:kern w:val="0"/>
          <w14:ligatures w14:val="none"/>
        </w:rPr>
        <w:t>Markdown, JSON, or YAML formats, absolutely prohibiting conversational preambles, acknowledgments, or concluding remarks</w:t>
      </w:r>
      <w:r w:rsidRPr="00801D2C">
        <w:rPr>
          <w:rFonts w:ascii="Calibri" w:eastAsia="Times New Roman" w:hAnsi="Calibri" w:cs="Calibri"/>
          <w:kern w:val="0"/>
          <w14:ligatures w14:val="none"/>
        </w:rPr>
        <w:t xml:space="preserve"> so the output is immediately </w:t>
      </w:r>
      <w:proofErr w:type="gramStart"/>
      <w:r w:rsidRPr="00801D2C">
        <w:rPr>
          <w:rFonts w:ascii="Calibri" w:eastAsia="Times New Roman" w:hAnsi="Calibri" w:cs="Calibri"/>
          <w:kern w:val="0"/>
          <w14:ligatures w14:val="none"/>
        </w:rPr>
        <w:t>machine-</w:t>
      </w:r>
      <w:proofErr w:type="spellStart"/>
      <w:r w:rsidRPr="00801D2C">
        <w:rPr>
          <w:rFonts w:ascii="Calibri" w:eastAsia="Times New Roman" w:hAnsi="Calibri" w:cs="Calibri"/>
          <w:kern w:val="0"/>
          <w14:ligatures w14:val="none"/>
        </w:rPr>
        <w:t>parseable</w:t>
      </w:r>
      <w:proofErr w:type="spellEnd"/>
      <w:proofErr w:type="gramEnd"/>
      <w:r w:rsidRPr="00801D2C">
        <w:rPr>
          <w:rFonts w:ascii="Calibri" w:eastAsia="Times New Roman" w:hAnsi="Calibri" w:cs="Calibri"/>
          <w:kern w:val="0"/>
          <w14:ligatures w14:val="none"/>
        </w:rPr>
        <w:t>.</w:t>
      </w:r>
    </w:p>
    <w:p w14:paraId="342C0D44"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Crucially, the resulting output must satisfy a strict </w:t>
      </w:r>
      <w:r w:rsidRPr="00801D2C">
        <w:rPr>
          <w:rFonts w:ascii="Calibri" w:eastAsia="Times New Roman" w:hAnsi="Calibri" w:cs="Calibri"/>
          <w:b/>
          <w:bCs/>
          <w:kern w:val="0"/>
          <w14:ligatures w14:val="none"/>
        </w:rPr>
        <w:t>Dual-Audience Requirement</w:t>
      </w:r>
      <w:r w:rsidRPr="00801D2C">
        <w:rPr>
          <w:rFonts w:ascii="Calibri" w:eastAsia="Times New Roman" w:hAnsi="Calibri" w:cs="Calibri"/>
          <w:kern w:val="0"/>
          <w14:ligatures w14:val="none"/>
        </w:rPr>
        <w:t xml:space="preserve">: it must be readable by </w:t>
      </w:r>
      <w:r w:rsidRPr="00801D2C">
        <w:rPr>
          <w:rFonts w:ascii="Calibri" w:eastAsia="Times New Roman" w:hAnsi="Calibri" w:cs="Calibri"/>
          <w:b/>
          <w:bCs/>
          <w:kern w:val="0"/>
          <w14:ligatures w14:val="none"/>
        </w:rPr>
        <w:t>Human Governance Roles</w:t>
      </w:r>
      <w:r w:rsidRPr="00801D2C">
        <w:rPr>
          <w:rFonts w:ascii="Calibri" w:eastAsia="Times New Roman" w:hAnsi="Calibri" w:cs="Calibri"/>
          <w:kern w:val="0"/>
          <w14:ligatures w14:val="none"/>
        </w:rPr>
        <w:t xml:space="preserve"> (such as IT Architects, Security Validators, and </w:t>
      </w:r>
      <w:r w:rsidRPr="00801D2C">
        <w:rPr>
          <w:rFonts w:ascii="Calibri" w:eastAsia="Times New Roman" w:hAnsi="Calibri" w:cs="Calibri"/>
          <w:b/>
          <w:bCs/>
          <w:kern w:val="0"/>
          <w14:ligatures w14:val="none"/>
        </w:rPr>
        <w:t>Court Auditors</w:t>
      </w:r>
      <w:r w:rsidRPr="00801D2C">
        <w:rPr>
          <w:rFonts w:ascii="Calibri" w:eastAsia="Times New Roman" w:hAnsi="Calibri" w:cs="Calibri"/>
          <w:kern w:val="0"/>
          <w14:ligatures w14:val="none"/>
        </w:rPr>
        <w:t xml:space="preserve">) to pass Approval Gates, </w:t>
      </w:r>
      <w:r w:rsidRPr="00801D2C">
        <w:rPr>
          <w:rFonts w:ascii="Calibri" w:eastAsia="Times New Roman" w:hAnsi="Calibri" w:cs="Calibri"/>
          <w:i/>
          <w:iCs/>
          <w:kern w:val="0"/>
          <w14:ligatures w14:val="none"/>
        </w:rPr>
        <w:t>and</w:t>
      </w:r>
      <w:r w:rsidRPr="00801D2C">
        <w:rPr>
          <w:rFonts w:ascii="Calibri" w:eastAsia="Times New Roman" w:hAnsi="Calibri" w:cs="Calibri"/>
          <w:kern w:val="0"/>
          <w14:ligatures w14:val="none"/>
        </w:rPr>
        <w:t xml:space="preserve"> it must be strictly formatted for programmatic parsing by the ALETHEIA Specification Engine.</w:t>
      </w:r>
    </w:p>
    <w:p w14:paraId="1905B097"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By enforcing this programmatic precision, the platform acts as a universal construction engine—capable of targeting anything from a complex enterprise ecosystem to the platform's initial Minimal Autonomous Construction System (MACS) reference implementation: a </w:t>
      </w:r>
      <w:r w:rsidRPr="00801D2C">
        <w:rPr>
          <w:rFonts w:ascii="Calibri" w:eastAsia="Times New Roman" w:hAnsi="Calibri" w:cs="Calibri"/>
          <w:b/>
          <w:bCs/>
          <w:kern w:val="0"/>
          <w14:ligatures w14:val="none"/>
        </w:rPr>
        <w:t>local-first, containerized .NET REST service</w:t>
      </w:r>
      <w:r w:rsidRPr="00801D2C">
        <w:rPr>
          <w:rFonts w:ascii="Calibri" w:eastAsia="Times New Roman" w:hAnsi="Calibri" w:cs="Calibri"/>
          <w:kern w:val="0"/>
          <w14:ligatures w14:val="none"/>
        </w:rPr>
        <w:t>.</w:t>
      </w:r>
    </w:p>
    <w:p w14:paraId="0A543DE4" w14:textId="77777777" w:rsidR="00CD338B" w:rsidRPr="00801D2C" w:rsidRDefault="00CD338B"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This abstraction specifically addresses the concerns of diverse enterprise disciplines through strict, formal protocols:</w:t>
      </w:r>
    </w:p>
    <w:p w14:paraId="5CD70DAC" w14:textId="77777777" w:rsidR="00CD338B" w:rsidRPr="00801D2C" w:rsidRDefault="00CD338B" w:rsidP="00045E82">
      <w:pPr>
        <w:numPr>
          <w:ilvl w:val="0"/>
          <w:numId w:val="34"/>
        </w:numPr>
        <w:spacing w:after="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For Enterprise Architects &amp; Integrators (Complex Integrations):</w:t>
      </w:r>
      <w:r w:rsidRPr="00801D2C">
        <w:rPr>
          <w:rFonts w:ascii="Calibri" w:eastAsia="Times New Roman" w:hAnsi="Calibri" w:cs="Calibri"/>
          <w:kern w:val="0"/>
          <w14:ligatures w14:val="none"/>
        </w:rPr>
        <w:t xml:space="preserve"> Architects often worry that autonomous systems cannot handle pre-existing enterprise ecosystems. ALETHEIA resolves this by ensuring proper Context Assembly prior to execution, grounding the agents in actual domain data. The platform formally invokes the Specification Interpreter and Architecture Planner agents to map specifications directly to the </w:t>
      </w:r>
      <w:r w:rsidRPr="00801D2C">
        <w:rPr>
          <w:rFonts w:ascii="Calibri" w:eastAsia="Times New Roman" w:hAnsi="Calibri" w:cs="Calibri"/>
          <w:b/>
          <w:bCs/>
          <w:kern w:val="0"/>
          <w14:ligatures w14:val="none"/>
        </w:rPr>
        <w:t>13 exact, singular canonical entity names</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Project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Context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Stakeholder</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Actor</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Capability</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Requirement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Service</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Interface</w:t>
      </w:r>
      <w:r w:rsidRPr="00801D2C">
        <w:rPr>
          <w:rFonts w:ascii="Calibri" w:eastAsia="Times New Roman" w:hAnsi="Calibri" w:cs="Calibri"/>
          <w:kern w:val="0"/>
          <w14:ligatures w14:val="none"/>
        </w:rPr>
        <w:t xml:space="preserve">, </w:t>
      </w:r>
      <w:proofErr w:type="spellStart"/>
      <w:r w:rsidRPr="00801D2C">
        <w:rPr>
          <w:rFonts w:ascii="Calibri" w:eastAsia="Times New Roman" w:hAnsi="Calibri" w:cs="Calibri"/>
          <w:kern w:val="0"/>
          <w:sz w:val="20"/>
          <w:szCs w:val="20"/>
          <w14:ligatures w14:val="none"/>
        </w:rPr>
        <w:t>DataEntity</w:t>
      </w:r>
      <w:proofErr w:type="spellEnd"/>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Workflow</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Policy</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Infrastructure</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Validation</w:t>
      </w:r>
      <w:r w:rsidRPr="00801D2C">
        <w:rPr>
          <w:rFonts w:ascii="Calibri" w:eastAsia="Times New Roman" w:hAnsi="Calibri" w:cs="Calibri"/>
          <w:kern w:val="0"/>
          <w14:ligatures w14:val="none"/>
        </w:rPr>
        <w:t xml:space="preserve">). To guarantee the Specification Engine can extract these accurately, the platform mandates physical </w:t>
      </w:r>
      <w:r w:rsidRPr="00801D2C">
        <w:rPr>
          <w:rFonts w:ascii="Calibri" w:eastAsia="Times New Roman" w:hAnsi="Calibri" w:cs="Calibri"/>
          <w:b/>
          <w:bCs/>
          <w:kern w:val="0"/>
          <w14:ligatures w14:val="none"/>
        </w:rPr>
        <w:t>Strict Entity Demarcation</w:t>
      </w:r>
      <w:r w:rsidRPr="00801D2C">
        <w:rPr>
          <w:rFonts w:ascii="Calibri" w:eastAsia="Times New Roman" w:hAnsi="Calibri" w:cs="Calibri"/>
          <w:kern w:val="0"/>
          <w14:ligatures w14:val="none"/>
        </w:rPr>
        <w:t xml:space="preserve"> via distinct sub-headers or YAML frontmatter blocks. Furthermore, to keep the parser from breaking, the platform enforces strict </w:t>
      </w:r>
      <w:r w:rsidRPr="00801D2C">
        <w:rPr>
          <w:rFonts w:ascii="Calibri" w:eastAsia="Times New Roman" w:hAnsi="Calibri" w:cs="Calibri"/>
          <w:b/>
          <w:bCs/>
          <w:kern w:val="0"/>
          <w14:ligatures w14:val="none"/>
        </w:rPr>
        <w:t>Terminology Discipline</w:t>
      </w:r>
      <w:r w:rsidRPr="00801D2C">
        <w:rPr>
          <w:rFonts w:ascii="Calibri" w:eastAsia="Times New Roman" w:hAnsi="Calibri" w:cs="Calibri"/>
          <w:kern w:val="0"/>
          <w14:ligatures w14:val="none"/>
        </w:rPr>
        <w:t xml:space="preserve">: authors and agents must use consistent vocabulary, enforce strict reuse with </w:t>
      </w:r>
      <w:r w:rsidRPr="00801D2C">
        <w:rPr>
          <w:rFonts w:ascii="Calibri" w:eastAsia="Times New Roman" w:hAnsi="Calibri" w:cs="Calibri"/>
          <w:b/>
          <w:bCs/>
          <w:kern w:val="0"/>
          <w14:ligatures w14:val="none"/>
        </w:rPr>
        <w:t>no synonyms</w:t>
      </w:r>
      <w:r w:rsidRPr="00801D2C">
        <w:rPr>
          <w:rFonts w:ascii="Calibri" w:eastAsia="Times New Roman" w:hAnsi="Calibri" w:cs="Calibri"/>
          <w:kern w:val="0"/>
          <w14:ligatures w14:val="none"/>
        </w:rPr>
        <w:t xml:space="preserve"> (e.g., strictly using "Case," not interchangeably with "Matter"), and capitalize all defined terms. Rather than simply clarifying errors, the Specification Interpreter engages in </w:t>
      </w:r>
      <w:r w:rsidRPr="00801D2C">
        <w:rPr>
          <w:rFonts w:ascii="Calibri" w:eastAsia="Times New Roman" w:hAnsi="Calibri" w:cs="Calibri"/>
          <w:b/>
          <w:bCs/>
          <w:kern w:val="0"/>
          <w14:ligatures w14:val="none"/>
        </w:rPr>
        <w:t>Advisory Collaboration</w:t>
      </w:r>
      <w:r w:rsidRPr="00801D2C">
        <w:rPr>
          <w:rFonts w:ascii="Calibri" w:eastAsia="Times New Roman" w:hAnsi="Calibri" w:cs="Calibri"/>
          <w:kern w:val="0"/>
          <w14:ligatures w14:val="none"/>
        </w:rPr>
        <w:t xml:space="preserve">, actively guiding the human author by proactively suggesting missing canonical elements using structured, bulleted lists before falling back to clarifications. To protect the parser, inline questions are strictly prohibited; agents must append a strictly formatted </w:t>
      </w:r>
      <w:r w:rsidRPr="00801D2C">
        <w:rPr>
          <w:rFonts w:ascii="Calibri" w:eastAsia="Times New Roman" w:hAnsi="Calibri" w:cs="Calibri"/>
          <w:kern w:val="0"/>
          <w:sz w:val="20"/>
          <w:szCs w:val="20"/>
          <w14:ligatures w14:val="none"/>
        </w:rPr>
        <w:t>### CLARIFICATIONS REQUIRED</w:t>
      </w:r>
      <w:r w:rsidRPr="00801D2C">
        <w:rPr>
          <w:rFonts w:ascii="Calibri" w:eastAsia="Times New Roman" w:hAnsi="Calibri" w:cs="Calibri"/>
          <w:kern w:val="0"/>
          <w14:ligatures w14:val="none"/>
        </w:rPr>
        <w:t xml:space="preserve"> markdown block </w:t>
      </w:r>
      <w:r w:rsidRPr="00801D2C">
        <w:rPr>
          <w:rFonts w:ascii="Calibri" w:eastAsia="Times New Roman" w:hAnsi="Calibri" w:cs="Calibri"/>
          <w:b/>
          <w:bCs/>
          <w:kern w:val="0"/>
          <w14:ligatures w14:val="none"/>
        </w:rPr>
        <w:t>at the very end of the document</w:t>
      </w:r>
      <w:r w:rsidRPr="00801D2C">
        <w:rPr>
          <w:rFonts w:ascii="Calibri" w:eastAsia="Times New Roman" w:hAnsi="Calibri" w:cs="Calibri"/>
          <w:kern w:val="0"/>
          <w14:ligatures w14:val="none"/>
        </w:rPr>
        <w:t>.</w:t>
      </w:r>
    </w:p>
    <w:p w14:paraId="41346204" w14:textId="77777777" w:rsidR="00CD338B" w:rsidRPr="00801D2C" w:rsidRDefault="00CD338B" w:rsidP="00045E82">
      <w:pPr>
        <w:numPr>
          <w:ilvl w:val="0"/>
          <w:numId w:val="34"/>
        </w:numPr>
        <w:spacing w:after="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For Data Engineers &amp; Scientists (Interoperability &amp; Data Workflows):</w:t>
      </w:r>
      <w:r w:rsidRPr="00801D2C">
        <w:rPr>
          <w:rFonts w:ascii="Calibri" w:eastAsia="Times New Roman" w:hAnsi="Calibri" w:cs="Calibri"/>
          <w:kern w:val="0"/>
          <w14:ligatures w14:val="none"/>
        </w:rPr>
        <w:t xml:space="preserve"> In domains requiring strict interoperability—such as the justice sector targeted by the MACS reference implementation—data professionals do not rely on generic data pipelines. Instead, they mandate that </w:t>
      </w:r>
      <w:r w:rsidRPr="00801D2C">
        <w:rPr>
          <w:rFonts w:ascii="Calibri" w:eastAsia="Times New Roman" w:hAnsi="Calibri" w:cs="Calibri"/>
          <w:b/>
          <w:bCs/>
          <w:kern w:val="0"/>
          <w14:ligatures w14:val="none"/>
        </w:rPr>
        <w:t>NCSC principles</w:t>
      </w:r>
      <w:r w:rsidRPr="00801D2C">
        <w:rPr>
          <w:rFonts w:ascii="Calibri" w:eastAsia="Times New Roman" w:hAnsi="Calibri" w:cs="Calibri"/>
          <w:kern w:val="0"/>
          <w14:ligatures w14:val="none"/>
        </w:rPr>
        <w:t xml:space="preserve"> are mapped directly to both </w:t>
      </w:r>
      <w:r w:rsidRPr="00801D2C">
        <w:rPr>
          <w:rFonts w:ascii="Calibri" w:eastAsia="Times New Roman" w:hAnsi="Calibri" w:cs="Calibri"/>
          <w:kern w:val="0"/>
          <w:sz w:val="20"/>
          <w:szCs w:val="20"/>
          <w14:ligatures w14:val="none"/>
        </w:rPr>
        <w:t>Workflow</w:t>
      </w:r>
      <w:r w:rsidRPr="00801D2C">
        <w:rPr>
          <w:rFonts w:ascii="Calibri" w:eastAsia="Times New Roman" w:hAnsi="Calibri" w:cs="Calibri"/>
          <w:kern w:val="0"/>
          <w14:ligatures w14:val="none"/>
        </w:rPr>
        <w:t xml:space="preserve"> and </w:t>
      </w:r>
      <w:r w:rsidRPr="00801D2C">
        <w:rPr>
          <w:rFonts w:ascii="Calibri" w:eastAsia="Times New Roman" w:hAnsi="Calibri" w:cs="Calibri"/>
          <w:kern w:val="0"/>
          <w:sz w:val="20"/>
          <w:szCs w:val="20"/>
          <w14:ligatures w14:val="none"/>
        </w:rPr>
        <w:t>Requirement</w:t>
      </w:r>
      <w:r w:rsidRPr="00801D2C">
        <w:rPr>
          <w:rFonts w:ascii="Calibri" w:eastAsia="Times New Roman" w:hAnsi="Calibri" w:cs="Calibri"/>
          <w:kern w:val="0"/>
          <w14:ligatures w14:val="none"/>
        </w:rPr>
        <w:t xml:space="preserve"> entities, and </w:t>
      </w:r>
      <w:r w:rsidRPr="00801D2C">
        <w:rPr>
          <w:rFonts w:ascii="Calibri" w:eastAsia="Times New Roman" w:hAnsi="Calibri" w:cs="Calibri"/>
          <w:b/>
          <w:bCs/>
          <w:kern w:val="0"/>
          <w14:ligatures w14:val="none"/>
        </w:rPr>
        <w:t>NIEM models</w:t>
      </w:r>
      <w:r w:rsidRPr="00801D2C">
        <w:rPr>
          <w:rFonts w:ascii="Calibri" w:eastAsia="Times New Roman" w:hAnsi="Calibri" w:cs="Calibri"/>
          <w:kern w:val="0"/>
          <w14:ligatures w14:val="none"/>
        </w:rPr>
        <w:t xml:space="preserve"> are mapped directly to both </w:t>
      </w:r>
      <w:proofErr w:type="spellStart"/>
      <w:r w:rsidRPr="00801D2C">
        <w:rPr>
          <w:rFonts w:ascii="Calibri" w:eastAsia="Times New Roman" w:hAnsi="Calibri" w:cs="Calibri"/>
          <w:kern w:val="0"/>
          <w:sz w:val="20"/>
          <w:szCs w:val="20"/>
          <w14:ligatures w14:val="none"/>
        </w:rPr>
        <w:t>DataEntity</w:t>
      </w:r>
      <w:proofErr w:type="spellEnd"/>
      <w:r w:rsidRPr="00801D2C">
        <w:rPr>
          <w:rFonts w:ascii="Calibri" w:eastAsia="Times New Roman" w:hAnsi="Calibri" w:cs="Calibri"/>
          <w:kern w:val="0"/>
          <w14:ligatures w14:val="none"/>
        </w:rPr>
        <w:t xml:space="preserve"> and </w:t>
      </w:r>
      <w:r w:rsidRPr="00801D2C">
        <w:rPr>
          <w:rFonts w:ascii="Calibri" w:eastAsia="Times New Roman" w:hAnsi="Calibri" w:cs="Calibri"/>
          <w:kern w:val="0"/>
          <w:sz w:val="20"/>
          <w:szCs w:val="20"/>
          <w14:ligatures w14:val="none"/>
        </w:rPr>
        <w:t>Interface</w:t>
      </w:r>
      <w:r w:rsidRPr="00801D2C">
        <w:rPr>
          <w:rFonts w:ascii="Calibri" w:eastAsia="Times New Roman" w:hAnsi="Calibri" w:cs="Calibri"/>
          <w:kern w:val="0"/>
          <w14:ligatures w14:val="none"/>
        </w:rPr>
        <w:t xml:space="preserve"> entities to ensure interoperability. Operating under strict Output Contracts, the agents </w:t>
      </w:r>
      <w:r w:rsidRPr="00801D2C">
        <w:rPr>
          <w:rFonts w:ascii="Calibri" w:eastAsia="Times New Roman" w:hAnsi="Calibri" w:cs="Calibri"/>
          <w:kern w:val="0"/>
          <w14:ligatures w14:val="none"/>
        </w:rPr>
        <w:lastRenderedPageBreak/>
        <w:t>treat the specification as an active, executable ISL Blueprint, ensuring the generated schema definitions are immediately machine-</w:t>
      </w:r>
      <w:proofErr w:type="spellStart"/>
      <w:r w:rsidRPr="00801D2C">
        <w:rPr>
          <w:rFonts w:ascii="Calibri" w:eastAsia="Times New Roman" w:hAnsi="Calibri" w:cs="Calibri"/>
          <w:kern w:val="0"/>
          <w14:ligatures w14:val="none"/>
        </w:rPr>
        <w:t>parseable</w:t>
      </w:r>
      <w:proofErr w:type="spellEnd"/>
      <w:r w:rsidRPr="00801D2C">
        <w:rPr>
          <w:rFonts w:ascii="Calibri" w:eastAsia="Times New Roman" w:hAnsi="Calibri" w:cs="Calibri"/>
          <w:kern w:val="0"/>
          <w14:ligatures w14:val="none"/>
        </w:rPr>
        <w:t xml:space="preserve"> by the Execution Runtime.</w:t>
      </w:r>
    </w:p>
    <w:p w14:paraId="11A107D3" w14:textId="77777777" w:rsidR="00CD338B" w:rsidRPr="00801D2C" w:rsidRDefault="00CD338B" w:rsidP="00045E82">
      <w:pPr>
        <w:numPr>
          <w:ilvl w:val="0"/>
          <w:numId w:val="34"/>
        </w:numPr>
        <w:spacing w:after="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For Security &amp; Compliance Officers (Highly Regulated Domains):</w:t>
      </w:r>
      <w:r w:rsidRPr="00801D2C">
        <w:rPr>
          <w:rFonts w:ascii="Calibri" w:eastAsia="Times New Roman" w:hAnsi="Calibri" w:cs="Calibri"/>
          <w:kern w:val="0"/>
          <w14:ligatures w14:val="none"/>
        </w:rPr>
        <w:t xml:space="preserve"> In fields requiring strict adherence to frameworks like CJIS or NIST, compliance must be structural. To guarantee this, </w:t>
      </w:r>
      <w:r w:rsidRPr="00801D2C">
        <w:rPr>
          <w:rFonts w:ascii="Calibri" w:eastAsia="Times New Roman" w:hAnsi="Calibri" w:cs="Calibri"/>
          <w:b/>
          <w:bCs/>
          <w:kern w:val="0"/>
          <w14:ligatures w14:val="none"/>
        </w:rPr>
        <w:t xml:space="preserve">CJIS Security Policy, NIST 800-53, and Zero Trust concepts must be mapped directly to </w:t>
      </w:r>
      <w:r w:rsidRPr="00801D2C">
        <w:rPr>
          <w:rFonts w:ascii="Calibri" w:eastAsia="Times New Roman" w:hAnsi="Calibri" w:cs="Calibri"/>
          <w:b/>
          <w:bCs/>
          <w:kern w:val="0"/>
          <w:sz w:val="20"/>
          <w:szCs w:val="20"/>
          <w14:ligatures w14:val="none"/>
        </w:rPr>
        <w:t>Policy</w:t>
      </w:r>
      <w:r w:rsidRPr="00801D2C">
        <w:rPr>
          <w:rFonts w:ascii="Calibri" w:eastAsia="Times New Roman" w:hAnsi="Calibri" w:cs="Calibri"/>
          <w:b/>
          <w:bCs/>
          <w:kern w:val="0"/>
          <w14:ligatures w14:val="none"/>
        </w:rPr>
        <w:t xml:space="preserve"> entities</w:t>
      </w:r>
      <w:r w:rsidRPr="00801D2C">
        <w:rPr>
          <w:rFonts w:ascii="Calibri" w:eastAsia="Times New Roman" w:hAnsi="Calibri" w:cs="Calibri"/>
          <w:kern w:val="0"/>
          <w14:ligatures w14:val="none"/>
        </w:rPr>
        <w:t xml:space="preserve">. The platform actively generates a bidirectional Traceability Graph utilizing strict </w:t>
      </w:r>
      <w:r w:rsidRPr="00801D2C">
        <w:rPr>
          <w:rFonts w:ascii="Calibri" w:eastAsia="Times New Roman" w:hAnsi="Calibri" w:cs="Calibri"/>
          <w:b/>
          <w:bCs/>
          <w:kern w:val="0"/>
          <w14:ligatures w14:val="none"/>
        </w:rPr>
        <w:t xml:space="preserve">domain-specific nomenclature (e.g., </w:t>
      </w:r>
      <w:r w:rsidRPr="00801D2C">
        <w:rPr>
          <w:rFonts w:ascii="Calibri" w:eastAsia="Times New Roman" w:hAnsi="Calibri" w:cs="Calibri"/>
          <w:b/>
          <w:bCs/>
          <w:kern w:val="0"/>
          <w:sz w:val="20"/>
          <w:szCs w:val="20"/>
          <w14:ligatures w14:val="none"/>
        </w:rPr>
        <w:t>REQ-001</w:t>
      </w:r>
      <w:r w:rsidRPr="00801D2C">
        <w:rPr>
          <w:rFonts w:ascii="Calibri" w:eastAsia="Times New Roman" w:hAnsi="Calibri" w:cs="Calibri"/>
          <w:b/>
          <w:bCs/>
          <w:kern w:val="0"/>
          <w14:ligatures w14:val="none"/>
        </w:rPr>
        <w:t xml:space="preserve">, </w:t>
      </w:r>
      <w:r w:rsidRPr="00801D2C">
        <w:rPr>
          <w:rFonts w:ascii="Calibri" w:eastAsia="Times New Roman" w:hAnsi="Calibri" w:cs="Calibri"/>
          <w:b/>
          <w:bCs/>
          <w:kern w:val="0"/>
          <w:sz w:val="20"/>
          <w:szCs w:val="20"/>
          <w14:ligatures w14:val="none"/>
        </w:rPr>
        <w:t>ENT-NIEM-01</w:t>
      </w:r>
      <w:r w:rsidRPr="00801D2C">
        <w:rPr>
          <w:rFonts w:ascii="Calibri" w:eastAsia="Times New Roman" w:hAnsi="Calibri" w:cs="Calibri"/>
          <w:b/>
          <w:bCs/>
          <w:kern w:val="0"/>
          <w14:ligatures w14:val="none"/>
        </w:rPr>
        <w:t xml:space="preserve">, </w:t>
      </w:r>
      <w:r w:rsidRPr="00801D2C">
        <w:rPr>
          <w:rFonts w:ascii="Calibri" w:eastAsia="Times New Roman" w:hAnsi="Calibri" w:cs="Calibri"/>
          <w:b/>
          <w:bCs/>
          <w:kern w:val="0"/>
          <w:sz w:val="20"/>
          <w:szCs w:val="20"/>
          <w14:ligatures w14:val="none"/>
        </w:rPr>
        <w:t>POL-CJIS-001</w:t>
      </w:r>
      <w:r w:rsidRPr="00801D2C">
        <w:rPr>
          <w:rFonts w:ascii="Calibri" w:eastAsia="Times New Roman" w:hAnsi="Calibri" w:cs="Calibri"/>
          <w:b/>
          <w:bCs/>
          <w:kern w:val="0"/>
          <w14:ligatures w14:val="none"/>
        </w:rPr>
        <w:t>)</w:t>
      </w:r>
      <w:r w:rsidRPr="00801D2C">
        <w:rPr>
          <w:rFonts w:ascii="Calibri" w:eastAsia="Times New Roman" w:hAnsi="Calibri" w:cs="Calibri"/>
          <w:kern w:val="0"/>
          <w14:ligatures w14:val="none"/>
        </w:rPr>
        <w:t xml:space="preserve">. Crucially, the platform enforces </w:t>
      </w:r>
      <w:r w:rsidRPr="00801D2C">
        <w:rPr>
          <w:rFonts w:ascii="Calibri" w:eastAsia="Times New Roman" w:hAnsi="Calibri" w:cs="Calibri"/>
          <w:b/>
          <w:bCs/>
          <w:kern w:val="0"/>
          <w14:ligatures w14:val="none"/>
        </w:rPr>
        <w:t>Explicit Edge Creation</w:t>
      </w:r>
      <w:r w:rsidRPr="00801D2C">
        <w:rPr>
          <w:rFonts w:ascii="Calibri" w:eastAsia="Times New Roman" w:hAnsi="Calibri" w:cs="Calibri"/>
          <w:kern w:val="0"/>
          <w14:ligatures w14:val="none"/>
        </w:rPr>
        <w:t xml:space="preserve">: downstream entities must explicitly cross-reference the upstream entities they fulfill (e.g., a Validation rule </w:t>
      </w:r>
      <w:r w:rsidRPr="00801D2C">
        <w:rPr>
          <w:rFonts w:ascii="Calibri" w:eastAsia="Times New Roman" w:hAnsi="Calibri" w:cs="Calibri"/>
          <w:kern w:val="0"/>
          <w:sz w:val="20"/>
          <w:szCs w:val="20"/>
          <w14:ligatures w14:val="none"/>
        </w:rPr>
        <w:t>VAL-001</w:t>
      </w:r>
      <w:r w:rsidRPr="00801D2C">
        <w:rPr>
          <w:rFonts w:ascii="Calibri" w:eastAsia="Times New Roman" w:hAnsi="Calibri" w:cs="Calibri"/>
          <w:kern w:val="0"/>
          <w14:ligatures w14:val="none"/>
        </w:rPr>
        <w:t xml:space="preserve"> must explicitly cite the Policy </w:t>
      </w:r>
      <w:r w:rsidRPr="00801D2C">
        <w:rPr>
          <w:rFonts w:ascii="Calibri" w:eastAsia="Times New Roman" w:hAnsi="Calibri" w:cs="Calibri"/>
          <w:kern w:val="0"/>
          <w:sz w:val="20"/>
          <w:szCs w:val="20"/>
          <w14:ligatures w14:val="none"/>
        </w:rPr>
        <w:t>POL-CJIS-001</w:t>
      </w:r>
      <w:r w:rsidRPr="00801D2C">
        <w:rPr>
          <w:rFonts w:ascii="Calibri" w:eastAsia="Times New Roman" w:hAnsi="Calibri" w:cs="Calibri"/>
          <w:kern w:val="0"/>
          <w14:ligatures w14:val="none"/>
        </w:rPr>
        <w:t xml:space="preserve"> it deterministically verifies) to enable automated impact analysis. Furthermore, compliance standards are treated as rigorous constraints with strict tiers (</w:t>
      </w:r>
      <w:r w:rsidRPr="00801D2C">
        <w:rPr>
          <w:rFonts w:ascii="Calibri" w:eastAsia="Times New Roman" w:hAnsi="Calibri" w:cs="Calibri"/>
          <w:b/>
          <w:bCs/>
          <w:kern w:val="0"/>
          <w14:ligatures w14:val="none"/>
        </w:rPr>
        <w:t>Mandatory, Recommended, Optional</w:t>
      </w:r>
      <w:r w:rsidRPr="00801D2C">
        <w:rPr>
          <w:rFonts w:ascii="Calibri" w:eastAsia="Times New Roman" w:hAnsi="Calibri" w:cs="Calibri"/>
          <w:kern w:val="0"/>
          <w14:ligatures w14:val="none"/>
        </w:rPr>
        <w:t xml:space="preserve">). If standards conflict, the platform does not guess; it documents the conflict and flags it as an exception requiring human escalation, creating a mandatory </w:t>
      </w:r>
      <w:r w:rsidRPr="00801D2C">
        <w:rPr>
          <w:rFonts w:ascii="Calibri" w:eastAsia="Times New Roman" w:hAnsi="Calibri" w:cs="Calibri"/>
          <w:b/>
          <w:bCs/>
          <w:kern w:val="0"/>
          <w14:ligatures w14:val="none"/>
        </w:rPr>
        <w:t>Approval Gate</w:t>
      </w:r>
      <w:r w:rsidRPr="00801D2C">
        <w:rPr>
          <w:rFonts w:ascii="Calibri" w:eastAsia="Times New Roman" w:hAnsi="Calibri" w:cs="Calibri"/>
          <w:kern w:val="0"/>
          <w14:ligatures w14:val="none"/>
        </w:rPr>
        <w:t xml:space="preserve"> before execution can proceed.</w:t>
      </w:r>
    </w:p>
    <w:p w14:paraId="69B5F15B" w14:textId="77777777" w:rsidR="00CD338B" w:rsidRPr="00801D2C" w:rsidRDefault="00CD338B" w:rsidP="00045E82">
      <w:pPr>
        <w:numPr>
          <w:ilvl w:val="0"/>
          <w:numId w:val="34"/>
        </w:numPr>
        <w:spacing w:after="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For DevOps &amp; Infrastructure Engineers (OS and Deployment Targets):</w:t>
      </w:r>
      <w:r w:rsidRPr="00801D2C">
        <w:rPr>
          <w:rFonts w:ascii="Calibri" w:eastAsia="Times New Roman" w:hAnsi="Calibri" w:cs="Calibri"/>
          <w:kern w:val="0"/>
          <w14:ligatures w14:val="none"/>
        </w:rPr>
        <w:t xml:space="preserve"> Infrastructure teams require the flexibility to deploy anywhere. Every mandatory standard must be paired with </w:t>
      </w:r>
      <w:r w:rsidRPr="00801D2C">
        <w:rPr>
          <w:rFonts w:ascii="Calibri" w:eastAsia="Times New Roman" w:hAnsi="Calibri" w:cs="Calibri"/>
          <w:b/>
          <w:bCs/>
          <w:kern w:val="0"/>
          <w14:ligatures w14:val="none"/>
        </w:rPr>
        <w:t>Tool-Mapped Deterministic Validation Criteria</w:t>
      </w:r>
      <w:r w:rsidRPr="00801D2C">
        <w:rPr>
          <w:rFonts w:ascii="Calibri" w:eastAsia="Times New Roman" w:hAnsi="Calibri" w:cs="Calibri"/>
          <w:kern w:val="0"/>
          <w14:ligatures w14:val="none"/>
        </w:rPr>
        <w:t xml:space="preserve">, dictating exactly how the runtime will test and repair the generated code using deterministic scanners. For instance, a NIEM data requirement must be explicitly mapped to a "Schema Validation Plugin," or a CJIS policy to a "Static Analysis Security Scanner". To ensure autonomous operations do not execute prematurely, the Test Generator agent and deterministic tools are only authorized to initiate autonomous construction </w:t>
      </w:r>
      <w:r w:rsidRPr="00801D2C">
        <w:rPr>
          <w:rFonts w:ascii="Calibri" w:eastAsia="Times New Roman" w:hAnsi="Calibri" w:cs="Calibri"/>
          <w:i/>
          <w:iCs/>
          <w:kern w:val="0"/>
          <w14:ligatures w14:val="none"/>
        </w:rPr>
        <w:t>after</w:t>
      </w:r>
      <w:r w:rsidRPr="00801D2C">
        <w:rPr>
          <w:rFonts w:ascii="Calibri" w:eastAsia="Times New Roman" w:hAnsi="Calibri" w:cs="Calibri"/>
          <w:kern w:val="0"/>
          <w14:ligatures w14:val="none"/>
        </w:rPr>
        <w:t xml:space="preserve"> the blueprint passes explicit human Approval Gates and is committed to a </w:t>
      </w:r>
      <w:r w:rsidRPr="00801D2C">
        <w:rPr>
          <w:rFonts w:ascii="Calibri" w:eastAsia="Times New Roman" w:hAnsi="Calibri" w:cs="Calibri"/>
          <w:b/>
          <w:bCs/>
          <w:kern w:val="0"/>
          <w14:ligatures w14:val="none"/>
        </w:rPr>
        <w:t>version-controlled Artifact Repository</w:t>
      </w:r>
      <w:r w:rsidRPr="00801D2C">
        <w:rPr>
          <w:rFonts w:ascii="Calibri" w:eastAsia="Times New Roman" w:hAnsi="Calibri" w:cs="Calibri"/>
          <w:kern w:val="0"/>
          <w14:ligatures w14:val="none"/>
        </w:rPr>
        <w:t>. This formal commit establishes the authoritative baseline before the Planning Engine and Agent Orchestrator are allowed to begin building, ensuring all historical reasoning and execution context is safely preserved within the platform's State and Memory Model.</w:t>
      </w:r>
    </w:p>
    <w:p w14:paraId="2381EF7D" w14:textId="77777777" w:rsidR="00CD338B" w:rsidRPr="00801D2C" w:rsidRDefault="00CD338B" w:rsidP="00832044">
      <w:pPr>
        <w:spacing w:before="120" w:after="0" w:line="240" w:lineRule="auto"/>
        <w:rPr>
          <w:rFonts w:ascii="Calibri" w:eastAsia="Times New Roman" w:hAnsi="Calibri" w:cs="Calibri"/>
          <w:b/>
          <w:bCs/>
          <w:kern w:val="0"/>
          <w14:ligatures w14:val="none"/>
        </w:rPr>
      </w:pPr>
    </w:p>
    <w:p w14:paraId="4F72CA9B" w14:textId="77777777" w:rsidR="00045E82" w:rsidRPr="00801D2C" w:rsidRDefault="00FD3097" w:rsidP="00045E82">
      <w:pPr>
        <w:pStyle w:val="Heading1"/>
        <w:rPr>
          <w:rFonts w:ascii="Calibri" w:hAnsi="Calibri" w:cs="Calibri"/>
        </w:rPr>
      </w:pPr>
      <w:r w:rsidRPr="00801D2C">
        <w:rPr>
          <w:rFonts w:ascii="Calibri" w:hAnsi="Calibri" w:cs="Calibri"/>
        </w:rPr>
        <w:t>Flexible, Extensible, and Future-Proof</w:t>
      </w:r>
    </w:p>
    <w:p w14:paraId="4A2AE3E5" w14:textId="05740865" w:rsidR="00FD3097" w:rsidRPr="00801D2C" w:rsidRDefault="00FD3097" w:rsidP="00045E82">
      <w:pPr>
        <w:pStyle w:val="Heading2"/>
        <w:rPr>
          <w:rFonts w:ascii="Calibri" w:hAnsi="Calibri" w:cs="Calibri"/>
        </w:rPr>
      </w:pPr>
      <w:r w:rsidRPr="00801D2C">
        <w:rPr>
          <w:rFonts w:ascii="Calibri" w:hAnsi="Calibri" w:cs="Calibri"/>
        </w:rPr>
        <w:t>Architecting for Universal Construction Through MACS-Optimized Protocols</w:t>
      </w:r>
    </w:p>
    <w:p w14:paraId="6A75AA0C" w14:textId="77777777" w:rsidR="00FD3097" w:rsidRPr="00801D2C" w:rsidRDefault="00FD3097" w:rsidP="00045E82">
      <w:pPr>
        <w:spacing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The promise of targeting any arbitrary domain is only possible because ALETHEIA enforces strict architectural boundaries that decouple the core autonomous orchestration engine from the rapidly evolving external technology landscape. By combining a rigorously normalized, executable ISL Blueprint with robust abstraction layers, the platform delivers enterprise-grade flexibility across any SDLC project.</w:t>
      </w:r>
    </w:p>
    <w:p w14:paraId="3F0970BE" w14:textId="77777777" w:rsidR="00FD3097" w:rsidRPr="00801D2C" w:rsidRDefault="00FD3097" w:rsidP="00045E82">
      <w:pPr>
        <w:spacing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lastRenderedPageBreak/>
        <w:t>To ensure the system can adapt continuously without breaking, and to prevent the platform from acting as a generic coding assistant, this extensibility is structured across four formally governed pillars optimized for the Minimal Autonomous Construction System (MACS):</w:t>
      </w:r>
    </w:p>
    <w:p w14:paraId="6836EF74" w14:textId="77777777" w:rsidR="00FD3097" w:rsidRPr="00801D2C" w:rsidRDefault="00FD3097" w:rsidP="00045E82">
      <w:pPr>
        <w:spacing w:after="12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1. Cognitive Abstraction: Format Constraints &amp; The Agent Roster</w:t>
      </w:r>
      <w:r w:rsidRPr="00801D2C">
        <w:rPr>
          <w:rFonts w:ascii="Calibri" w:eastAsia="Times New Roman" w:hAnsi="Calibri" w:cs="Calibri"/>
          <w:kern w:val="0"/>
          <w14:ligatures w14:val="none"/>
        </w:rPr>
        <w:t xml:space="preserve"> To support diverse domains, the platform abandons informal, free-form AI chat entirely. Instead, initiation requires a formal </w:t>
      </w:r>
      <w:r w:rsidRPr="00801D2C">
        <w:rPr>
          <w:rFonts w:ascii="Calibri" w:eastAsia="Times New Roman" w:hAnsi="Calibri" w:cs="Calibri"/>
          <w:b/>
          <w:bCs/>
          <w:kern w:val="0"/>
          <w14:ligatures w14:val="none"/>
        </w:rPr>
        <w:t>Structured Transaction Payload</w:t>
      </w:r>
      <w:r w:rsidRPr="00801D2C">
        <w:rPr>
          <w:rFonts w:ascii="Calibri" w:eastAsia="Times New Roman" w:hAnsi="Calibri" w:cs="Calibri"/>
          <w:kern w:val="0"/>
          <w14:ligatures w14:val="none"/>
        </w:rPr>
        <w:t xml:space="preserve"> utilizing YAML-style frontmatter for metadata followed by exact markdown headers:</w:t>
      </w:r>
    </w:p>
    <w:p w14:paraId="1E8D2B74"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w:t>
      </w:r>
    </w:p>
    <w:p w14:paraId="28C8D3B7"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TRANSACTION_ID: TASK-SPEC-INIT-001</w:t>
      </w:r>
    </w:p>
    <w:p w14:paraId="3B6ECD67"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AGENT_ROLES: [Specification Interpreter, Architecture Planner, Security Validator, Test Generator]</w:t>
      </w:r>
    </w:p>
    <w:p w14:paraId="24CAAB8E"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TARGET_ARCHITECTURE: Minimal Autonomous Construction System (MACS) .NET REST Service</w:t>
      </w:r>
    </w:p>
    <w:p w14:paraId="0E2436D6"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w:t>
      </w:r>
    </w:p>
    <w:p w14:paraId="1E5877D3"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 CONTEXT ASSEMBLY:</w:t>
      </w:r>
    </w:p>
    <w:p w14:paraId="42F9A973"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 OPERATIONAL CONSTRAINTS:</w:t>
      </w:r>
    </w:p>
    <w:p w14:paraId="7EE68BC5" w14:textId="77777777" w:rsidR="00FD3097" w:rsidRPr="00801D2C" w:rsidRDefault="00FD3097" w:rsidP="00FD309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libri" w:eastAsia="Times New Roman" w:hAnsi="Calibri" w:cs="Calibri"/>
          <w:kern w:val="0"/>
          <w:sz w:val="20"/>
          <w:szCs w:val="20"/>
          <w14:ligatures w14:val="none"/>
        </w:rPr>
      </w:pPr>
      <w:r w:rsidRPr="00801D2C">
        <w:rPr>
          <w:rFonts w:ascii="Calibri" w:eastAsia="Times New Roman" w:hAnsi="Calibri" w:cs="Calibri"/>
          <w:kern w:val="0"/>
          <w:sz w:val="20"/>
          <w:szCs w:val="20"/>
          <w14:ligatures w14:val="none"/>
        </w:rPr>
        <w:t># OUTPUT CONTRACT:</w:t>
      </w:r>
    </w:p>
    <w:p w14:paraId="6D8D1374"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This active payload restricts the Agent Orchestrator to coordinating a specific roster of agents exclusively through </w:t>
      </w:r>
      <w:r w:rsidRPr="00801D2C">
        <w:rPr>
          <w:rFonts w:ascii="Calibri" w:eastAsia="Times New Roman" w:hAnsi="Calibri" w:cs="Calibri"/>
          <w:b/>
          <w:bCs/>
          <w:kern w:val="0"/>
          <w14:ligatures w14:val="none"/>
        </w:rPr>
        <w:t>Structured Reasoning Transactions</w:t>
      </w:r>
      <w:r w:rsidRPr="00801D2C">
        <w:rPr>
          <w:rFonts w:ascii="Calibri" w:eastAsia="Times New Roman" w:hAnsi="Calibri" w:cs="Calibri"/>
          <w:kern w:val="0"/>
          <w14:ligatures w14:val="none"/>
        </w:rPr>
        <w:t xml:space="preserve">. Crucially, the </w:t>
      </w:r>
      <w:r w:rsidRPr="00801D2C">
        <w:rPr>
          <w:rFonts w:ascii="Calibri" w:eastAsia="Times New Roman" w:hAnsi="Calibri" w:cs="Calibri"/>
          <w:b/>
          <w:bCs/>
          <w:kern w:val="0"/>
          <w14:ligatures w14:val="none"/>
        </w:rPr>
        <w:t>Dual-Audience Requirement</w:t>
      </w:r>
      <w:r w:rsidRPr="00801D2C">
        <w:rPr>
          <w:rFonts w:ascii="Calibri" w:eastAsia="Times New Roman" w:hAnsi="Calibri" w:cs="Calibri"/>
          <w:kern w:val="0"/>
          <w14:ligatures w14:val="none"/>
        </w:rPr>
        <w:t xml:space="preserve"> mandates that outputs are readable by </w:t>
      </w:r>
      <w:r w:rsidRPr="00801D2C">
        <w:rPr>
          <w:rFonts w:ascii="Calibri" w:eastAsia="Times New Roman" w:hAnsi="Calibri" w:cs="Calibri"/>
          <w:b/>
          <w:bCs/>
          <w:kern w:val="0"/>
          <w14:ligatures w14:val="none"/>
        </w:rPr>
        <w:t>Human Governance Roles</w:t>
      </w:r>
      <w:r w:rsidRPr="00801D2C">
        <w:rPr>
          <w:rFonts w:ascii="Calibri" w:eastAsia="Times New Roman" w:hAnsi="Calibri" w:cs="Calibri"/>
          <w:kern w:val="0"/>
          <w14:ligatures w14:val="none"/>
        </w:rPr>
        <w:t xml:space="preserve"> (such as IT Architects, Security Validators, and </w:t>
      </w:r>
      <w:r w:rsidRPr="00801D2C">
        <w:rPr>
          <w:rFonts w:ascii="Calibri" w:eastAsia="Times New Roman" w:hAnsi="Calibri" w:cs="Calibri"/>
          <w:b/>
          <w:bCs/>
          <w:kern w:val="0"/>
          <w14:ligatures w14:val="none"/>
        </w:rPr>
        <w:t>Court Auditors</w:t>
      </w:r>
      <w:r w:rsidRPr="00801D2C">
        <w:rPr>
          <w:rFonts w:ascii="Calibri" w:eastAsia="Times New Roman" w:hAnsi="Calibri" w:cs="Calibri"/>
          <w:kern w:val="0"/>
          <w14:ligatures w14:val="none"/>
        </w:rPr>
        <w:t xml:space="preserve">) while remaining strictly formatted for programmatic parsing. This enforces rigid </w:t>
      </w:r>
      <w:r w:rsidRPr="00801D2C">
        <w:rPr>
          <w:rFonts w:ascii="Calibri" w:eastAsia="Times New Roman" w:hAnsi="Calibri" w:cs="Calibri"/>
          <w:b/>
          <w:bCs/>
          <w:kern w:val="0"/>
          <w14:ligatures w14:val="none"/>
        </w:rPr>
        <w:t>Format Constraints</w:t>
      </w:r>
      <w:r w:rsidRPr="00801D2C">
        <w:rPr>
          <w:rFonts w:ascii="Calibri" w:eastAsia="Times New Roman" w:hAnsi="Calibri" w:cs="Calibri"/>
          <w:kern w:val="0"/>
          <w14:ligatures w14:val="none"/>
        </w:rPr>
        <w:t xml:space="preserve">: agents must force all generated responses into strict </w:t>
      </w:r>
      <w:r w:rsidRPr="00801D2C">
        <w:rPr>
          <w:rFonts w:ascii="Calibri" w:eastAsia="Times New Roman" w:hAnsi="Calibri" w:cs="Calibri"/>
          <w:b/>
          <w:bCs/>
          <w:kern w:val="0"/>
          <w14:ligatures w14:val="none"/>
        </w:rPr>
        <w:t>Markdown, JSON, or YAML formats, absolutely prohibiting conversational preambles, acknowledgments, or concluding remarks</w:t>
      </w:r>
      <w:r w:rsidRPr="00801D2C">
        <w:rPr>
          <w:rFonts w:ascii="Calibri" w:eastAsia="Times New Roman" w:hAnsi="Calibri" w:cs="Calibri"/>
          <w:kern w:val="0"/>
          <w14:ligatures w14:val="none"/>
        </w:rPr>
        <w:t>.</w:t>
      </w:r>
    </w:p>
    <w:p w14:paraId="583031F7"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To satisfy these constraints, agents engage in </w:t>
      </w:r>
      <w:r w:rsidRPr="00801D2C">
        <w:rPr>
          <w:rFonts w:ascii="Calibri" w:eastAsia="Times New Roman" w:hAnsi="Calibri" w:cs="Calibri"/>
          <w:b/>
          <w:bCs/>
          <w:kern w:val="0"/>
          <w14:ligatures w14:val="none"/>
        </w:rPr>
        <w:t>Advisory Collaboration</w:t>
      </w:r>
      <w:r w:rsidRPr="00801D2C">
        <w:rPr>
          <w:rFonts w:ascii="Calibri" w:eastAsia="Times New Roman" w:hAnsi="Calibri" w:cs="Calibri"/>
          <w:kern w:val="0"/>
          <w14:ligatures w14:val="none"/>
        </w:rPr>
        <w:t xml:space="preserve"> by proactively suggesting missing canonical elements using structured bulleted lists. To protect the Specification Engine's parser, inline questions are strictly prohibited; agents are </w:t>
      </w:r>
      <w:r w:rsidRPr="00801D2C">
        <w:rPr>
          <w:rFonts w:ascii="Calibri" w:eastAsia="Times New Roman" w:hAnsi="Calibri" w:cs="Calibri"/>
          <w:b/>
          <w:bCs/>
          <w:kern w:val="0"/>
          <w14:ligatures w14:val="none"/>
        </w:rPr>
        <w:t>only permitted to ask questions when mandatory jurisdictional boundaries, compliance standards, or deterministic validation rules are ambiguous</w:t>
      </w:r>
      <w:r w:rsidRPr="00801D2C">
        <w:rPr>
          <w:rFonts w:ascii="Calibri" w:eastAsia="Times New Roman" w:hAnsi="Calibri" w:cs="Calibri"/>
          <w:kern w:val="0"/>
          <w14:ligatures w14:val="none"/>
        </w:rPr>
        <w:t xml:space="preserve">. When these explicit triggers are met, any necessary inquiries must be placed in a strictly formatted </w:t>
      </w:r>
      <w:r w:rsidRPr="00801D2C">
        <w:rPr>
          <w:rFonts w:ascii="Calibri" w:eastAsia="Times New Roman" w:hAnsi="Calibri" w:cs="Calibri"/>
          <w:kern w:val="0"/>
          <w:sz w:val="20"/>
          <w:szCs w:val="20"/>
          <w14:ligatures w14:val="none"/>
        </w:rPr>
        <w:t>### CLARIFICATIONS REQUIRED</w:t>
      </w:r>
      <w:r w:rsidRPr="00801D2C">
        <w:rPr>
          <w:rFonts w:ascii="Calibri" w:eastAsia="Times New Roman" w:hAnsi="Calibri" w:cs="Calibri"/>
          <w:kern w:val="0"/>
          <w14:ligatures w14:val="none"/>
        </w:rPr>
        <w:t xml:space="preserve"> markdown block appended </w:t>
      </w:r>
      <w:r w:rsidRPr="00801D2C">
        <w:rPr>
          <w:rFonts w:ascii="Calibri" w:eastAsia="Times New Roman" w:hAnsi="Calibri" w:cs="Calibri"/>
          <w:b/>
          <w:bCs/>
          <w:kern w:val="0"/>
          <w14:ligatures w14:val="none"/>
        </w:rPr>
        <w:t>at the very end of the document</w:t>
      </w:r>
      <w:r w:rsidRPr="00801D2C">
        <w:rPr>
          <w:rFonts w:ascii="Calibri" w:eastAsia="Times New Roman" w:hAnsi="Calibri" w:cs="Calibri"/>
          <w:kern w:val="0"/>
          <w14:ligatures w14:val="none"/>
        </w:rPr>
        <w:t>.</w:t>
      </w:r>
    </w:p>
    <w:p w14:paraId="4BF9AF11"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2. Deterministic Validation: Explicit Tool-Mapping &amp; Exception Escalation</w:t>
      </w:r>
      <w:r w:rsidRPr="00801D2C">
        <w:rPr>
          <w:rFonts w:ascii="Calibri" w:eastAsia="Times New Roman" w:hAnsi="Calibri" w:cs="Calibri"/>
          <w:kern w:val="0"/>
          <w14:ligatures w14:val="none"/>
        </w:rPr>
        <w:t xml:space="preserve"> While the specific roster of agents generates the implementation, the platform relies on the Tool Plugin Architecture for objective verification. Every mandatory domain standard within the specification must be paired with </w:t>
      </w:r>
      <w:r w:rsidRPr="00801D2C">
        <w:rPr>
          <w:rFonts w:ascii="Calibri" w:eastAsia="Times New Roman" w:hAnsi="Calibri" w:cs="Calibri"/>
          <w:b/>
          <w:bCs/>
          <w:kern w:val="0"/>
          <w14:ligatures w14:val="none"/>
        </w:rPr>
        <w:t>Tool-Mapped Deterministic Validation Criteria</w:t>
      </w:r>
      <w:r w:rsidRPr="00801D2C">
        <w:rPr>
          <w:rFonts w:ascii="Calibri" w:eastAsia="Times New Roman" w:hAnsi="Calibri" w:cs="Calibri"/>
          <w:kern w:val="0"/>
          <w14:ligatures w14:val="none"/>
        </w:rPr>
        <w:t xml:space="preserve"> that explicitly scope in </w:t>
      </w:r>
      <w:r w:rsidRPr="00801D2C">
        <w:rPr>
          <w:rFonts w:ascii="Calibri" w:eastAsia="Times New Roman" w:hAnsi="Calibri" w:cs="Calibri"/>
          <w:b/>
          <w:bCs/>
          <w:kern w:val="0"/>
          <w14:ligatures w14:val="none"/>
        </w:rPr>
        <w:t>automated test scenarios and performance benchmarks</w:t>
      </w:r>
      <w:r w:rsidRPr="00801D2C">
        <w:rPr>
          <w:rFonts w:ascii="Calibri" w:eastAsia="Times New Roman" w:hAnsi="Calibri" w:cs="Calibri"/>
          <w:kern w:val="0"/>
          <w14:ligatures w14:val="none"/>
        </w:rPr>
        <w:t xml:space="preserve">. To guarantee verification, the platform requires </w:t>
      </w:r>
      <w:r w:rsidRPr="00801D2C">
        <w:rPr>
          <w:rFonts w:ascii="Calibri" w:eastAsia="Times New Roman" w:hAnsi="Calibri" w:cs="Calibri"/>
          <w:b/>
          <w:bCs/>
          <w:kern w:val="0"/>
          <w14:ligatures w14:val="none"/>
        </w:rPr>
        <w:t>Explicit Tool-Mapping Examples</w:t>
      </w:r>
      <w:r w:rsidRPr="00801D2C">
        <w:rPr>
          <w:rFonts w:ascii="Calibri" w:eastAsia="Times New Roman" w:hAnsi="Calibri" w:cs="Calibri"/>
          <w:kern w:val="0"/>
          <w14:ligatures w14:val="none"/>
        </w:rPr>
        <w:t xml:space="preserve"> within the blueprint: for instance, explicitly stating that a NIEM data requirement is verified via a "Schema Validation Plugin," or that CJIS data encryption is verified via a "Static Analysis Security Scanner".</w:t>
      </w:r>
    </w:p>
    <w:p w14:paraId="44BDECF4"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Compliance standards are treated as rigorous constraints that must be formatted explicitly as </w:t>
      </w:r>
      <w:proofErr w:type="spellStart"/>
      <w:r w:rsidRPr="00801D2C">
        <w:rPr>
          <w:rFonts w:ascii="Calibri" w:eastAsia="Times New Roman" w:hAnsi="Calibri" w:cs="Calibri"/>
          <w:b/>
          <w:bCs/>
          <w:kern w:val="0"/>
          <w14:ligatures w14:val="none"/>
        </w:rPr>
        <w:t>parseable</w:t>
      </w:r>
      <w:proofErr w:type="spellEnd"/>
      <w:r w:rsidRPr="00801D2C">
        <w:rPr>
          <w:rFonts w:ascii="Calibri" w:eastAsia="Times New Roman" w:hAnsi="Calibri" w:cs="Calibri"/>
          <w:b/>
          <w:bCs/>
          <w:kern w:val="0"/>
          <w14:ligatures w14:val="none"/>
        </w:rPr>
        <w:t xml:space="preserve"> attributes (Mandatory, Recommended, Optional)</w:t>
      </w:r>
      <w:r w:rsidRPr="00801D2C">
        <w:rPr>
          <w:rFonts w:ascii="Calibri" w:eastAsia="Times New Roman" w:hAnsi="Calibri" w:cs="Calibri"/>
          <w:kern w:val="0"/>
          <w14:ligatures w14:val="none"/>
        </w:rPr>
        <w:t xml:space="preserve">. This exact formatting ensures the Planning Engine knows exactly which specific policies will block autonomous execution if they are violated. If these standards conflict, the platform does not guess; it flags the conflict as an exception requiring human escalation, creating a mandatory </w:t>
      </w:r>
      <w:r w:rsidRPr="00801D2C">
        <w:rPr>
          <w:rFonts w:ascii="Calibri" w:eastAsia="Times New Roman" w:hAnsi="Calibri" w:cs="Calibri"/>
          <w:b/>
          <w:bCs/>
          <w:kern w:val="0"/>
          <w14:ligatures w14:val="none"/>
        </w:rPr>
        <w:t>Approval Gate</w:t>
      </w:r>
      <w:r w:rsidRPr="00801D2C">
        <w:rPr>
          <w:rFonts w:ascii="Calibri" w:eastAsia="Times New Roman" w:hAnsi="Calibri" w:cs="Calibri"/>
          <w:kern w:val="0"/>
          <w14:ligatures w14:val="none"/>
        </w:rPr>
        <w:t xml:space="preserve"> before execution can proceed.</w:t>
      </w:r>
    </w:p>
    <w:p w14:paraId="453814F2"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lastRenderedPageBreak/>
        <w:t>3. Structural Adaptability: Canonical Normalization &amp; Prohibited Artifacts</w:t>
      </w:r>
      <w:r w:rsidRPr="00801D2C">
        <w:rPr>
          <w:rFonts w:ascii="Calibri" w:eastAsia="Times New Roman" w:hAnsi="Calibri" w:cs="Calibri"/>
          <w:kern w:val="0"/>
          <w14:ligatures w14:val="none"/>
        </w:rPr>
        <w:t xml:space="preserve"> To ensure ALETHEIA acts as a universal construction engine, the executable ISL Blueprint is parsed into the Canonical Semantic Model using </w:t>
      </w:r>
      <w:r w:rsidRPr="00801D2C">
        <w:rPr>
          <w:rFonts w:ascii="Calibri" w:eastAsia="Times New Roman" w:hAnsi="Calibri" w:cs="Calibri"/>
          <w:b/>
          <w:bCs/>
          <w:kern w:val="0"/>
          <w14:ligatures w14:val="none"/>
        </w:rPr>
        <w:t>Strict Entity Demarcation</w:t>
      </w:r>
      <w:r w:rsidRPr="00801D2C">
        <w:rPr>
          <w:rFonts w:ascii="Calibri" w:eastAsia="Times New Roman" w:hAnsi="Calibri" w:cs="Calibri"/>
          <w:kern w:val="0"/>
          <w14:ligatures w14:val="none"/>
        </w:rPr>
        <w:t xml:space="preserve">. The agents map specifications directly to the </w:t>
      </w:r>
      <w:r w:rsidRPr="00801D2C">
        <w:rPr>
          <w:rFonts w:ascii="Calibri" w:eastAsia="Times New Roman" w:hAnsi="Calibri" w:cs="Calibri"/>
          <w:b/>
          <w:bCs/>
          <w:kern w:val="0"/>
          <w14:ligatures w14:val="none"/>
        </w:rPr>
        <w:t>13 exact, singular canonical entity names</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Project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Context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Stakeholder</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Actor</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Capability</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Requirement</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Service</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Interface</w:t>
      </w:r>
      <w:r w:rsidRPr="00801D2C">
        <w:rPr>
          <w:rFonts w:ascii="Calibri" w:eastAsia="Times New Roman" w:hAnsi="Calibri" w:cs="Calibri"/>
          <w:kern w:val="0"/>
          <w14:ligatures w14:val="none"/>
        </w:rPr>
        <w:t xml:space="preserve">, </w:t>
      </w:r>
      <w:proofErr w:type="spellStart"/>
      <w:r w:rsidRPr="00801D2C">
        <w:rPr>
          <w:rFonts w:ascii="Calibri" w:eastAsia="Times New Roman" w:hAnsi="Calibri" w:cs="Calibri"/>
          <w:kern w:val="0"/>
          <w:sz w:val="20"/>
          <w:szCs w:val="20"/>
          <w14:ligatures w14:val="none"/>
        </w:rPr>
        <w:t>DataEntity</w:t>
      </w:r>
      <w:proofErr w:type="spellEnd"/>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Workflow</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Policy</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Infrastructure</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Validation</w:t>
      </w:r>
      <w:r w:rsidRPr="00801D2C">
        <w:rPr>
          <w:rFonts w:ascii="Calibri" w:eastAsia="Times New Roman" w:hAnsi="Calibri" w:cs="Calibri"/>
          <w:kern w:val="0"/>
          <w14:ligatures w14:val="none"/>
        </w:rPr>
        <w:t>) via distinct sub-headers or YAML frontmatter blocks.</w:t>
      </w:r>
    </w:p>
    <w:p w14:paraId="13886C9F"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kern w:val="0"/>
          <w14:ligatures w14:val="none"/>
        </w:rPr>
        <w:t xml:space="preserve">To prevent scope drift and maintain pure architectural focus, this pillar explicitly enforces </w:t>
      </w:r>
      <w:r w:rsidRPr="00801D2C">
        <w:rPr>
          <w:rFonts w:ascii="Calibri" w:eastAsia="Times New Roman" w:hAnsi="Calibri" w:cs="Calibri"/>
          <w:b/>
          <w:bCs/>
          <w:kern w:val="0"/>
          <w14:ligatures w14:val="none"/>
        </w:rPr>
        <w:t>Prohibited Artifacts</w:t>
      </w:r>
      <w:r w:rsidRPr="00801D2C">
        <w:rPr>
          <w:rFonts w:ascii="Calibri" w:eastAsia="Times New Roman" w:hAnsi="Calibri" w:cs="Calibri"/>
          <w:kern w:val="0"/>
          <w14:ligatures w14:val="none"/>
        </w:rPr>
        <w:t>: the platform strictly prohibits the generation of UI mockups, manual code snippets, or vendor-specific solutions within the specification phase. The architectural intent is isolated, leaving implementation mechanics entirely to the downstream Execution Runtime.</w:t>
      </w:r>
    </w:p>
    <w:p w14:paraId="73BBC808" w14:textId="77777777" w:rsidR="00FD3097" w:rsidRPr="00801D2C" w:rsidRDefault="00FD3097" w:rsidP="00045E82">
      <w:pPr>
        <w:spacing w:before="120" w:after="120"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4. Safe Evolution: The 4-Stage Readiness Lifecycle &amp; Automated Repair</w:t>
      </w:r>
      <w:r w:rsidRPr="00801D2C">
        <w:rPr>
          <w:rFonts w:ascii="Calibri" w:eastAsia="Times New Roman" w:hAnsi="Calibri" w:cs="Calibri"/>
          <w:kern w:val="0"/>
          <w14:ligatures w14:val="none"/>
        </w:rPr>
        <w:t xml:space="preserve"> Limitless flexibility introduces the risk of system fragmentation. To prevent this, the platform actively generates a bidirectional </w:t>
      </w:r>
      <w:r w:rsidRPr="00801D2C">
        <w:rPr>
          <w:rFonts w:ascii="Calibri" w:eastAsia="Times New Roman" w:hAnsi="Calibri" w:cs="Calibri"/>
          <w:b/>
          <w:bCs/>
          <w:kern w:val="0"/>
          <w14:ligatures w14:val="none"/>
        </w:rPr>
        <w:t>Traceability Graph</w:t>
      </w:r>
      <w:r w:rsidRPr="00801D2C">
        <w:rPr>
          <w:rFonts w:ascii="Calibri" w:eastAsia="Times New Roman" w:hAnsi="Calibri" w:cs="Calibri"/>
          <w:kern w:val="0"/>
          <w14:ligatures w14:val="none"/>
        </w:rPr>
        <w:t xml:space="preserve"> utilizing strict domain-specific nomenclature (e.g., </w:t>
      </w:r>
      <w:r w:rsidRPr="00801D2C">
        <w:rPr>
          <w:rFonts w:ascii="Calibri" w:eastAsia="Times New Roman" w:hAnsi="Calibri" w:cs="Calibri"/>
          <w:kern w:val="0"/>
          <w:sz w:val="20"/>
          <w:szCs w:val="20"/>
          <w14:ligatures w14:val="none"/>
        </w:rPr>
        <w:t>REQ-001</w:t>
      </w:r>
      <w:r w:rsidRPr="00801D2C">
        <w:rPr>
          <w:rFonts w:ascii="Calibri" w:eastAsia="Times New Roman" w:hAnsi="Calibri" w:cs="Calibri"/>
          <w:kern w:val="0"/>
          <w14:ligatures w14:val="none"/>
        </w:rPr>
        <w:t xml:space="preserve">, </w:t>
      </w:r>
      <w:r w:rsidRPr="00801D2C">
        <w:rPr>
          <w:rFonts w:ascii="Calibri" w:eastAsia="Times New Roman" w:hAnsi="Calibri" w:cs="Calibri"/>
          <w:kern w:val="0"/>
          <w:sz w:val="20"/>
          <w:szCs w:val="20"/>
          <w14:ligatures w14:val="none"/>
        </w:rPr>
        <w:t>SRV-INTAKE-01</w:t>
      </w:r>
      <w:r w:rsidRPr="00801D2C">
        <w:rPr>
          <w:rFonts w:ascii="Calibri" w:eastAsia="Times New Roman" w:hAnsi="Calibri" w:cs="Calibri"/>
          <w:kern w:val="0"/>
          <w14:ligatures w14:val="none"/>
        </w:rPr>
        <w:t xml:space="preserve">) and enforces </w:t>
      </w:r>
      <w:r w:rsidRPr="00801D2C">
        <w:rPr>
          <w:rFonts w:ascii="Calibri" w:eastAsia="Times New Roman" w:hAnsi="Calibri" w:cs="Calibri"/>
          <w:b/>
          <w:bCs/>
          <w:kern w:val="0"/>
          <w14:ligatures w14:val="none"/>
        </w:rPr>
        <w:t>Explicit Edge Creation</w:t>
      </w:r>
      <w:r w:rsidRPr="00801D2C">
        <w:rPr>
          <w:rFonts w:ascii="Calibri" w:eastAsia="Times New Roman" w:hAnsi="Calibri" w:cs="Calibri"/>
          <w:kern w:val="0"/>
          <w14:ligatures w14:val="none"/>
        </w:rPr>
        <w:t xml:space="preserve">, demanding that downstream entities (like </w:t>
      </w:r>
      <w:r w:rsidRPr="00801D2C">
        <w:rPr>
          <w:rFonts w:ascii="Calibri" w:eastAsia="Times New Roman" w:hAnsi="Calibri" w:cs="Calibri"/>
          <w:kern w:val="0"/>
          <w:sz w:val="20"/>
          <w:szCs w:val="20"/>
          <w14:ligatures w14:val="none"/>
        </w:rPr>
        <w:t>VAL-001</w:t>
      </w:r>
      <w:r w:rsidRPr="00801D2C">
        <w:rPr>
          <w:rFonts w:ascii="Calibri" w:eastAsia="Times New Roman" w:hAnsi="Calibri" w:cs="Calibri"/>
          <w:kern w:val="0"/>
          <w14:ligatures w14:val="none"/>
        </w:rPr>
        <w:t xml:space="preserve">) explicitly cross-reference the upstream entities (like </w:t>
      </w:r>
      <w:r w:rsidRPr="00801D2C">
        <w:rPr>
          <w:rFonts w:ascii="Calibri" w:eastAsia="Times New Roman" w:hAnsi="Calibri" w:cs="Calibri"/>
          <w:b/>
          <w:bCs/>
          <w:kern w:val="0"/>
          <w:sz w:val="20"/>
          <w:szCs w:val="20"/>
          <w14:ligatures w14:val="none"/>
        </w:rPr>
        <w:t>POL-CJIS-001</w:t>
      </w:r>
      <w:r w:rsidRPr="00801D2C">
        <w:rPr>
          <w:rFonts w:ascii="Calibri" w:eastAsia="Times New Roman" w:hAnsi="Calibri" w:cs="Calibri"/>
          <w:kern w:val="0"/>
          <w14:ligatures w14:val="none"/>
        </w:rPr>
        <w:t xml:space="preserve"> or </w:t>
      </w:r>
      <w:r w:rsidRPr="00801D2C">
        <w:rPr>
          <w:rFonts w:ascii="Calibri" w:eastAsia="Times New Roman" w:hAnsi="Calibri" w:cs="Calibri"/>
          <w:b/>
          <w:bCs/>
          <w:kern w:val="0"/>
          <w:sz w:val="20"/>
          <w:szCs w:val="20"/>
          <w14:ligatures w14:val="none"/>
        </w:rPr>
        <w:t>ENT-NIEM-01</w:t>
      </w:r>
      <w:r w:rsidRPr="00801D2C">
        <w:rPr>
          <w:rFonts w:ascii="Calibri" w:eastAsia="Times New Roman" w:hAnsi="Calibri" w:cs="Calibri"/>
          <w:kern w:val="0"/>
          <w14:ligatures w14:val="none"/>
        </w:rPr>
        <w:t xml:space="preserve">) they fulfill. To formalize safe system evolution, the blueprint must mature through the strict </w:t>
      </w:r>
      <w:r w:rsidRPr="00801D2C">
        <w:rPr>
          <w:rFonts w:ascii="Calibri" w:eastAsia="Times New Roman" w:hAnsi="Calibri" w:cs="Calibri"/>
          <w:b/>
          <w:bCs/>
          <w:kern w:val="0"/>
          <w14:ligatures w14:val="none"/>
        </w:rPr>
        <w:t>ISL Specification Readiness Levels</w:t>
      </w:r>
      <w:r w:rsidRPr="00801D2C">
        <w:rPr>
          <w:rFonts w:ascii="Calibri" w:eastAsia="Times New Roman" w:hAnsi="Calibri" w:cs="Calibri"/>
          <w:kern w:val="0"/>
          <w14:ligatures w14:val="none"/>
        </w:rPr>
        <w:t>:</w:t>
      </w:r>
    </w:p>
    <w:p w14:paraId="05F5C48F" w14:textId="77777777" w:rsidR="00FD3097" w:rsidRPr="00801D2C" w:rsidRDefault="00FD3097" w:rsidP="00FD3097">
      <w:pPr>
        <w:numPr>
          <w:ilvl w:val="0"/>
          <w:numId w:val="35"/>
        </w:numPr>
        <w:spacing w:before="100" w:beforeAutospacing="1" w:after="100" w:afterAutospacing="1"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Draft Level:</w:t>
      </w:r>
      <w:r w:rsidRPr="00801D2C">
        <w:rPr>
          <w:rFonts w:ascii="Calibri" w:eastAsia="Times New Roman" w:hAnsi="Calibri" w:cs="Calibri"/>
          <w:kern w:val="0"/>
          <w14:ligatures w14:val="none"/>
        </w:rPr>
        <w:t xml:space="preserve"> A collaborative stage where the Specification Interpreter utilizes Advisory Collaboration to ensure all entities are assigned their mandatory, unique Traceability Identifiers.</w:t>
      </w:r>
    </w:p>
    <w:p w14:paraId="408259EC" w14:textId="77777777" w:rsidR="00FD3097" w:rsidRPr="00801D2C" w:rsidRDefault="00FD3097" w:rsidP="00FD3097">
      <w:pPr>
        <w:numPr>
          <w:ilvl w:val="0"/>
          <w:numId w:val="35"/>
        </w:numPr>
        <w:spacing w:before="100" w:beforeAutospacing="1" w:after="100" w:afterAutospacing="1"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Reviewable Level:</w:t>
      </w:r>
      <w:r w:rsidRPr="00801D2C">
        <w:rPr>
          <w:rFonts w:ascii="Calibri" w:eastAsia="Times New Roman" w:hAnsi="Calibri" w:cs="Calibri"/>
          <w:kern w:val="0"/>
          <w14:ligatures w14:val="none"/>
        </w:rPr>
        <w:t xml:space="preserve"> The document passes explicit human </w:t>
      </w:r>
      <w:r w:rsidRPr="00801D2C">
        <w:rPr>
          <w:rFonts w:ascii="Calibri" w:eastAsia="Times New Roman" w:hAnsi="Calibri" w:cs="Calibri"/>
          <w:b/>
          <w:bCs/>
          <w:kern w:val="0"/>
          <w14:ligatures w14:val="none"/>
        </w:rPr>
        <w:t>Approval Gates</w:t>
      </w:r>
      <w:r w:rsidRPr="00801D2C">
        <w:rPr>
          <w:rFonts w:ascii="Calibri" w:eastAsia="Times New Roman" w:hAnsi="Calibri" w:cs="Calibri"/>
          <w:kern w:val="0"/>
          <w14:ligatures w14:val="none"/>
        </w:rPr>
        <w:t xml:space="preserve"> where Human Governance Roles (including Court Auditors) verify the architecture.</w:t>
      </w:r>
    </w:p>
    <w:p w14:paraId="63C08082" w14:textId="77777777" w:rsidR="00FD3097" w:rsidRPr="00801D2C" w:rsidRDefault="00FD3097" w:rsidP="00FD3097">
      <w:pPr>
        <w:numPr>
          <w:ilvl w:val="0"/>
          <w:numId w:val="35"/>
        </w:numPr>
        <w:spacing w:before="100" w:beforeAutospacing="1" w:after="100" w:afterAutospacing="1"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Machine-Valid Level:</w:t>
      </w:r>
      <w:r w:rsidRPr="00801D2C">
        <w:rPr>
          <w:rFonts w:ascii="Calibri" w:eastAsia="Times New Roman" w:hAnsi="Calibri" w:cs="Calibri"/>
          <w:kern w:val="0"/>
          <w14:ligatures w14:val="none"/>
        </w:rPr>
        <w:t xml:space="preserve"> The strictly demarcated document is parsed into the semantic graph and committed to a </w:t>
      </w:r>
      <w:r w:rsidRPr="00801D2C">
        <w:rPr>
          <w:rFonts w:ascii="Calibri" w:eastAsia="Times New Roman" w:hAnsi="Calibri" w:cs="Calibri"/>
          <w:b/>
          <w:bCs/>
          <w:kern w:val="0"/>
          <w14:ligatures w14:val="none"/>
        </w:rPr>
        <w:t>version-controlled Artifact Repository</w:t>
      </w:r>
      <w:r w:rsidRPr="00801D2C">
        <w:rPr>
          <w:rFonts w:ascii="Calibri" w:eastAsia="Times New Roman" w:hAnsi="Calibri" w:cs="Calibri"/>
          <w:kern w:val="0"/>
          <w14:ligatures w14:val="none"/>
        </w:rPr>
        <w:t>, establishing the authoritative baseline for traceability.</w:t>
      </w:r>
    </w:p>
    <w:p w14:paraId="6B0EE9E5" w14:textId="77777777" w:rsidR="00FD3097" w:rsidRPr="00801D2C" w:rsidRDefault="00FD3097" w:rsidP="00FD3097">
      <w:pPr>
        <w:numPr>
          <w:ilvl w:val="0"/>
          <w:numId w:val="35"/>
        </w:numPr>
        <w:spacing w:before="100" w:beforeAutospacing="1" w:after="100" w:afterAutospacing="1" w:line="240" w:lineRule="auto"/>
        <w:rPr>
          <w:rFonts w:ascii="Calibri" w:eastAsia="Times New Roman" w:hAnsi="Calibri" w:cs="Calibri"/>
          <w:kern w:val="0"/>
          <w14:ligatures w14:val="none"/>
        </w:rPr>
      </w:pPr>
      <w:r w:rsidRPr="00801D2C">
        <w:rPr>
          <w:rFonts w:ascii="Calibri" w:eastAsia="Times New Roman" w:hAnsi="Calibri" w:cs="Calibri"/>
          <w:b/>
          <w:bCs/>
          <w:kern w:val="0"/>
          <w14:ligatures w14:val="none"/>
        </w:rPr>
        <w:t>Autonomous-Ready Level:</w:t>
      </w:r>
      <w:r w:rsidRPr="00801D2C">
        <w:rPr>
          <w:rFonts w:ascii="Calibri" w:eastAsia="Times New Roman" w:hAnsi="Calibri" w:cs="Calibri"/>
          <w:kern w:val="0"/>
          <w14:ligatures w14:val="none"/>
        </w:rPr>
        <w:t xml:space="preserve"> Only after passing the previous gates is the platform authorized to autonomously begin construction. If generated code fails its tool-mapped deterministic validation, the Execution Runtime autonomously invokes the </w:t>
      </w:r>
      <w:r w:rsidRPr="00801D2C">
        <w:rPr>
          <w:rFonts w:ascii="Calibri" w:eastAsia="Times New Roman" w:hAnsi="Calibri" w:cs="Calibri"/>
          <w:b/>
          <w:bCs/>
          <w:kern w:val="0"/>
          <w14:ligatures w14:val="none"/>
        </w:rPr>
        <w:t>Repair Analyst</w:t>
      </w:r>
      <w:r w:rsidRPr="00801D2C">
        <w:rPr>
          <w:rFonts w:ascii="Calibri" w:eastAsia="Times New Roman" w:hAnsi="Calibri" w:cs="Calibri"/>
          <w:kern w:val="0"/>
          <w14:ligatures w14:val="none"/>
        </w:rPr>
        <w:t xml:space="preserve"> agent to execute </w:t>
      </w:r>
      <w:r w:rsidRPr="00801D2C">
        <w:rPr>
          <w:rFonts w:ascii="Calibri" w:eastAsia="Times New Roman" w:hAnsi="Calibri" w:cs="Calibri"/>
          <w:b/>
          <w:bCs/>
          <w:kern w:val="0"/>
          <w14:ligatures w14:val="none"/>
        </w:rPr>
        <w:t>automated repair cycles</w:t>
      </w:r>
      <w:r w:rsidRPr="00801D2C">
        <w:rPr>
          <w:rFonts w:ascii="Calibri" w:eastAsia="Times New Roman" w:hAnsi="Calibri" w:cs="Calibri"/>
          <w:kern w:val="0"/>
          <w14:ligatures w14:val="none"/>
        </w:rPr>
        <w:t xml:space="preserve">. The platform continuously re-generates and re-validates the code, preserving all historical reasoning and execution context within the </w:t>
      </w:r>
      <w:r w:rsidRPr="00801D2C">
        <w:rPr>
          <w:rFonts w:ascii="Calibri" w:eastAsia="Times New Roman" w:hAnsi="Calibri" w:cs="Calibri"/>
          <w:b/>
          <w:bCs/>
          <w:kern w:val="0"/>
          <w14:ligatures w14:val="none"/>
        </w:rPr>
        <w:t>State and Memory Model</w:t>
      </w:r>
      <w:r w:rsidRPr="00801D2C">
        <w:rPr>
          <w:rFonts w:ascii="Calibri" w:eastAsia="Times New Roman" w:hAnsi="Calibri" w:cs="Calibri"/>
          <w:kern w:val="0"/>
          <w14:ligatures w14:val="none"/>
        </w:rPr>
        <w:t xml:space="preserve"> until the implementation converges into a stable, verified system.</w:t>
      </w:r>
    </w:p>
    <w:p w14:paraId="31C395B1" w14:textId="77777777" w:rsidR="001C6A7F" w:rsidRPr="00801D2C" w:rsidRDefault="001C6A7F" w:rsidP="00832044">
      <w:pPr>
        <w:spacing w:before="120" w:after="0" w:line="240" w:lineRule="auto"/>
        <w:rPr>
          <w:rFonts w:ascii="Calibri" w:eastAsia="Times New Roman" w:hAnsi="Calibri" w:cs="Calibri"/>
          <w:kern w:val="0"/>
          <w14:ligatures w14:val="none"/>
        </w:rPr>
      </w:pPr>
    </w:p>
    <w:p w14:paraId="542D582E" w14:textId="77777777" w:rsidR="005D2BA6" w:rsidRPr="00801D2C" w:rsidRDefault="005D2BA6" w:rsidP="00832044">
      <w:pPr>
        <w:spacing w:before="120" w:after="0" w:line="240" w:lineRule="auto"/>
        <w:rPr>
          <w:rFonts w:ascii="Calibri" w:eastAsia="Times New Roman" w:hAnsi="Calibri" w:cs="Calibri"/>
          <w:kern w:val="0"/>
          <w14:ligatures w14:val="none"/>
        </w:rPr>
      </w:pPr>
    </w:p>
    <w:p w14:paraId="734DD274" w14:textId="77777777" w:rsidR="001C6A7F" w:rsidRPr="00801D2C" w:rsidRDefault="001C6A7F" w:rsidP="00832044">
      <w:pPr>
        <w:spacing w:before="120" w:after="0" w:line="240" w:lineRule="auto"/>
        <w:rPr>
          <w:rFonts w:ascii="Calibri" w:eastAsia="Times New Roman" w:hAnsi="Calibri" w:cs="Calibri"/>
          <w:b/>
          <w:bCs/>
          <w:kern w:val="0"/>
          <w14:ligatures w14:val="none"/>
        </w:rPr>
      </w:pPr>
    </w:p>
    <w:p w14:paraId="3FE89D6B" w14:textId="77777777" w:rsidR="005D2BA6" w:rsidRPr="00801D2C" w:rsidRDefault="005D2BA6" w:rsidP="00832044">
      <w:pPr>
        <w:spacing w:before="120" w:after="0" w:line="240" w:lineRule="auto"/>
        <w:rPr>
          <w:rFonts w:ascii="Calibri" w:eastAsia="Times New Roman" w:hAnsi="Calibri" w:cs="Calibri"/>
          <w:kern w:val="0"/>
          <w14:ligatures w14:val="none"/>
        </w:rPr>
      </w:pPr>
    </w:p>
    <w:p w14:paraId="719ECE82" w14:textId="77777777" w:rsidR="002B6B04" w:rsidRPr="00801D2C" w:rsidRDefault="002B6B04" w:rsidP="00832044">
      <w:pPr>
        <w:spacing w:before="120" w:after="0" w:line="240" w:lineRule="auto"/>
        <w:rPr>
          <w:rFonts w:ascii="Calibri" w:eastAsia="Times New Roman" w:hAnsi="Calibri" w:cs="Calibri"/>
          <w:b/>
          <w:bCs/>
          <w:kern w:val="0"/>
          <w14:ligatures w14:val="none"/>
        </w:rPr>
      </w:pPr>
    </w:p>
    <w:p w14:paraId="6ABE0CFE" w14:textId="77777777" w:rsidR="001C6A7F" w:rsidRPr="00801D2C" w:rsidRDefault="001C6A7F" w:rsidP="00832044">
      <w:pPr>
        <w:spacing w:before="120" w:after="0" w:line="240" w:lineRule="auto"/>
        <w:rPr>
          <w:rFonts w:ascii="Calibri" w:eastAsia="Times New Roman" w:hAnsi="Calibri" w:cs="Calibri"/>
          <w:b/>
          <w:bCs/>
          <w:kern w:val="0"/>
          <w14:ligatures w14:val="none"/>
        </w:rPr>
      </w:pPr>
    </w:p>
    <w:p w14:paraId="09554C56" w14:textId="77777777" w:rsidR="001C6A7F" w:rsidRPr="00801D2C" w:rsidRDefault="001C6A7F" w:rsidP="00832044">
      <w:pPr>
        <w:spacing w:before="120" w:after="0" w:line="240" w:lineRule="auto"/>
        <w:rPr>
          <w:rFonts w:ascii="Calibri" w:eastAsia="Times New Roman" w:hAnsi="Calibri" w:cs="Calibri"/>
          <w:kern w:val="0"/>
          <w14:ligatures w14:val="none"/>
        </w:rPr>
      </w:pPr>
    </w:p>
    <w:p w14:paraId="7068527B" w14:textId="59CE2B9D" w:rsidR="002B6B04" w:rsidRPr="00801D2C" w:rsidRDefault="002B6B04" w:rsidP="001C6A7F">
      <w:pPr>
        <w:spacing w:before="100" w:beforeAutospacing="1" w:after="100" w:afterAutospacing="1" w:line="240" w:lineRule="auto"/>
        <w:rPr>
          <w:rFonts w:ascii="Calibri" w:eastAsia="Times New Roman" w:hAnsi="Calibri" w:cs="Calibri"/>
          <w:b/>
          <w:bCs/>
          <w:kern w:val="0"/>
          <w14:ligatures w14:val="none"/>
        </w:rPr>
      </w:pPr>
    </w:p>
    <w:p w14:paraId="221B89C6" w14:textId="77777777" w:rsidR="005245C2" w:rsidRPr="00801D2C" w:rsidRDefault="005245C2" w:rsidP="001C6A7F">
      <w:pPr>
        <w:spacing w:before="100" w:beforeAutospacing="1" w:after="100" w:afterAutospacing="1" w:line="240" w:lineRule="auto"/>
        <w:rPr>
          <w:rFonts w:ascii="Calibri" w:eastAsia="Times New Roman" w:hAnsi="Calibri" w:cs="Calibri"/>
          <w:b/>
          <w:bCs/>
          <w:kern w:val="0"/>
          <w14:ligatures w14:val="none"/>
        </w:rPr>
      </w:pPr>
    </w:p>
    <w:p w14:paraId="5E30B870" w14:textId="77777777" w:rsidR="00986A79" w:rsidRPr="00801D2C" w:rsidRDefault="00986A79" w:rsidP="001C6A7F">
      <w:pPr>
        <w:spacing w:before="100" w:beforeAutospacing="1" w:after="100" w:afterAutospacing="1" w:line="240" w:lineRule="auto"/>
        <w:rPr>
          <w:rFonts w:ascii="Calibri" w:eastAsia="Times New Roman" w:hAnsi="Calibri" w:cs="Calibri"/>
          <w:kern w:val="0"/>
          <w14:ligatures w14:val="none"/>
        </w:rPr>
      </w:pPr>
    </w:p>
    <w:p w14:paraId="53EBD2E1" w14:textId="77777777" w:rsidR="005245C2" w:rsidRPr="00801D2C" w:rsidRDefault="005245C2" w:rsidP="001C6A7F">
      <w:pPr>
        <w:spacing w:before="100" w:beforeAutospacing="1" w:after="100" w:afterAutospacing="1" w:line="240" w:lineRule="auto"/>
        <w:rPr>
          <w:rFonts w:ascii="Calibri" w:eastAsia="Times New Roman" w:hAnsi="Calibri" w:cs="Calibri"/>
          <w:kern w:val="0"/>
          <w14:ligatures w14:val="none"/>
        </w:rPr>
      </w:pPr>
    </w:p>
    <w:p w14:paraId="3A516297" w14:textId="77777777" w:rsidR="00C52A34" w:rsidRPr="00801D2C" w:rsidRDefault="00C52A34" w:rsidP="00832044">
      <w:pPr>
        <w:spacing w:before="120" w:after="0" w:line="240" w:lineRule="auto"/>
        <w:rPr>
          <w:rFonts w:ascii="Calibri" w:eastAsia="Times New Roman" w:hAnsi="Calibri" w:cs="Calibri"/>
          <w:kern w:val="0"/>
          <w14:ligatures w14:val="none"/>
        </w:rPr>
      </w:pPr>
    </w:p>
    <w:p w14:paraId="28CA2EA0" w14:textId="77777777" w:rsidR="00832044" w:rsidRPr="00801D2C" w:rsidRDefault="00832044" w:rsidP="00832044">
      <w:pPr>
        <w:pStyle w:val="NormalWeb"/>
        <w:spacing w:before="120" w:beforeAutospacing="0" w:after="120" w:afterAutospacing="0"/>
        <w:rPr>
          <w:rStyle w:val="Strong"/>
          <w:rFonts w:ascii="Calibri" w:hAnsi="Calibri" w:cs="Calibri"/>
        </w:rPr>
      </w:pPr>
    </w:p>
    <w:p w14:paraId="3A2E87C9" w14:textId="77777777" w:rsidR="002B6B04" w:rsidRPr="00801D2C" w:rsidRDefault="002B6B04" w:rsidP="00832044">
      <w:pPr>
        <w:pStyle w:val="NormalWeb"/>
        <w:spacing w:before="120" w:beforeAutospacing="0" w:after="120" w:afterAutospacing="0"/>
        <w:rPr>
          <w:rFonts w:ascii="Calibri" w:hAnsi="Calibri" w:cs="Calibri"/>
        </w:rPr>
      </w:pPr>
    </w:p>
    <w:p w14:paraId="5964770C" w14:textId="77777777" w:rsidR="0013032E" w:rsidRPr="00801D2C" w:rsidRDefault="0013032E" w:rsidP="00A02B23">
      <w:pPr>
        <w:pStyle w:val="NormalWeb"/>
        <w:spacing w:before="120" w:beforeAutospacing="0" w:after="120" w:afterAutospacing="0"/>
        <w:rPr>
          <w:rFonts w:ascii="Calibri" w:hAnsi="Calibri" w:cs="Calibri"/>
        </w:rPr>
      </w:pPr>
    </w:p>
    <w:sectPr w:rsidR="0013032E" w:rsidRPr="00801D2C"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920EC6"/>
    <w:multiLevelType w:val="multilevel"/>
    <w:tmpl w:val="0CD21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227F4D"/>
    <w:multiLevelType w:val="multilevel"/>
    <w:tmpl w:val="201E5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D86373"/>
    <w:multiLevelType w:val="multilevel"/>
    <w:tmpl w:val="19808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DE47E9"/>
    <w:multiLevelType w:val="multilevel"/>
    <w:tmpl w:val="0F8A6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1005C63"/>
    <w:multiLevelType w:val="multilevel"/>
    <w:tmpl w:val="26BED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446EAD"/>
    <w:multiLevelType w:val="multilevel"/>
    <w:tmpl w:val="7E24A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9301D0"/>
    <w:multiLevelType w:val="multilevel"/>
    <w:tmpl w:val="85BAC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297CA9"/>
    <w:multiLevelType w:val="multilevel"/>
    <w:tmpl w:val="40F2F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F2BC5"/>
    <w:multiLevelType w:val="multilevel"/>
    <w:tmpl w:val="BF14DD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3D2E31"/>
    <w:multiLevelType w:val="multilevel"/>
    <w:tmpl w:val="72A80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F4012C3"/>
    <w:multiLevelType w:val="multilevel"/>
    <w:tmpl w:val="D8608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3204D4A"/>
    <w:multiLevelType w:val="multilevel"/>
    <w:tmpl w:val="A784E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3247F9"/>
    <w:multiLevelType w:val="multilevel"/>
    <w:tmpl w:val="DF9C0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736757"/>
    <w:multiLevelType w:val="multilevel"/>
    <w:tmpl w:val="7E5AE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101A07"/>
    <w:multiLevelType w:val="multilevel"/>
    <w:tmpl w:val="7304C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353A2E"/>
    <w:multiLevelType w:val="multilevel"/>
    <w:tmpl w:val="8370F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F737B01"/>
    <w:multiLevelType w:val="multilevel"/>
    <w:tmpl w:val="55702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1E4A7A"/>
    <w:multiLevelType w:val="multilevel"/>
    <w:tmpl w:val="DDC2F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5C1296"/>
    <w:multiLevelType w:val="multilevel"/>
    <w:tmpl w:val="74C66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F5FBE"/>
    <w:multiLevelType w:val="multilevel"/>
    <w:tmpl w:val="A0B0F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D90A56"/>
    <w:multiLevelType w:val="multilevel"/>
    <w:tmpl w:val="77A2F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CE61363"/>
    <w:multiLevelType w:val="multilevel"/>
    <w:tmpl w:val="FDCE7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783053"/>
    <w:multiLevelType w:val="multilevel"/>
    <w:tmpl w:val="51E419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F247D55"/>
    <w:multiLevelType w:val="multilevel"/>
    <w:tmpl w:val="ED740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C74442C"/>
    <w:multiLevelType w:val="multilevel"/>
    <w:tmpl w:val="11C645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117B1F"/>
    <w:multiLevelType w:val="hybridMultilevel"/>
    <w:tmpl w:val="8D4C3446"/>
    <w:lvl w:ilvl="0" w:tplc="D026D1F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F6D601C"/>
    <w:multiLevelType w:val="multilevel"/>
    <w:tmpl w:val="D9AAF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2A54F5A"/>
    <w:multiLevelType w:val="multilevel"/>
    <w:tmpl w:val="EC38B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D47E30"/>
    <w:multiLevelType w:val="multilevel"/>
    <w:tmpl w:val="9D182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1133F9"/>
    <w:multiLevelType w:val="multilevel"/>
    <w:tmpl w:val="4DDED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FCA791D"/>
    <w:multiLevelType w:val="multilevel"/>
    <w:tmpl w:val="296A3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3776FD5"/>
    <w:multiLevelType w:val="multilevel"/>
    <w:tmpl w:val="197E6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61A02D2"/>
    <w:multiLevelType w:val="hybridMultilevel"/>
    <w:tmpl w:val="8A8458AA"/>
    <w:lvl w:ilvl="0" w:tplc="1390C10C">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96F75FA"/>
    <w:multiLevelType w:val="multilevel"/>
    <w:tmpl w:val="8098E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0478E1"/>
    <w:multiLevelType w:val="multilevel"/>
    <w:tmpl w:val="287EE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12046649">
    <w:abstractNumId w:val="4"/>
  </w:num>
  <w:num w:numId="2" w16cid:durableId="852037379">
    <w:abstractNumId w:val="22"/>
  </w:num>
  <w:num w:numId="3" w16cid:durableId="1222521512">
    <w:abstractNumId w:val="20"/>
  </w:num>
  <w:num w:numId="4" w16cid:durableId="329062761">
    <w:abstractNumId w:val="9"/>
  </w:num>
  <w:num w:numId="5" w16cid:durableId="1917666281">
    <w:abstractNumId w:val="5"/>
  </w:num>
  <w:num w:numId="6" w16cid:durableId="1984308735">
    <w:abstractNumId w:val="25"/>
  </w:num>
  <w:num w:numId="7" w16cid:durableId="1983534315">
    <w:abstractNumId w:val="7"/>
  </w:num>
  <w:num w:numId="8" w16cid:durableId="1069426739">
    <w:abstractNumId w:val="13"/>
  </w:num>
  <w:num w:numId="9" w16cid:durableId="317072959">
    <w:abstractNumId w:val="32"/>
  </w:num>
  <w:num w:numId="10" w16cid:durableId="90323182">
    <w:abstractNumId w:val="10"/>
  </w:num>
  <w:num w:numId="11" w16cid:durableId="759375268">
    <w:abstractNumId w:val="12"/>
  </w:num>
  <w:num w:numId="12" w16cid:durableId="932473684">
    <w:abstractNumId w:val="24"/>
  </w:num>
  <w:num w:numId="13" w16cid:durableId="1186745556">
    <w:abstractNumId w:val="15"/>
  </w:num>
  <w:num w:numId="14" w16cid:durableId="1902593125">
    <w:abstractNumId w:val="1"/>
  </w:num>
  <w:num w:numId="15" w16cid:durableId="2058313862">
    <w:abstractNumId w:val="0"/>
  </w:num>
  <w:num w:numId="16" w16cid:durableId="464615870">
    <w:abstractNumId w:val="16"/>
  </w:num>
  <w:num w:numId="17" w16cid:durableId="2145004553">
    <w:abstractNumId w:val="28"/>
  </w:num>
  <w:num w:numId="18" w16cid:durableId="1413352536">
    <w:abstractNumId w:val="31"/>
  </w:num>
  <w:num w:numId="19" w16cid:durableId="1439376635">
    <w:abstractNumId w:val="6"/>
  </w:num>
  <w:num w:numId="20" w16cid:durableId="452746036">
    <w:abstractNumId w:val="14"/>
  </w:num>
  <w:num w:numId="21" w16cid:durableId="1327705364">
    <w:abstractNumId w:val="19"/>
  </w:num>
  <w:num w:numId="22" w16cid:durableId="193887440">
    <w:abstractNumId w:val="34"/>
  </w:num>
  <w:num w:numId="23" w16cid:durableId="962419459">
    <w:abstractNumId w:val="33"/>
  </w:num>
  <w:num w:numId="24" w16cid:durableId="2015499363">
    <w:abstractNumId w:val="29"/>
  </w:num>
  <w:num w:numId="25" w16cid:durableId="1659072489">
    <w:abstractNumId w:val="26"/>
  </w:num>
  <w:num w:numId="26" w16cid:durableId="1886795355">
    <w:abstractNumId w:val="3"/>
  </w:num>
  <w:num w:numId="27" w16cid:durableId="664892349">
    <w:abstractNumId w:val="18"/>
  </w:num>
  <w:num w:numId="28" w16cid:durableId="1291281991">
    <w:abstractNumId w:val="30"/>
  </w:num>
  <w:num w:numId="29" w16cid:durableId="783768987">
    <w:abstractNumId w:val="17"/>
  </w:num>
  <w:num w:numId="30" w16cid:durableId="1629511424">
    <w:abstractNumId w:val="8"/>
  </w:num>
  <w:num w:numId="31" w16cid:durableId="639699126">
    <w:abstractNumId w:val="23"/>
  </w:num>
  <w:num w:numId="32" w16cid:durableId="1611467581">
    <w:abstractNumId w:val="2"/>
  </w:num>
  <w:num w:numId="33" w16cid:durableId="1950507909">
    <w:abstractNumId w:val="27"/>
  </w:num>
  <w:num w:numId="34" w16cid:durableId="145632253">
    <w:abstractNumId w:val="11"/>
  </w:num>
  <w:num w:numId="35" w16cid:durableId="719936505">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4E81"/>
    <w:rsid w:val="00045E82"/>
    <w:rsid w:val="000F2FD1"/>
    <w:rsid w:val="0013032E"/>
    <w:rsid w:val="001C6A7F"/>
    <w:rsid w:val="00223A5B"/>
    <w:rsid w:val="002B6B04"/>
    <w:rsid w:val="005245C2"/>
    <w:rsid w:val="005D2BA6"/>
    <w:rsid w:val="005F714F"/>
    <w:rsid w:val="00660007"/>
    <w:rsid w:val="006A7C31"/>
    <w:rsid w:val="006F4208"/>
    <w:rsid w:val="00801D2C"/>
    <w:rsid w:val="00832044"/>
    <w:rsid w:val="00874E81"/>
    <w:rsid w:val="00984106"/>
    <w:rsid w:val="00986A79"/>
    <w:rsid w:val="00997A3E"/>
    <w:rsid w:val="00A02B23"/>
    <w:rsid w:val="00C2250B"/>
    <w:rsid w:val="00C52A34"/>
    <w:rsid w:val="00CA38A3"/>
    <w:rsid w:val="00CD338B"/>
    <w:rsid w:val="00E108C9"/>
    <w:rsid w:val="00E54AE5"/>
    <w:rsid w:val="00E77B10"/>
    <w:rsid w:val="00FD309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118222"/>
  <w15:chartTrackingRefBased/>
  <w15:docId w15:val="{EDA48365-7160-FD4D-BDC5-DDD3D2B01B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4E8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874E8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74E8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74E8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74E8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74E8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4E8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4E8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4E8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4E8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874E8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74E8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74E8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74E8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74E8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4E8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4E8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4E81"/>
    <w:rPr>
      <w:rFonts w:eastAsiaTheme="majorEastAsia" w:cstheme="majorBidi"/>
      <w:color w:val="272727" w:themeColor="text1" w:themeTint="D8"/>
    </w:rPr>
  </w:style>
  <w:style w:type="paragraph" w:styleId="Title">
    <w:name w:val="Title"/>
    <w:basedOn w:val="Normal"/>
    <w:next w:val="Normal"/>
    <w:link w:val="TitleChar"/>
    <w:uiPriority w:val="10"/>
    <w:qFormat/>
    <w:rsid w:val="00874E8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4E8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4E8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4E8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4E81"/>
    <w:pPr>
      <w:spacing w:before="160"/>
      <w:jc w:val="center"/>
    </w:pPr>
    <w:rPr>
      <w:i/>
      <w:iCs/>
      <w:color w:val="404040" w:themeColor="text1" w:themeTint="BF"/>
    </w:rPr>
  </w:style>
  <w:style w:type="character" w:customStyle="1" w:styleId="QuoteChar">
    <w:name w:val="Quote Char"/>
    <w:basedOn w:val="DefaultParagraphFont"/>
    <w:link w:val="Quote"/>
    <w:uiPriority w:val="29"/>
    <w:rsid w:val="00874E81"/>
    <w:rPr>
      <w:i/>
      <w:iCs/>
      <w:color w:val="404040" w:themeColor="text1" w:themeTint="BF"/>
    </w:rPr>
  </w:style>
  <w:style w:type="paragraph" w:styleId="ListParagraph">
    <w:name w:val="List Paragraph"/>
    <w:basedOn w:val="Normal"/>
    <w:uiPriority w:val="34"/>
    <w:qFormat/>
    <w:rsid w:val="00874E81"/>
    <w:pPr>
      <w:ind w:left="720"/>
      <w:contextualSpacing/>
    </w:pPr>
  </w:style>
  <w:style w:type="character" w:styleId="IntenseEmphasis">
    <w:name w:val="Intense Emphasis"/>
    <w:basedOn w:val="DefaultParagraphFont"/>
    <w:uiPriority w:val="21"/>
    <w:qFormat/>
    <w:rsid w:val="00874E81"/>
    <w:rPr>
      <w:i/>
      <w:iCs/>
      <w:color w:val="0F4761" w:themeColor="accent1" w:themeShade="BF"/>
    </w:rPr>
  </w:style>
  <w:style w:type="paragraph" w:styleId="IntenseQuote">
    <w:name w:val="Intense Quote"/>
    <w:basedOn w:val="Normal"/>
    <w:next w:val="Normal"/>
    <w:link w:val="IntenseQuoteChar"/>
    <w:uiPriority w:val="30"/>
    <w:qFormat/>
    <w:rsid w:val="00874E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74E81"/>
    <w:rPr>
      <w:i/>
      <w:iCs/>
      <w:color w:val="0F4761" w:themeColor="accent1" w:themeShade="BF"/>
    </w:rPr>
  </w:style>
  <w:style w:type="character" w:styleId="IntenseReference">
    <w:name w:val="Intense Reference"/>
    <w:basedOn w:val="DefaultParagraphFont"/>
    <w:uiPriority w:val="32"/>
    <w:qFormat/>
    <w:rsid w:val="00874E81"/>
    <w:rPr>
      <w:b/>
      <w:bCs/>
      <w:smallCaps/>
      <w:color w:val="0F4761" w:themeColor="accent1" w:themeShade="BF"/>
      <w:spacing w:val="5"/>
    </w:rPr>
  </w:style>
  <w:style w:type="character" w:customStyle="1" w:styleId="ng-star-inserted">
    <w:name w:val="ng-star-inserted"/>
    <w:basedOn w:val="DefaultParagraphFont"/>
    <w:rsid w:val="00874E81"/>
  </w:style>
  <w:style w:type="paragraph" w:customStyle="1" w:styleId="paragraph">
    <w:name w:val="paragraph"/>
    <w:basedOn w:val="Normal"/>
    <w:rsid w:val="00874E8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TMLCode">
    <w:name w:val="HTML Code"/>
    <w:basedOn w:val="DefaultParagraphFont"/>
    <w:uiPriority w:val="99"/>
    <w:semiHidden/>
    <w:unhideWhenUsed/>
    <w:rsid w:val="00A02B23"/>
    <w:rPr>
      <w:rFonts w:ascii="Courier New" w:eastAsia="Times New Roman" w:hAnsi="Courier New" w:cs="Courier New"/>
      <w:sz w:val="20"/>
      <w:szCs w:val="20"/>
    </w:rPr>
  </w:style>
  <w:style w:type="paragraph" w:styleId="NormalWeb">
    <w:name w:val="Normal (Web)"/>
    <w:basedOn w:val="Normal"/>
    <w:uiPriority w:val="99"/>
    <w:semiHidden/>
    <w:unhideWhenUsed/>
    <w:rsid w:val="00A02B2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A02B23"/>
    <w:rPr>
      <w:b/>
      <w:bCs/>
    </w:rPr>
  </w:style>
  <w:style w:type="character" w:styleId="Emphasis">
    <w:name w:val="Emphasis"/>
    <w:basedOn w:val="DefaultParagraphFont"/>
    <w:uiPriority w:val="20"/>
    <w:qFormat/>
    <w:rsid w:val="00832044"/>
    <w:rPr>
      <w:i/>
      <w:iCs/>
    </w:rPr>
  </w:style>
  <w:style w:type="paragraph" w:styleId="HTMLPreformatted">
    <w:name w:val="HTML Preformatted"/>
    <w:basedOn w:val="Normal"/>
    <w:link w:val="HTMLPreformattedChar"/>
    <w:uiPriority w:val="99"/>
    <w:semiHidden/>
    <w:unhideWhenUsed/>
    <w:rsid w:val="005245C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5245C2"/>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56</TotalTime>
  <Pages>8</Pages>
  <Words>3124</Words>
  <Characters>17810</Characters>
  <Application>Microsoft Office Word</Application>
  <DocSecurity>0</DocSecurity>
  <Lines>148</Lines>
  <Paragraphs>41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14</cp:revision>
  <dcterms:created xsi:type="dcterms:W3CDTF">2026-03-21T17:28:00Z</dcterms:created>
  <dcterms:modified xsi:type="dcterms:W3CDTF">2026-03-21T19:41:00Z</dcterms:modified>
</cp:coreProperties>
</file>