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F48F" w14:textId="77777777" w:rsidR="002C3169" w:rsidRPr="0002245F" w:rsidRDefault="002C3169" w:rsidP="002C3169">
      <w:pPr>
        <w:pStyle w:val="Title"/>
        <w:rPr>
          <w:sz w:val="40"/>
          <w:szCs w:val="40"/>
          <w:shd w:val="clear" w:color="auto" w:fill="FFFFFF"/>
        </w:rPr>
      </w:pPr>
      <w:r w:rsidRPr="0002245F">
        <w:rPr>
          <w:sz w:val="40"/>
          <w:szCs w:val="40"/>
          <w:shd w:val="clear" w:color="auto" w:fill="FFFFFF"/>
        </w:rPr>
        <w:t>MACS Autonomous-Ready Structured Transaction Payload</w:t>
      </w:r>
    </w:p>
    <w:p w14:paraId="151FE1A4" w14:textId="77777777" w:rsidR="002C3169" w:rsidRDefault="00A751BA" w:rsidP="002C3169">
      <w:pPr>
        <w:pStyle w:val="Heading1"/>
      </w:pPr>
      <w:r w:rsidRPr="00A751BA">
        <w:t>Executive Summary</w:t>
      </w:r>
    </w:p>
    <w:p w14:paraId="7317C22C" w14:textId="28490A61" w:rsidR="00A751BA" w:rsidRPr="00A751BA" w:rsidRDefault="00A751BA" w:rsidP="002C3169">
      <w:pPr>
        <w:pStyle w:val="Heading2"/>
      </w:pPr>
      <w:r w:rsidRPr="00A751BA">
        <w:t>The IM Context Assembly and Autonomous Governance Process</w:t>
      </w:r>
    </w:p>
    <w:p w14:paraId="27782EEA" w14:textId="48AC8187" w:rsidR="002C3169" w:rsidRPr="002C3169" w:rsidRDefault="00A751BA" w:rsidP="002C3169">
      <w:pPr>
        <w:pStyle w:val="ListParagraph"/>
        <w:numPr>
          <w:ilvl w:val="0"/>
          <w:numId w:val="5"/>
        </w:numPr>
        <w:spacing w:before="120" w:after="120" w:line="240" w:lineRule="auto"/>
        <w:rPr>
          <w:rFonts w:ascii="Times New Roman" w:eastAsia="Times New Roman" w:hAnsi="Times New Roman" w:cs="Times New Roman"/>
          <w:kern w:val="0"/>
          <w14:ligatures w14:val="none"/>
        </w:rPr>
      </w:pPr>
      <w:r w:rsidRPr="002C3169">
        <w:rPr>
          <w:rFonts w:ascii="Times New Roman" w:eastAsia="Times New Roman" w:hAnsi="Times New Roman" w:cs="Times New Roman"/>
          <w:b/>
          <w:bCs/>
          <w:kern w:val="0"/>
          <w14:ligatures w14:val="none"/>
        </w:rPr>
        <w:t>Architectural Paradigm and Scope</w:t>
      </w:r>
    </w:p>
    <w:p w14:paraId="718100A7" w14:textId="7981692D" w:rsidR="00A751BA" w:rsidRPr="002C3169" w:rsidRDefault="00A751BA" w:rsidP="002C3169">
      <w:pPr>
        <w:spacing w:before="120" w:after="120" w:line="240" w:lineRule="auto"/>
        <w:rPr>
          <w:rFonts w:ascii="Times New Roman" w:eastAsia="Times New Roman" w:hAnsi="Times New Roman" w:cs="Times New Roman"/>
          <w:kern w:val="0"/>
          <w14:ligatures w14:val="none"/>
        </w:rPr>
      </w:pPr>
      <w:r w:rsidRPr="002C3169">
        <w:rPr>
          <w:rFonts w:ascii="Times New Roman" w:eastAsia="Times New Roman" w:hAnsi="Times New Roman" w:cs="Times New Roman"/>
          <w:kern w:val="0"/>
          <w14:ligatures w14:val="none"/>
        </w:rPr>
        <w:t xml:space="preserve">The document narrates the end-to-end </w:t>
      </w:r>
      <w:r w:rsidRPr="002C3169">
        <w:rPr>
          <w:rFonts w:ascii="Times New Roman" w:eastAsia="Times New Roman" w:hAnsi="Times New Roman" w:cs="Times New Roman"/>
          <w:b/>
          <w:bCs/>
          <w:kern w:val="0"/>
          <w14:ligatures w14:val="none"/>
        </w:rPr>
        <w:t>Context Assembly</w:t>
      </w:r>
      <w:r w:rsidRPr="002C3169">
        <w:rPr>
          <w:rFonts w:ascii="Times New Roman" w:eastAsia="Times New Roman" w:hAnsi="Times New Roman" w:cs="Times New Roman"/>
          <w:kern w:val="0"/>
          <w14:ligatures w14:val="none"/>
        </w:rPr>
        <w:t xml:space="preserve"> and </w:t>
      </w:r>
      <w:r w:rsidRPr="002C3169">
        <w:rPr>
          <w:rFonts w:ascii="Times New Roman" w:eastAsia="Times New Roman" w:hAnsi="Times New Roman" w:cs="Times New Roman"/>
          <w:b/>
          <w:bCs/>
          <w:kern w:val="0"/>
          <w14:ligatures w14:val="none"/>
        </w:rPr>
        <w:t>Specification Readiness</w:t>
      </w:r>
      <w:r w:rsidRPr="002C3169">
        <w:rPr>
          <w:rFonts w:ascii="Times New Roman" w:eastAsia="Times New Roman" w:hAnsi="Times New Roman" w:cs="Times New Roman"/>
          <w:kern w:val="0"/>
          <w14:ligatures w14:val="none"/>
        </w:rPr>
        <w:t xml:space="preserve"> lifecycle for the Minimal Autonomous Construction System (MACS) Proof-of-Concept. It demonstrates the ALETHEIA platform’s capability to transform a business intent—specifically, a </w:t>
      </w:r>
      <w:r w:rsidR="002C3169">
        <w:rPr>
          <w:rFonts w:ascii="Times New Roman" w:eastAsia="Times New Roman" w:hAnsi="Times New Roman" w:cs="Times New Roman"/>
          <w:kern w:val="0"/>
          <w14:ligatures w14:val="none"/>
        </w:rPr>
        <w:t xml:space="preserve">(POC) </w:t>
      </w:r>
      <w:r w:rsidRPr="002C3169">
        <w:rPr>
          <w:rFonts w:ascii="Times New Roman" w:eastAsia="Times New Roman" w:hAnsi="Times New Roman" w:cs="Times New Roman"/>
          <w:kern w:val="0"/>
          <w14:ligatures w14:val="none"/>
        </w:rPr>
        <w:t>Court Case Intake REST Service—into a local-first, containerized .NET application entirely through autonomous, specification-driven software construction. To enforce architectural discipline, the process strictly abandons informal conversational AI prompting in favor of formal Structured Reasoning Transactions governed by the Model Interaction Protocol (ISL v3.8).</w:t>
      </w:r>
    </w:p>
    <w:p w14:paraId="049900C6" w14:textId="77777777" w:rsidR="002C3169"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2.0 Phase 1: Initiation via Structured Transaction Payload (STP)</w:t>
      </w:r>
    </w:p>
    <w:p w14:paraId="7D02EB71" w14:textId="3A3B00C3" w:rsidR="00A751BA" w:rsidRPr="00A751BA"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The human engineering team initiates the effort not by writing code or prose, but by submitting a </w:t>
      </w:r>
      <w:r w:rsidRPr="00A751BA">
        <w:rPr>
          <w:rFonts w:ascii="Times New Roman" w:eastAsia="Times New Roman" w:hAnsi="Times New Roman" w:cs="Times New Roman"/>
          <w:b/>
          <w:bCs/>
          <w:kern w:val="0"/>
          <w14:ligatures w14:val="none"/>
        </w:rPr>
        <w:t>Structured Transaction Payload (STP)</w:t>
      </w:r>
      <w:r w:rsidRPr="00A751BA">
        <w:rPr>
          <w:rFonts w:ascii="Times New Roman" w:eastAsia="Times New Roman" w:hAnsi="Times New Roman" w:cs="Times New Roman"/>
          <w:kern w:val="0"/>
          <w14:ligatures w14:val="none"/>
        </w:rPr>
        <w:t>.</w:t>
      </w:r>
    </w:p>
    <w:p w14:paraId="740F5A17" w14:textId="77777777" w:rsidR="00A751BA" w:rsidRPr="00A751BA" w:rsidRDefault="00A751BA" w:rsidP="002C3169">
      <w:pPr>
        <w:numPr>
          <w:ilvl w:val="0"/>
          <w:numId w:val="1"/>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Metadata and Targeting:</w:t>
      </w:r>
      <w:r w:rsidRPr="00A751BA">
        <w:rPr>
          <w:rFonts w:ascii="Times New Roman" w:eastAsia="Times New Roman" w:hAnsi="Times New Roman" w:cs="Times New Roman"/>
          <w:kern w:val="0"/>
          <w14:ligatures w14:val="none"/>
        </w:rPr>
        <w:t xml:space="preserve"> The STP begins with YAML-style frontmatter defining the transaction ID (</w:t>
      </w:r>
      <w:r w:rsidRPr="00A751BA">
        <w:rPr>
          <w:rFonts w:ascii="Courier New" w:eastAsia="Times New Roman" w:hAnsi="Courier New" w:cs="Courier New"/>
          <w:kern w:val="0"/>
          <w:sz w:val="20"/>
          <w:szCs w:val="20"/>
          <w14:ligatures w14:val="none"/>
        </w:rPr>
        <w:t>TASK-SPEC-INIT-004</w:t>
      </w:r>
      <w:r w:rsidRPr="00A751BA">
        <w:rPr>
          <w:rFonts w:ascii="Times New Roman" w:eastAsia="Times New Roman" w:hAnsi="Times New Roman" w:cs="Times New Roman"/>
          <w:kern w:val="0"/>
          <w14:ligatures w14:val="none"/>
        </w:rPr>
        <w:t>), assigned reasoning agents, and the specific target architecture.</w:t>
      </w:r>
    </w:p>
    <w:p w14:paraId="0C0010EE" w14:textId="77777777" w:rsidR="00A751BA" w:rsidRPr="00A751BA" w:rsidRDefault="00A751BA" w:rsidP="002C3169">
      <w:pPr>
        <w:numPr>
          <w:ilvl w:val="0"/>
          <w:numId w:val="1"/>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Canonical Mapping:</w:t>
      </w:r>
      <w:r w:rsidRPr="00A751BA">
        <w:rPr>
          <w:rFonts w:ascii="Times New Roman" w:eastAsia="Times New Roman" w:hAnsi="Times New Roman" w:cs="Times New Roman"/>
          <w:kern w:val="0"/>
          <w14:ligatures w14:val="none"/>
        </w:rPr>
        <w:t xml:space="preserve"> To satisfy the platform's Dual-Audience Requirement—ensuring the output is readable by human governance roles and strictly </w:t>
      </w:r>
      <w:proofErr w:type="spellStart"/>
      <w:r w:rsidRPr="00A751BA">
        <w:rPr>
          <w:rFonts w:ascii="Times New Roman" w:eastAsia="Times New Roman" w:hAnsi="Times New Roman" w:cs="Times New Roman"/>
          <w:kern w:val="0"/>
          <w14:ligatures w14:val="none"/>
        </w:rPr>
        <w:t>parseable</w:t>
      </w:r>
      <w:proofErr w:type="spellEnd"/>
      <w:r w:rsidRPr="00A751BA">
        <w:rPr>
          <w:rFonts w:ascii="Times New Roman" w:eastAsia="Times New Roman" w:hAnsi="Times New Roman" w:cs="Times New Roman"/>
          <w:kern w:val="0"/>
          <w14:ligatures w14:val="none"/>
        </w:rPr>
        <w:t xml:space="preserve"> by the machine—the payload explicitly maps domain constraints into the </w:t>
      </w:r>
      <w:r w:rsidRPr="00A751BA">
        <w:rPr>
          <w:rFonts w:ascii="Times New Roman" w:eastAsia="Times New Roman" w:hAnsi="Times New Roman" w:cs="Times New Roman"/>
          <w:b/>
          <w:bCs/>
          <w:kern w:val="0"/>
          <w14:ligatures w14:val="none"/>
        </w:rPr>
        <w:t>13 discrete canonical entities</w:t>
      </w:r>
      <w:r w:rsidRPr="00A751BA">
        <w:rPr>
          <w:rFonts w:ascii="Times New Roman" w:eastAsia="Times New Roman" w:hAnsi="Times New Roman" w:cs="Times New Roman"/>
          <w:kern w:val="0"/>
          <w14:ligatures w14:val="none"/>
        </w:rPr>
        <w:t xml:space="preserve"> of the ALETHEIA Semantic Model (Project, Context, Stakeholder, Actor, Capability, Requirement, Service, Interface, </w:t>
      </w:r>
      <w:proofErr w:type="spellStart"/>
      <w:r w:rsidRPr="00A751BA">
        <w:rPr>
          <w:rFonts w:ascii="Times New Roman" w:eastAsia="Times New Roman" w:hAnsi="Times New Roman" w:cs="Times New Roman"/>
          <w:kern w:val="0"/>
          <w14:ligatures w14:val="none"/>
        </w:rPr>
        <w:t>DataEntity</w:t>
      </w:r>
      <w:proofErr w:type="spellEnd"/>
      <w:r w:rsidRPr="00A751BA">
        <w:rPr>
          <w:rFonts w:ascii="Times New Roman" w:eastAsia="Times New Roman" w:hAnsi="Times New Roman" w:cs="Times New Roman"/>
          <w:kern w:val="0"/>
          <w14:ligatures w14:val="none"/>
        </w:rPr>
        <w:t>, Workflow, Policy, Infrastructure, and Validation).</w:t>
      </w:r>
    </w:p>
    <w:p w14:paraId="79963594" w14:textId="77777777" w:rsidR="00A751BA" w:rsidRPr="00A751BA" w:rsidRDefault="00A751BA" w:rsidP="002C3169">
      <w:pPr>
        <w:numPr>
          <w:ilvl w:val="0"/>
          <w:numId w:val="1"/>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Traceability and Deterministic Validation:</w:t>
      </w:r>
      <w:r w:rsidRPr="00A751BA">
        <w:rPr>
          <w:rFonts w:ascii="Times New Roman" w:eastAsia="Times New Roman" w:hAnsi="Times New Roman" w:cs="Times New Roman"/>
          <w:kern w:val="0"/>
          <w14:ligatures w14:val="none"/>
        </w:rPr>
        <w:t xml:space="preserve"> A bidirectional Traceability Graph is established by assigning persistent, unique identifiers to all elements (e.g., </w:t>
      </w:r>
      <w:r w:rsidRPr="00A751BA">
        <w:rPr>
          <w:rFonts w:ascii="Courier New" w:eastAsia="Times New Roman" w:hAnsi="Courier New" w:cs="Courier New"/>
          <w:kern w:val="0"/>
          <w:sz w:val="20"/>
          <w:szCs w:val="20"/>
          <w14:ligatures w14:val="none"/>
        </w:rPr>
        <w:t>REQ-001</w:t>
      </w:r>
      <w:r w:rsidRPr="00A751BA">
        <w:rPr>
          <w:rFonts w:ascii="Times New Roman" w:eastAsia="Times New Roman" w:hAnsi="Times New Roman" w:cs="Times New Roman"/>
          <w:kern w:val="0"/>
          <w14:ligatures w14:val="none"/>
        </w:rPr>
        <w:t xml:space="preserve">, </w:t>
      </w:r>
      <w:r w:rsidRPr="00A751BA">
        <w:rPr>
          <w:rFonts w:ascii="Courier New" w:eastAsia="Times New Roman" w:hAnsi="Courier New" w:cs="Courier New"/>
          <w:kern w:val="0"/>
          <w:sz w:val="20"/>
          <w:szCs w:val="20"/>
          <w14:ligatures w14:val="none"/>
        </w:rPr>
        <w:t>VAL-002</w:t>
      </w:r>
      <w:r w:rsidRPr="00A751BA">
        <w:rPr>
          <w:rFonts w:ascii="Times New Roman" w:eastAsia="Times New Roman" w:hAnsi="Times New Roman" w:cs="Times New Roman"/>
          <w:kern w:val="0"/>
          <w14:ligatures w14:val="none"/>
        </w:rPr>
        <w:t xml:space="preserve">). Mandatory enterprise standards, such as CJIS encryption policies and NIST 800-53 Zero Trust frameworks, are structurally mapped as </w:t>
      </w:r>
      <w:r w:rsidRPr="00A751BA">
        <w:rPr>
          <w:rFonts w:ascii="Courier New" w:eastAsia="Times New Roman" w:hAnsi="Courier New" w:cs="Courier New"/>
          <w:kern w:val="0"/>
          <w:sz w:val="20"/>
          <w:szCs w:val="20"/>
          <w14:ligatures w14:val="none"/>
        </w:rPr>
        <w:t>Policy</w:t>
      </w:r>
      <w:r w:rsidRPr="00A751BA">
        <w:rPr>
          <w:rFonts w:ascii="Times New Roman" w:eastAsia="Times New Roman" w:hAnsi="Times New Roman" w:cs="Times New Roman"/>
          <w:kern w:val="0"/>
          <w14:ligatures w14:val="none"/>
        </w:rPr>
        <w:t xml:space="preserve"> entities and explicitly linked to deterministic validation tools (e.g., Static Analysis Security Scanners) to guarantee the generated implementation is objectively verifiable.</w:t>
      </w:r>
    </w:p>
    <w:p w14:paraId="7CEDA8AF" w14:textId="77777777" w:rsidR="002C3169"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3.0 Phase 2: Advisory Collaboration and Constraint Resolution (Cycle 1)</w:t>
      </w:r>
    </w:p>
    <w:p w14:paraId="129254AC" w14:textId="56E3D19F" w:rsidR="00A751BA" w:rsidRPr="00A751BA"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Because the platform’s Specification Interpreter agent is prohibited from utilizing conversational chat, it employs </w:t>
      </w:r>
      <w:r w:rsidRPr="00A751BA">
        <w:rPr>
          <w:rFonts w:ascii="Times New Roman" w:eastAsia="Times New Roman" w:hAnsi="Times New Roman" w:cs="Times New Roman"/>
          <w:b/>
          <w:bCs/>
          <w:kern w:val="0"/>
          <w14:ligatures w14:val="none"/>
        </w:rPr>
        <w:t>Advisory Collaboration</w:t>
      </w:r>
      <w:r w:rsidRPr="00A751BA">
        <w:rPr>
          <w:rFonts w:ascii="Times New Roman" w:eastAsia="Times New Roman" w:hAnsi="Times New Roman" w:cs="Times New Roman"/>
          <w:kern w:val="0"/>
          <w14:ligatures w14:val="none"/>
        </w:rPr>
        <w:t xml:space="preserve"> to resolve ambiguities and refine the blueprint at the Draft Level.</w:t>
      </w:r>
    </w:p>
    <w:p w14:paraId="12C6FF29" w14:textId="77777777" w:rsidR="00A751BA" w:rsidRPr="00A751BA" w:rsidRDefault="00A751BA" w:rsidP="002C3169">
      <w:pPr>
        <w:numPr>
          <w:ilvl w:val="0"/>
          <w:numId w:val="2"/>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Upon detecting missing parameters, the platform generated the ISL blueprint and appended a strictly formatted </w:t>
      </w:r>
      <w:r w:rsidRPr="00A751BA">
        <w:rPr>
          <w:rFonts w:ascii="Courier New" w:eastAsia="Times New Roman" w:hAnsi="Courier New" w:cs="Courier New"/>
          <w:kern w:val="0"/>
          <w:sz w:val="20"/>
          <w:szCs w:val="20"/>
          <w14:ligatures w14:val="none"/>
        </w:rPr>
        <w:t>### CLARIFICATIONS REQUIRED</w:t>
      </w:r>
      <w:r w:rsidRPr="00A751BA">
        <w:rPr>
          <w:rFonts w:ascii="Times New Roman" w:eastAsia="Times New Roman" w:hAnsi="Times New Roman" w:cs="Times New Roman"/>
          <w:kern w:val="0"/>
          <w14:ligatures w14:val="none"/>
        </w:rPr>
        <w:t xml:space="preserve"> block.</w:t>
      </w:r>
    </w:p>
    <w:p w14:paraId="773795F7" w14:textId="77777777" w:rsidR="00A751BA" w:rsidRPr="00A751BA" w:rsidRDefault="00A751BA" w:rsidP="002C3169">
      <w:pPr>
        <w:numPr>
          <w:ilvl w:val="0"/>
          <w:numId w:val="2"/>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In Cycle 1, the human team resolved these deterministic constraints by explicitly defining OAuth with Entra ID for the API, expanding the NCSC-NODS data mappings to include </w:t>
      </w:r>
      <w:proofErr w:type="spellStart"/>
      <w:r w:rsidRPr="00A751BA">
        <w:rPr>
          <w:rFonts w:ascii="Courier New" w:eastAsia="Times New Roman" w:hAnsi="Courier New" w:cs="Courier New"/>
          <w:kern w:val="0"/>
          <w:sz w:val="20"/>
          <w:szCs w:val="20"/>
          <w14:ligatures w14:val="none"/>
        </w:rPr>
        <w:lastRenderedPageBreak/>
        <w:t>FilingEvent</w:t>
      </w:r>
      <w:proofErr w:type="spellEnd"/>
      <w:r w:rsidRPr="00A751BA">
        <w:rPr>
          <w:rFonts w:ascii="Times New Roman" w:eastAsia="Times New Roman" w:hAnsi="Times New Roman" w:cs="Times New Roman"/>
          <w:kern w:val="0"/>
          <w14:ligatures w14:val="none"/>
        </w:rPr>
        <w:t xml:space="preserve"> and </w:t>
      </w:r>
      <w:proofErr w:type="spellStart"/>
      <w:r w:rsidRPr="00A751BA">
        <w:rPr>
          <w:rFonts w:ascii="Courier New" w:eastAsia="Times New Roman" w:hAnsi="Courier New" w:cs="Courier New"/>
          <w:kern w:val="0"/>
          <w:sz w:val="20"/>
          <w:szCs w:val="20"/>
          <w14:ligatures w14:val="none"/>
        </w:rPr>
        <w:t>HearingDetail</w:t>
      </w:r>
      <w:proofErr w:type="spellEnd"/>
      <w:r w:rsidRPr="00A751BA">
        <w:rPr>
          <w:rFonts w:ascii="Times New Roman" w:eastAsia="Times New Roman" w:hAnsi="Times New Roman" w:cs="Times New Roman"/>
          <w:kern w:val="0"/>
          <w14:ligatures w14:val="none"/>
        </w:rPr>
        <w:t xml:space="preserve"> derived from the </w:t>
      </w:r>
      <w:proofErr w:type="spellStart"/>
      <w:r w:rsidRPr="00A751BA">
        <w:rPr>
          <w:rFonts w:ascii="Courier New" w:eastAsia="Times New Roman" w:hAnsi="Courier New" w:cs="Courier New"/>
          <w:kern w:val="0"/>
          <w:sz w:val="20"/>
          <w:szCs w:val="20"/>
          <w14:ligatures w14:val="none"/>
        </w:rPr>
        <w:t>Psj_Court_Canonical</w:t>
      </w:r>
      <w:proofErr w:type="spellEnd"/>
      <w:r w:rsidRPr="00A751BA">
        <w:rPr>
          <w:rFonts w:ascii="Times New Roman" w:eastAsia="Times New Roman" w:hAnsi="Times New Roman" w:cs="Times New Roman"/>
          <w:kern w:val="0"/>
          <w14:ligatures w14:val="none"/>
        </w:rPr>
        <w:t xml:space="preserve"> schema, and establishing a strict PII notification and soft-deletion policy.</w:t>
      </w:r>
    </w:p>
    <w:p w14:paraId="78983677" w14:textId="77777777" w:rsidR="002C3169"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4.0 Phase 3: Specification Readiness and Approval Gates (Cycle 2)</w:t>
      </w:r>
    </w:p>
    <w:p w14:paraId="2A812F46" w14:textId="2E226562" w:rsidR="00A751BA" w:rsidRPr="00A751BA"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With constraints resolved and clarifications removed, the specification advances from the Draft Level to the Reviewable Level within the ISL Readiness lifecycle. At this stage, human intervention is required to formally evaluate the architecture.</w:t>
      </w:r>
    </w:p>
    <w:p w14:paraId="38FF64BA" w14:textId="77777777" w:rsidR="00A751BA" w:rsidRPr="00A751BA" w:rsidRDefault="00A751BA" w:rsidP="002C3169">
      <w:pPr>
        <w:numPr>
          <w:ilvl w:val="0"/>
          <w:numId w:val="3"/>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The document executes mandatory </w:t>
      </w:r>
      <w:r w:rsidRPr="00A751BA">
        <w:rPr>
          <w:rFonts w:ascii="Times New Roman" w:eastAsia="Times New Roman" w:hAnsi="Times New Roman" w:cs="Times New Roman"/>
          <w:b/>
          <w:bCs/>
          <w:kern w:val="0"/>
          <w14:ligatures w14:val="none"/>
        </w:rPr>
        <w:t>Approval Gates</w:t>
      </w:r>
      <w:r w:rsidRPr="00A751BA">
        <w:rPr>
          <w:rFonts w:ascii="Times New Roman" w:eastAsia="Times New Roman" w:hAnsi="Times New Roman" w:cs="Times New Roman"/>
          <w:kern w:val="0"/>
          <w14:ligatures w14:val="none"/>
        </w:rPr>
        <w:t xml:space="preserve"> where critical Human Governance Roles evaluate the blueprint.</w:t>
      </w:r>
    </w:p>
    <w:p w14:paraId="38C7F44F" w14:textId="77777777" w:rsidR="00A751BA" w:rsidRPr="00A751BA" w:rsidRDefault="00A751BA" w:rsidP="002C3169">
      <w:pPr>
        <w:numPr>
          <w:ilvl w:val="0"/>
          <w:numId w:val="3"/>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The IT Architect verifies service boundaries and deployment alignment; the Security Validator verifies CJIS encryption mappings and PII masking rules; and the Chief Data Officer verifies the exact interoperability mapping to the NCSC data structures.</w:t>
      </w:r>
    </w:p>
    <w:p w14:paraId="6727ECEE" w14:textId="77777777" w:rsidR="002C3169"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b/>
          <w:bCs/>
          <w:kern w:val="0"/>
          <w14:ligatures w14:val="none"/>
        </w:rPr>
        <w:t>5.0 Phase 4: Transition to Autonomous Execution</w:t>
      </w:r>
    </w:p>
    <w:p w14:paraId="69F45223" w14:textId="633AF077" w:rsidR="00A751BA" w:rsidRPr="00A751BA" w:rsidRDefault="00A751BA" w:rsidP="002C3169">
      <w:pPr>
        <w:spacing w:before="120" w:after="12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Upon successfully clearing the human Approval Gates, the blueprint achieves Machine-Valid and Autonomous-Ready status.</w:t>
      </w:r>
    </w:p>
    <w:p w14:paraId="5D0007F1" w14:textId="77777777" w:rsidR="00A751BA" w:rsidRPr="00A751BA" w:rsidRDefault="00A751BA" w:rsidP="002C3169">
      <w:pPr>
        <w:numPr>
          <w:ilvl w:val="0"/>
          <w:numId w:val="4"/>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 xml:space="preserve">The Context Assembly phase officially concludes, and the human team commits the parsed </w:t>
      </w:r>
      <w:r w:rsidRPr="00A751BA">
        <w:rPr>
          <w:rFonts w:ascii="Courier New" w:eastAsia="Times New Roman" w:hAnsi="Courier New" w:cs="Courier New"/>
          <w:kern w:val="0"/>
          <w:sz w:val="20"/>
          <w:szCs w:val="20"/>
          <w14:ligatures w14:val="none"/>
        </w:rPr>
        <w:t>TASK-SPEC-INIT-004</w:t>
      </w:r>
      <w:r w:rsidRPr="00A751BA">
        <w:rPr>
          <w:rFonts w:ascii="Times New Roman" w:eastAsia="Times New Roman" w:hAnsi="Times New Roman" w:cs="Times New Roman"/>
          <w:kern w:val="0"/>
          <w14:ligatures w14:val="none"/>
        </w:rPr>
        <w:t xml:space="preserve"> document into a version-controlled Artifact Repository, establishing the authoritative architectural baseline.</w:t>
      </w:r>
    </w:p>
    <w:p w14:paraId="653D92B9" w14:textId="77777777" w:rsidR="00A751BA" w:rsidRPr="00A751BA" w:rsidRDefault="00A751BA" w:rsidP="002C3169">
      <w:pPr>
        <w:numPr>
          <w:ilvl w:val="0"/>
          <w:numId w:val="4"/>
        </w:numPr>
        <w:spacing w:after="0" w:line="240" w:lineRule="auto"/>
        <w:rPr>
          <w:rFonts w:ascii="Times New Roman" w:eastAsia="Times New Roman" w:hAnsi="Times New Roman" w:cs="Times New Roman"/>
          <w:kern w:val="0"/>
          <w14:ligatures w14:val="none"/>
        </w:rPr>
      </w:pPr>
      <w:r w:rsidRPr="00A751BA">
        <w:rPr>
          <w:rFonts w:ascii="Times New Roman" w:eastAsia="Times New Roman" w:hAnsi="Times New Roman" w:cs="Times New Roman"/>
          <w:kern w:val="0"/>
          <w14:ligatures w14:val="none"/>
        </w:rPr>
        <w:t>From this millisecond onward, human interaction pauses. The ALETHEIA Planning Engine takes over the parsed semantic model to generate a construction task graph, authorizing the Agent Orchestrator and Execution Runtime to physically generate the .NET REST service, run deterministic validation plugins, and execute automated repair cycles until the system reaches operational convergence.</w:t>
      </w:r>
    </w:p>
    <w:p w14:paraId="66203A8B" w14:textId="77777777" w:rsidR="00A751BA" w:rsidRDefault="00A751BA"/>
    <w:p w14:paraId="2B1BD609" w14:textId="77777777" w:rsidR="00A751BA" w:rsidRDefault="00A751BA"/>
    <w:p w14:paraId="1879C9CE" w14:textId="77777777" w:rsidR="00A751BA" w:rsidRDefault="00A751BA"/>
    <w:p w14:paraId="0DC15A04" w14:textId="77777777" w:rsidR="00A751BA" w:rsidRDefault="00A751BA"/>
    <w:sectPr w:rsidR="00A751BA"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7526"/>
    <w:multiLevelType w:val="multilevel"/>
    <w:tmpl w:val="E9CA883A"/>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 w15:restartNumberingAfterBreak="0">
    <w:nsid w:val="15227ABB"/>
    <w:multiLevelType w:val="multilevel"/>
    <w:tmpl w:val="51EA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752FE"/>
    <w:multiLevelType w:val="multilevel"/>
    <w:tmpl w:val="438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B1B52"/>
    <w:multiLevelType w:val="multilevel"/>
    <w:tmpl w:val="9B04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700BF"/>
    <w:multiLevelType w:val="multilevel"/>
    <w:tmpl w:val="AD9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569999">
    <w:abstractNumId w:val="1"/>
  </w:num>
  <w:num w:numId="2" w16cid:durableId="1495680309">
    <w:abstractNumId w:val="4"/>
  </w:num>
  <w:num w:numId="3" w16cid:durableId="1767379162">
    <w:abstractNumId w:val="3"/>
  </w:num>
  <w:num w:numId="4" w16cid:durableId="1615402847">
    <w:abstractNumId w:val="2"/>
  </w:num>
  <w:num w:numId="5" w16cid:durableId="102251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BA"/>
    <w:rsid w:val="00223A5B"/>
    <w:rsid w:val="002C3169"/>
    <w:rsid w:val="005F714F"/>
    <w:rsid w:val="006A7C31"/>
    <w:rsid w:val="006F4208"/>
    <w:rsid w:val="00742D8F"/>
    <w:rsid w:val="00984106"/>
    <w:rsid w:val="00997A3E"/>
    <w:rsid w:val="00A751BA"/>
    <w:rsid w:val="00C2250B"/>
    <w:rsid w:val="00CA38A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2C32"/>
  <w15:chartTrackingRefBased/>
  <w15:docId w15:val="{9CF1F9E1-5B87-1746-989E-005D11954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1BA"/>
    <w:rPr>
      <w:rFonts w:eastAsiaTheme="majorEastAsia" w:cstheme="majorBidi"/>
      <w:color w:val="272727" w:themeColor="text1" w:themeTint="D8"/>
    </w:rPr>
  </w:style>
  <w:style w:type="paragraph" w:styleId="Title">
    <w:name w:val="Title"/>
    <w:basedOn w:val="Normal"/>
    <w:next w:val="Normal"/>
    <w:link w:val="TitleChar"/>
    <w:uiPriority w:val="10"/>
    <w:qFormat/>
    <w:rsid w:val="00A75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1BA"/>
    <w:pPr>
      <w:spacing w:before="160"/>
      <w:jc w:val="center"/>
    </w:pPr>
    <w:rPr>
      <w:i/>
      <w:iCs/>
      <w:color w:val="404040" w:themeColor="text1" w:themeTint="BF"/>
    </w:rPr>
  </w:style>
  <w:style w:type="character" w:customStyle="1" w:styleId="QuoteChar">
    <w:name w:val="Quote Char"/>
    <w:basedOn w:val="DefaultParagraphFont"/>
    <w:link w:val="Quote"/>
    <w:uiPriority w:val="29"/>
    <w:rsid w:val="00A751BA"/>
    <w:rPr>
      <w:i/>
      <w:iCs/>
      <w:color w:val="404040" w:themeColor="text1" w:themeTint="BF"/>
    </w:rPr>
  </w:style>
  <w:style w:type="paragraph" w:styleId="ListParagraph">
    <w:name w:val="List Paragraph"/>
    <w:basedOn w:val="Normal"/>
    <w:uiPriority w:val="34"/>
    <w:qFormat/>
    <w:rsid w:val="00A751BA"/>
    <w:pPr>
      <w:ind w:left="720"/>
      <w:contextualSpacing/>
    </w:pPr>
  </w:style>
  <w:style w:type="character" w:styleId="IntenseEmphasis">
    <w:name w:val="Intense Emphasis"/>
    <w:basedOn w:val="DefaultParagraphFont"/>
    <w:uiPriority w:val="21"/>
    <w:qFormat/>
    <w:rsid w:val="00A751BA"/>
    <w:rPr>
      <w:i/>
      <w:iCs/>
      <w:color w:val="0F4761" w:themeColor="accent1" w:themeShade="BF"/>
    </w:rPr>
  </w:style>
  <w:style w:type="paragraph" w:styleId="IntenseQuote">
    <w:name w:val="Intense Quote"/>
    <w:basedOn w:val="Normal"/>
    <w:next w:val="Normal"/>
    <w:link w:val="IntenseQuoteChar"/>
    <w:uiPriority w:val="30"/>
    <w:qFormat/>
    <w:rsid w:val="00A75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1BA"/>
    <w:rPr>
      <w:i/>
      <w:iCs/>
      <w:color w:val="0F4761" w:themeColor="accent1" w:themeShade="BF"/>
    </w:rPr>
  </w:style>
  <w:style w:type="character" w:styleId="IntenseReference">
    <w:name w:val="Intense Reference"/>
    <w:basedOn w:val="DefaultParagraphFont"/>
    <w:uiPriority w:val="32"/>
    <w:qFormat/>
    <w:rsid w:val="00A751BA"/>
    <w:rPr>
      <w:b/>
      <w:bCs/>
      <w:smallCaps/>
      <w:color w:val="0F4761" w:themeColor="accent1" w:themeShade="BF"/>
      <w:spacing w:val="5"/>
    </w:rPr>
  </w:style>
  <w:style w:type="paragraph" w:styleId="NormalWeb">
    <w:name w:val="Normal (Web)"/>
    <w:basedOn w:val="Normal"/>
    <w:uiPriority w:val="99"/>
    <w:semiHidden/>
    <w:unhideWhenUsed/>
    <w:rsid w:val="00A751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51BA"/>
    <w:rPr>
      <w:b/>
      <w:bCs/>
    </w:rPr>
  </w:style>
  <w:style w:type="character" w:styleId="HTMLCode">
    <w:name w:val="HTML Code"/>
    <w:basedOn w:val="DefaultParagraphFont"/>
    <w:uiPriority w:val="99"/>
    <w:semiHidden/>
    <w:unhideWhenUsed/>
    <w:rsid w:val="00A751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2026-03-22T18:47:00Z</dcterms:created>
  <dcterms:modified xsi:type="dcterms:W3CDTF">2026-03-22T19:05:00Z</dcterms:modified>
</cp:coreProperties>
</file>