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3D6B" w14:textId="1BE020A4" w:rsidR="00CB60DE" w:rsidRDefault="00CB60DE" w:rsidP="005F2DDD">
      <w:pPr>
        <w:pStyle w:val="Title"/>
        <w:rPr>
          <w:sz w:val="44"/>
          <w:szCs w:val="44"/>
        </w:rPr>
      </w:pPr>
      <w:r>
        <w:rPr>
          <w:sz w:val="44"/>
          <w:szCs w:val="44"/>
        </w:rPr>
        <w:t>ALETHEIA Specification Engine</w:t>
      </w:r>
    </w:p>
    <w:p w14:paraId="741E2A97" w14:textId="79F926AF" w:rsidR="006A7C31" w:rsidRPr="005F2DDD" w:rsidRDefault="005F2DDD" w:rsidP="005F2DDD">
      <w:pPr>
        <w:pStyle w:val="Title"/>
        <w:rPr>
          <w:sz w:val="44"/>
          <w:szCs w:val="44"/>
        </w:rPr>
      </w:pPr>
      <w:r w:rsidRPr="005F2DDD">
        <w:rPr>
          <w:sz w:val="44"/>
          <w:szCs w:val="44"/>
        </w:rPr>
        <w:t>Intake</w:t>
      </w:r>
      <w:r w:rsidR="00CB60DE">
        <w:rPr>
          <w:sz w:val="44"/>
          <w:szCs w:val="44"/>
        </w:rPr>
        <w:t xml:space="preserve">, </w:t>
      </w:r>
      <w:r w:rsidRPr="005F2DDD">
        <w:rPr>
          <w:sz w:val="44"/>
          <w:szCs w:val="44"/>
        </w:rPr>
        <w:t>Norm</w:t>
      </w:r>
      <w:r w:rsidR="00CB60DE">
        <w:rPr>
          <w:sz w:val="44"/>
          <w:szCs w:val="44"/>
        </w:rPr>
        <w:t>alization &amp; Governance</w:t>
      </w:r>
    </w:p>
    <w:p w14:paraId="2812C26C" w14:textId="058F83DE" w:rsidR="005F2DDD" w:rsidRDefault="005F2DDD">
      <w:r>
        <w:t>2026-0</w:t>
      </w:r>
      <w:r w:rsidR="00CB60DE">
        <w:t>4</w:t>
      </w:r>
      <w:r>
        <w:t>-</w:t>
      </w:r>
      <w:r w:rsidR="00CB60DE">
        <w:t>05</w:t>
      </w:r>
    </w:p>
    <w:p w14:paraId="57932FD6" w14:textId="77777777" w:rsidR="00920326" w:rsidRDefault="00920326" w:rsidP="00920326">
      <w:pPr>
        <w:spacing w:before="120" w:after="120"/>
      </w:pPr>
      <w:r>
        <w:t>Find this and other discussions – code repositories in GITHUB at:</w:t>
      </w:r>
    </w:p>
    <w:p w14:paraId="449F082C" w14:textId="77777777" w:rsidR="00920326" w:rsidRDefault="00920326" w:rsidP="00920326">
      <w:pPr>
        <w:pStyle w:val="ListParagraph"/>
        <w:numPr>
          <w:ilvl w:val="0"/>
          <w:numId w:val="16"/>
        </w:numPr>
        <w:spacing w:line="278" w:lineRule="auto"/>
        <w:ind w:left="450" w:hanging="270"/>
      </w:pPr>
      <w:r>
        <w:t xml:space="preserve">ALETHEIA Specifications - </w:t>
      </w:r>
      <w:hyperlink r:id="rId5" w:history="1">
        <w:r w:rsidRPr="00137F52">
          <w:rPr>
            <w:rStyle w:val="Hyperlink"/>
          </w:rPr>
          <w:t>https://github.com/eci-repos/Aletheia.Specifications</w:t>
        </w:r>
      </w:hyperlink>
    </w:p>
    <w:p w14:paraId="24095B40" w14:textId="77777777" w:rsidR="00920326" w:rsidRDefault="00920326" w:rsidP="00920326">
      <w:pPr>
        <w:pStyle w:val="ListParagraph"/>
        <w:numPr>
          <w:ilvl w:val="0"/>
          <w:numId w:val="16"/>
        </w:numPr>
        <w:spacing w:after="120" w:line="278" w:lineRule="auto"/>
        <w:ind w:left="450" w:hanging="270"/>
      </w:pPr>
      <w:r>
        <w:t xml:space="preserve">ALETHEIA Engine - </w:t>
      </w:r>
      <w:hyperlink r:id="rId6" w:history="1">
        <w:r w:rsidRPr="00137F52">
          <w:rPr>
            <w:rStyle w:val="Hyperlink"/>
          </w:rPr>
          <w:t>https://github.com/eci-repos/Aletheia.Engine</w:t>
        </w:r>
      </w:hyperlink>
      <w:r>
        <w:t xml:space="preserve"> </w:t>
      </w:r>
    </w:p>
    <w:p w14:paraId="15FE62DF" w14:textId="77777777" w:rsidR="00920326" w:rsidRDefault="00920326" w:rsidP="00920326">
      <w:r>
        <w:t>Find “</w:t>
      </w:r>
      <w:proofErr w:type="spellStart"/>
      <w:r>
        <w:t>eci</w:t>
      </w:r>
      <w:proofErr w:type="spellEnd"/>
      <w:r>
        <w:t>-repos” in GITHUB for other efforts.</w:t>
      </w:r>
    </w:p>
    <w:p w14:paraId="1EF505C6" w14:textId="0051034E" w:rsidR="00CB60DE" w:rsidRDefault="00CB60DE" w:rsidP="00CB60DE">
      <w:pPr>
        <w:pStyle w:val="Heading1"/>
      </w:pPr>
      <w:r>
        <w:rPr>
          <w:rStyle w:val="Strong"/>
        </w:rPr>
        <w:t>Phases 1–4 Completion Report</w:t>
      </w:r>
    </w:p>
    <w:p w14:paraId="38EB3760" w14:textId="77777777" w:rsidR="00CB60DE" w:rsidRDefault="00CB60DE" w:rsidP="00CB60DE">
      <w:pPr>
        <w:pStyle w:val="NormalWeb"/>
        <w:spacing w:before="120" w:beforeAutospacing="0" w:after="120" w:afterAutospacing="0"/>
      </w:pPr>
      <w:r>
        <w:t>This report documents the successful implementation, integration, and testing of Phases 1 through 4 for the Minimal Autonomous Construction System (MACS) Proof-of-Concept. This milestone represents a fully operational Specification Intake Pipeline capable of autonomously parsing, normalizing, evaluating, and safely governing structured software blueprints.</w:t>
      </w:r>
    </w:p>
    <w:p w14:paraId="32B82B6D" w14:textId="77777777" w:rsidR="00CB60DE" w:rsidRDefault="00CB60DE" w:rsidP="00CB60DE">
      <w:pPr>
        <w:pStyle w:val="Heading2"/>
      </w:pPr>
      <w:r>
        <w:t>What Has Been Implemented and Accomplished</w:t>
      </w:r>
    </w:p>
    <w:p w14:paraId="5E66CE5C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1: Canonical Semantic Model Definition</w:t>
      </w:r>
    </w:p>
    <w:p w14:paraId="2907907E" w14:textId="77777777" w:rsidR="00CB60DE" w:rsidRDefault="00CB60DE" w:rsidP="00CB60DE">
      <w:pPr>
        <w:numPr>
          <w:ilvl w:val="0"/>
          <w:numId w:val="11"/>
        </w:numPr>
      </w:pPr>
      <w:r>
        <w:rPr>
          <w:rStyle w:val="Strong"/>
          <w:rFonts w:eastAsiaTheme="majorEastAsia"/>
        </w:rPr>
        <w:t>Implemented the 13 Discrete Canonical Entities:</w:t>
      </w:r>
      <w:r>
        <w:t xml:space="preserve"> We successfully defined the architectural vocabulary required by the ALETHEIA Specification Language (ISL) using strict, immutable C# </w:t>
      </w:r>
      <w:r>
        <w:rPr>
          <w:rStyle w:val="HTMLCode"/>
          <w:rFonts w:eastAsiaTheme="majorEastAsia"/>
        </w:rPr>
        <w:t>record</w:t>
      </w:r>
      <w:r>
        <w:t xml:space="preserve"> structures with </w:t>
      </w:r>
      <w:proofErr w:type="spellStart"/>
      <w:r>
        <w:t>parameterless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t xml:space="preserve"> properties. This includes </w:t>
      </w:r>
      <w:r>
        <w:rPr>
          <w:rStyle w:val="HTMLCode"/>
          <w:rFonts w:eastAsiaTheme="majorEastAsia"/>
        </w:rPr>
        <w:t>Project</w:t>
      </w:r>
      <w:r>
        <w:t xml:space="preserve">, </w:t>
      </w:r>
      <w:r>
        <w:rPr>
          <w:rStyle w:val="HTMLCode"/>
          <w:rFonts w:eastAsiaTheme="majorEastAsia"/>
        </w:rPr>
        <w:t>Context</w:t>
      </w:r>
      <w:r>
        <w:t xml:space="preserve">, </w:t>
      </w:r>
      <w:r>
        <w:rPr>
          <w:rStyle w:val="HTMLCode"/>
          <w:rFonts w:eastAsiaTheme="majorEastAsia"/>
        </w:rPr>
        <w:t>Requirement</w:t>
      </w:r>
      <w:r>
        <w:t xml:space="preserve">, </w:t>
      </w:r>
      <w:r>
        <w:rPr>
          <w:rStyle w:val="HTMLCode"/>
          <w:rFonts w:eastAsiaTheme="majorEastAsia"/>
        </w:rPr>
        <w:t>Service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DataEntity</w:t>
      </w:r>
      <w:proofErr w:type="spellEnd"/>
      <w:r>
        <w:t xml:space="preserve">, </w:t>
      </w:r>
      <w:r>
        <w:rPr>
          <w:rStyle w:val="HTMLCode"/>
          <w:rFonts w:eastAsiaTheme="majorEastAsia"/>
        </w:rPr>
        <w:t>Policy</w:t>
      </w:r>
      <w:r>
        <w:t xml:space="preserve">, </w:t>
      </w:r>
      <w:r>
        <w:rPr>
          <w:rStyle w:val="HTMLCode"/>
          <w:rFonts w:eastAsiaTheme="majorEastAsia"/>
        </w:rPr>
        <w:t>Validation</w:t>
      </w:r>
      <w:r>
        <w:t>, and others.</w:t>
      </w:r>
    </w:p>
    <w:p w14:paraId="223EE8EC" w14:textId="77777777" w:rsidR="00CB60DE" w:rsidRDefault="00CB60DE" w:rsidP="00CB60DE">
      <w:pPr>
        <w:numPr>
          <w:ilvl w:val="0"/>
          <w:numId w:val="11"/>
        </w:numPr>
      </w:pPr>
      <w:r>
        <w:rPr>
          <w:rStyle w:val="Strong"/>
          <w:rFonts w:eastAsiaTheme="majorEastAsia"/>
        </w:rPr>
        <w:t>Established the Traceability Edge:</w:t>
      </w:r>
      <w:r>
        <w:t xml:space="preserve"> We defined the </w:t>
      </w:r>
      <w:proofErr w:type="spellStart"/>
      <w:r>
        <w:rPr>
          <w:rStyle w:val="HTMLCode"/>
          <w:rFonts w:eastAsiaTheme="majorEastAsia"/>
        </w:rPr>
        <w:t>TraceabilityEdge</w:t>
      </w:r>
      <w:proofErr w:type="spellEnd"/>
      <w:r>
        <w:t xml:space="preserve"> record to serve as the mathematical link between specification entities, forming the foundation of the platform's bidirectional Traceability Graph.</w:t>
      </w:r>
    </w:p>
    <w:p w14:paraId="627A7395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2: Payload Parsing (The Intake Mechanism)</w:t>
      </w:r>
    </w:p>
    <w:p w14:paraId="0EB110C5" w14:textId="77777777" w:rsidR="00CB60DE" w:rsidRDefault="00CB60DE" w:rsidP="00CB60DE">
      <w:pPr>
        <w:numPr>
          <w:ilvl w:val="0"/>
          <w:numId w:val="12"/>
        </w:numPr>
      </w:pPr>
      <w:r>
        <w:rPr>
          <w:rStyle w:val="Strong"/>
          <w:rFonts w:eastAsiaTheme="majorEastAsia"/>
        </w:rPr>
        <w:t xml:space="preserve">Built the </w:t>
      </w:r>
      <w:proofErr w:type="spellStart"/>
      <w:r>
        <w:rPr>
          <w:rStyle w:val="HTMLCode"/>
          <w:rFonts w:eastAsiaTheme="majorEastAsia"/>
          <w:b/>
          <w:bCs/>
        </w:rPr>
        <w:t>MarkdownSTPParser</w:t>
      </w:r>
      <w:proofErr w:type="spellEnd"/>
      <w:r>
        <w:rPr>
          <w:rStyle w:val="Strong"/>
          <w:rFonts w:eastAsiaTheme="majorEastAsia"/>
        </w:rPr>
        <w:t>:</w:t>
      </w:r>
      <w:r>
        <w:t xml:space="preserve"> We implemented a robust parser capable of extracting YAML-style frontmatter and exact Markdown headers from the formal Structured Transaction Payload (STP).</w:t>
      </w:r>
    </w:p>
    <w:p w14:paraId="39DD0FC9" w14:textId="77777777" w:rsidR="00CB60DE" w:rsidRDefault="00CB60DE" w:rsidP="00CB60DE">
      <w:pPr>
        <w:numPr>
          <w:ilvl w:val="0"/>
          <w:numId w:val="12"/>
        </w:numPr>
      </w:pPr>
      <w:r>
        <w:rPr>
          <w:rStyle w:val="Strong"/>
          <w:rFonts w:eastAsiaTheme="majorEastAsia"/>
        </w:rPr>
        <w:t>Ensured Resilient Processing:</w:t>
      </w:r>
      <w:r>
        <w:t xml:space="preserve"> We refined the extraction logic using defensive Regex parsing, successfully stripping hidden Byte Order Marks (BOM) (</w:t>
      </w:r>
      <w:r>
        <w:rPr>
          <w:rStyle w:val="HTMLCode"/>
          <w:rFonts w:eastAsiaTheme="majorEastAsia"/>
        </w:rPr>
        <w:t>\</w:t>
      </w:r>
      <w:proofErr w:type="spellStart"/>
      <w:r>
        <w:rPr>
          <w:rStyle w:val="HTMLCode"/>
          <w:rFonts w:eastAsiaTheme="majorEastAsia"/>
        </w:rPr>
        <w:t>uFEFF</w:t>
      </w:r>
      <w:proofErr w:type="spellEnd"/>
      <w:r>
        <w:t>) and standardizing carriage returns (</w:t>
      </w:r>
      <w:r>
        <w:rPr>
          <w:rStyle w:val="HTMLCode"/>
          <w:rFonts w:eastAsiaTheme="majorEastAsia"/>
        </w:rPr>
        <w:t>\r\n</w:t>
      </w:r>
      <w:r>
        <w:t>), ensuring that enterprise text files process flawlessly without parser crashing.</w:t>
      </w:r>
    </w:p>
    <w:p w14:paraId="70B37107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3: Deep Semantic Normalization, Evaluation, and Governance</w:t>
      </w:r>
    </w:p>
    <w:p w14:paraId="2F03FFAC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t xml:space="preserve">Developed the </w:t>
      </w:r>
      <w:proofErr w:type="spellStart"/>
      <w:r>
        <w:rPr>
          <w:rStyle w:val="HTMLCode"/>
          <w:rFonts w:eastAsiaTheme="majorEastAsia"/>
          <w:b/>
          <w:bCs/>
        </w:rPr>
        <w:t>SemanticNormalizer</w:t>
      </w:r>
      <w:proofErr w:type="spellEnd"/>
      <w:r>
        <w:rPr>
          <w:rStyle w:val="Strong"/>
          <w:rFonts w:eastAsiaTheme="majorEastAsia"/>
        </w:rPr>
        <w:t>:</w:t>
      </w:r>
      <w:r>
        <w:t xml:space="preserve"> This component successfully maps the parsed text directly into the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t xml:space="preserve"> and executes </w:t>
      </w:r>
      <w:r>
        <w:rPr>
          <w:rStyle w:val="Strong"/>
          <w:rFonts w:eastAsiaTheme="majorEastAsia"/>
        </w:rPr>
        <w:t>Explicit Edge Creation</w:t>
      </w:r>
      <w:r>
        <w:t xml:space="preserve">, extracting traceability identifiers (e.g., </w:t>
      </w:r>
      <w:r>
        <w:rPr>
          <w:rStyle w:val="HTMLCode"/>
          <w:rFonts w:eastAsiaTheme="majorEastAsia"/>
        </w:rPr>
        <w:t>REQ-001</w:t>
      </w:r>
      <w:r>
        <w:t xml:space="preserve">, </w:t>
      </w:r>
      <w:r>
        <w:rPr>
          <w:rStyle w:val="HTMLCode"/>
          <w:rFonts w:eastAsiaTheme="majorEastAsia"/>
        </w:rPr>
        <w:t>VAL-001</w:t>
      </w:r>
      <w:r>
        <w:t>) to construct the Traceability Graph.</w:t>
      </w:r>
    </w:p>
    <w:p w14:paraId="47743324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lastRenderedPageBreak/>
        <w:t xml:space="preserve">Implemented the </w:t>
      </w:r>
      <w:proofErr w:type="spellStart"/>
      <w:r>
        <w:rPr>
          <w:rStyle w:val="HTMLCode"/>
          <w:rFonts w:eastAsiaTheme="majorEastAsia"/>
          <w:b/>
          <w:bCs/>
        </w:rPr>
        <w:t>ReadinessEvaluator</w:t>
      </w:r>
      <w:proofErr w:type="spellEnd"/>
      <w:r>
        <w:rPr>
          <w:rStyle w:val="Strong"/>
          <w:rFonts w:eastAsiaTheme="majorEastAsia"/>
        </w:rPr>
        <w:t>:</w:t>
      </w:r>
      <w:r>
        <w:t xml:space="preserve"> We built the engine that evaluates the normalized graph against the strict </w:t>
      </w:r>
      <w:r>
        <w:rPr>
          <w:rStyle w:val="Strong"/>
          <w:rFonts w:eastAsiaTheme="majorEastAsia"/>
        </w:rPr>
        <w:t>ISL Specification Readiness Levels</w:t>
      </w:r>
      <w:r>
        <w:t>, mathematically verifying if a blueprint is Machine-Valid and Autonomous-Ready.</w:t>
      </w:r>
    </w:p>
    <w:p w14:paraId="4FDAB4C2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Created the Human-Machine Feedback Loop:</w:t>
      </w:r>
      <w:r>
        <w:t xml:space="preserve"> We implemented the </w:t>
      </w:r>
      <w:proofErr w:type="spellStart"/>
      <w:r>
        <w:rPr>
          <w:rStyle w:val="HTMLCode"/>
          <w:rFonts w:eastAsiaTheme="majorEastAsia"/>
        </w:rPr>
        <w:t>ClarificationFormatter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ResponseDispatcher</w:t>
      </w:r>
      <w:proofErr w:type="spellEnd"/>
      <w:r>
        <w:t xml:space="preserve">. Instead of using conversational AI, the platform enforces </w:t>
      </w:r>
      <w:r>
        <w:rPr>
          <w:rStyle w:val="Strong"/>
          <w:rFonts w:eastAsiaTheme="majorEastAsia"/>
        </w:rPr>
        <w:t>"Advisory Collaboration"</w:t>
      </w:r>
      <w:r>
        <w:t xml:space="preserve"> by generating a strict </w:t>
      </w:r>
      <w:r>
        <w:rPr>
          <w:rStyle w:val="HTMLCode"/>
          <w:rFonts w:eastAsiaTheme="majorEastAsia"/>
        </w:rPr>
        <w:t>### CLARIFICATIONS REQUIRED</w:t>
      </w:r>
      <w:r>
        <w:t xml:space="preserve"> markdown block. If the blueprint fails readiness, the dispatcher pulls the digital </w:t>
      </w:r>
      <w:r>
        <w:rPr>
          <w:rStyle w:val="Strong"/>
          <w:rFonts w:eastAsiaTheme="majorEastAsia"/>
        </w:rPr>
        <w:t>"Andon Cord"</w:t>
      </w:r>
      <w:r>
        <w:t xml:space="preserve"> by throwing a </w:t>
      </w:r>
      <w:proofErr w:type="spellStart"/>
      <w:r>
        <w:rPr>
          <w:rStyle w:val="HTMLCode"/>
          <w:rFonts w:eastAsiaTheme="majorEastAsia"/>
        </w:rPr>
        <w:t>HumanMachineEscalationException</w:t>
      </w:r>
      <w:proofErr w:type="spellEnd"/>
      <w:r>
        <w:t>, explicitly halting execution.</w:t>
      </w:r>
    </w:p>
    <w:p w14:paraId="145557A9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4: Pipeline Integration and Unit Testing</w:t>
      </w:r>
    </w:p>
    <w:p w14:paraId="2910B86D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 xml:space="preserve">Integrated the </w:t>
      </w:r>
      <w:proofErr w:type="spellStart"/>
      <w:r>
        <w:rPr>
          <w:rStyle w:val="HTMLCode"/>
          <w:rFonts w:eastAsiaTheme="majorEastAsia"/>
          <w:b/>
          <w:bCs/>
        </w:rPr>
        <w:t>SpecificationIntakePipeline</w:t>
      </w:r>
      <w:proofErr w:type="spellEnd"/>
      <w:r>
        <w:rPr>
          <w:rStyle w:val="Strong"/>
          <w:rFonts w:eastAsiaTheme="majorEastAsia"/>
        </w:rPr>
        <w:t>:</w:t>
      </w:r>
      <w:r>
        <w:t xml:space="preserve"> We successfully orchestrated the synchronous handoff between the Parser, Normalizer, Evaluator, Formatter, and Dispatcher components into a unified pipeline.</w:t>
      </w:r>
    </w:p>
    <w:p w14:paraId="017FF2C3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 xml:space="preserve">Executed </w:t>
      </w:r>
      <w:proofErr w:type="spellStart"/>
      <w:r>
        <w:rPr>
          <w:rStyle w:val="Strong"/>
          <w:rFonts w:eastAsiaTheme="majorEastAsia"/>
        </w:rPr>
        <w:t>xUnit</w:t>
      </w:r>
      <w:proofErr w:type="spellEnd"/>
      <w:r>
        <w:rPr>
          <w:rStyle w:val="Strong"/>
          <w:rFonts w:eastAsiaTheme="majorEastAsia"/>
        </w:rPr>
        <w:t xml:space="preserve"> Integration Testing:</w:t>
      </w:r>
      <w:r>
        <w:t xml:space="preserve"> We established an automated testing project using external, file-based artifacts (</w:t>
      </w:r>
      <w:r>
        <w:rPr>
          <w:rStyle w:val="HTMLCode"/>
          <w:rFonts w:eastAsiaTheme="majorEastAsia"/>
        </w:rPr>
        <w:t>Spec.Payload.Sample.1.md</w:t>
      </w:r>
      <w:r>
        <w:t xml:space="preserve"> and </w:t>
      </w:r>
      <w:r>
        <w:rPr>
          <w:rStyle w:val="HTMLCode"/>
          <w:rFonts w:eastAsiaTheme="majorEastAsia"/>
        </w:rPr>
        <w:t>Spec.Payload.Sample.2.md</w:t>
      </w:r>
      <w:r>
        <w:t>).</w:t>
      </w:r>
    </w:p>
    <w:p w14:paraId="2490C90E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>Proved the Zero-Trust Boundary:</w:t>
      </w:r>
      <w:r>
        <w:t xml:space="preserve"> The testing mathematically proved the platform's governance model. When fed an invalid payload (missing a mandatory Validation section), the pipeline correctly trapped the violation and successfully threw the </w:t>
      </w:r>
      <w:proofErr w:type="spellStart"/>
      <w:r>
        <w:rPr>
          <w:rStyle w:val="HTMLCode"/>
          <w:rFonts w:eastAsiaTheme="majorEastAsia"/>
        </w:rPr>
        <w:t>HumanMachineEscalationException</w:t>
      </w:r>
      <w:proofErr w:type="spellEnd"/>
      <w:r>
        <w:t>, proving that the system halts unsafe autonomous progression.</w:t>
      </w:r>
    </w:p>
    <w:p w14:paraId="617DE9FD" w14:textId="77777777" w:rsidR="00CB60DE" w:rsidRDefault="00CB60DE" w:rsidP="00CB60DE">
      <w:pPr>
        <w:pStyle w:val="Heading2"/>
      </w:pPr>
      <w:r>
        <w:t>Why This Milestone is Important</w:t>
      </w:r>
    </w:p>
    <w:p w14:paraId="36867454" w14:textId="77777777" w:rsidR="00CB60DE" w:rsidRDefault="00CB60DE" w:rsidP="00CB60DE">
      <w:pPr>
        <w:pStyle w:val="NormalWeb"/>
        <w:spacing w:before="120" w:beforeAutospacing="0" w:after="120" w:afterAutospacing="0"/>
      </w:pPr>
      <w:r>
        <w:t>Completing Phases 1 through 4 transitions ALETHEIA from a theoretical architectural concept into a concrete, deterministic software construction engine.</w:t>
      </w:r>
    </w:p>
    <w:p w14:paraId="5F297B67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Enforces Specification-Driven Construction:</w:t>
      </w:r>
      <w:r>
        <w:t xml:space="preserve"> It shifts the central artifact of software engineering from manual source code to the architectural blueprint, allowing the platform to autonomously read intent and separate it from implementation mechanics.</w:t>
      </w:r>
    </w:p>
    <w:p w14:paraId="557003CC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Proves Zero-Trust Autonomy:</w:t>
      </w:r>
      <w:r>
        <w:t xml:space="preserve"> By successfully pulling the digital "Andon Cord" during testing, we proved that the platform operates on a zero-trust model. </w:t>
      </w:r>
      <w:r>
        <w:rPr>
          <w:rStyle w:val="Strong"/>
          <w:rFonts w:eastAsiaTheme="majorEastAsia"/>
        </w:rPr>
        <w:t>The machine does not hallucinate or guess missing architectural components; it halts and enforces explicit Human-Machine Escalation</w:t>
      </w:r>
      <w:r>
        <w:t>.</w:t>
      </w:r>
    </w:p>
    <w:p w14:paraId="454E79BB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Eliminates Conversational Ambiguity:</w:t>
      </w:r>
      <w:r>
        <w:t xml:space="preserve"> We successfully implemented the Model Interaction Protocol mandate to completely abandon prose-based AI chat in favor of Structured Reasoning Transactions and strict format constraints.</w:t>
      </w:r>
    </w:p>
    <w:p w14:paraId="6EA0E5DB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Establishes the Traceability Graph:</w:t>
      </w:r>
      <w:r>
        <w:t xml:space="preserve"> By explicitly extracting and linking traceability identifiers, the platform now possesses the "memory" required to perform automated impact analysis and targeted autonomous repair cycles later in the execution runtime.</w:t>
      </w:r>
    </w:p>
    <w:p w14:paraId="2D9EE41E" w14:textId="77777777" w:rsidR="00CB60DE" w:rsidRDefault="00CB60DE" w:rsidP="00CB60DE">
      <w:pPr>
        <w:pStyle w:val="Heading1"/>
      </w:pPr>
      <w:r>
        <w:t>Highlights on Next Steps</w:t>
      </w:r>
    </w:p>
    <w:p w14:paraId="43A2198E" w14:textId="77777777" w:rsidR="00CB60DE" w:rsidRDefault="00CB60DE" w:rsidP="00CB60DE">
      <w:pPr>
        <w:pStyle w:val="NormalWeb"/>
        <w:spacing w:before="120" w:beforeAutospacing="0" w:after="120" w:afterAutospacing="0"/>
      </w:pPr>
      <w:r>
        <w:t>With the Specification Engine fully operational and tested, the MACS POC is ready to move into the active construction phases.</w:t>
      </w:r>
    </w:p>
    <w:p w14:paraId="2B53EF22" w14:textId="77777777" w:rsidR="00CB60DE" w:rsidRPr="00CB60DE" w:rsidRDefault="00CB60DE" w:rsidP="00CB60DE">
      <w:pPr>
        <w:pStyle w:val="Heading2"/>
      </w:pPr>
      <w:r w:rsidRPr="00CB60DE">
        <w:rPr>
          <w:rStyle w:val="Strong"/>
          <w:b w:val="0"/>
          <w:bCs w:val="0"/>
        </w:rPr>
        <w:lastRenderedPageBreak/>
        <w:t>Next Step 1: The Semantic Model Service</w:t>
      </w:r>
    </w:p>
    <w:p w14:paraId="3CBB4171" w14:textId="0B7F3D00" w:rsidR="00CB60DE" w:rsidRDefault="00CB60DE" w:rsidP="00CB60DE">
      <w:pPr>
        <w:pStyle w:val="NormalWeb"/>
        <w:spacing w:before="120" w:beforeAutospacing="0" w:after="120" w:afterAutospacing="0"/>
      </w:pPr>
      <w:r>
        <w:t xml:space="preserve">We will implement the service responsible for securely storing the successfully parsed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t>. This acts as the central knowledge base of the platform, providing structured query interfaces that all downstream engines will rely upon.</w:t>
      </w:r>
    </w:p>
    <w:p w14:paraId="58D7DC78" w14:textId="77777777" w:rsidR="00CB60DE" w:rsidRPr="00CB60DE" w:rsidRDefault="00CB60DE" w:rsidP="00CB60DE">
      <w:pPr>
        <w:pStyle w:val="Heading2"/>
      </w:pPr>
      <w:r w:rsidRPr="00CB60DE">
        <w:rPr>
          <w:rStyle w:val="Strong"/>
          <w:b w:val="0"/>
          <w:bCs w:val="0"/>
        </w:rPr>
        <w:t>Next Step 2: Phase 5 - The Planning Engine</w:t>
      </w:r>
    </w:p>
    <w:p w14:paraId="76CA5241" w14:textId="67F5B970" w:rsidR="00CB60DE" w:rsidRDefault="00CB60DE" w:rsidP="00CB60DE">
      <w:pPr>
        <w:pStyle w:val="NormalWeb"/>
        <w:spacing w:before="120" w:beforeAutospacing="0" w:after="120" w:afterAutospacing="0"/>
      </w:pPr>
      <w:r>
        <w:t xml:space="preserve">We will build the </w:t>
      </w:r>
      <w:proofErr w:type="spellStart"/>
      <w:r>
        <w:rPr>
          <w:rStyle w:val="HTMLCode"/>
          <w:rFonts w:eastAsiaTheme="majorEastAsia"/>
        </w:rPr>
        <w:t>PlanningEngine</w:t>
      </w:r>
      <w:proofErr w:type="spellEnd"/>
      <w:r>
        <w:t xml:space="preserve"> component. This engine will analyze the relational graph and the trace links within the Semantic Model to autonomously generate a </w:t>
      </w:r>
      <w:r>
        <w:rPr>
          <w:rStyle w:val="Strong"/>
          <w:rFonts w:eastAsiaTheme="majorEastAsia"/>
        </w:rPr>
        <w:t>Construction Task Graph</w:t>
      </w:r>
      <w:r>
        <w:t>. This will translate the static architectural blueprint into an actionable, sequential development plan.</w:t>
      </w:r>
    </w:p>
    <w:p w14:paraId="362C0972" w14:textId="77777777" w:rsidR="00CB60DE" w:rsidRPr="00CB60DE" w:rsidRDefault="00CB60DE" w:rsidP="00CB60DE">
      <w:pPr>
        <w:pStyle w:val="Heading2"/>
        <w:rPr>
          <w:b/>
          <w:bCs/>
        </w:rPr>
      </w:pPr>
      <w:r w:rsidRPr="00CB60DE">
        <w:rPr>
          <w:rStyle w:val="Strong"/>
          <w:b w:val="0"/>
          <w:bCs w:val="0"/>
        </w:rPr>
        <w:t>Next Step 3: Agent Orchestration</w:t>
      </w:r>
    </w:p>
    <w:p w14:paraId="4AC28F62" w14:textId="4D83038D" w:rsidR="00CB60DE" w:rsidRDefault="00CB60DE" w:rsidP="00CB60DE">
      <w:pPr>
        <w:pStyle w:val="NormalWeb"/>
        <w:spacing w:before="120" w:beforeAutospacing="0" w:after="120" w:afterAutospacing="0"/>
      </w:pPr>
      <w:r>
        <w:t xml:space="preserve">Once the Task Graph is generated, the platform will utilize the </w:t>
      </w:r>
      <w:r>
        <w:rPr>
          <w:rStyle w:val="Strong"/>
          <w:rFonts w:eastAsiaTheme="majorEastAsia"/>
        </w:rPr>
        <w:t>Agent Orchestrator</w:t>
      </w:r>
      <w:r>
        <w:t xml:space="preserve"> to dispatch specialized cognitive agents (like the Implementation Generator and Test Generator) to physically write the .NET codebase.</w:t>
      </w:r>
    </w:p>
    <w:p w14:paraId="5CAF697A" w14:textId="77777777" w:rsidR="00D377FF" w:rsidRDefault="00D377FF"/>
    <w:p w14:paraId="79D6C541" w14:textId="77777777" w:rsidR="00C40477" w:rsidRDefault="00C40477"/>
    <w:p w14:paraId="042D1518" w14:textId="77777777" w:rsidR="00C40477" w:rsidRDefault="00C40477"/>
    <w:p w14:paraId="444C5CD2" w14:textId="77777777" w:rsidR="00D377FF" w:rsidRDefault="00D377FF"/>
    <w:p w14:paraId="31E46D69" w14:textId="77777777" w:rsidR="00D377FF" w:rsidRDefault="00D377FF"/>
    <w:p w14:paraId="571DA45D" w14:textId="77777777" w:rsidR="00D377FF" w:rsidRDefault="00D377FF"/>
    <w:p w14:paraId="63A25F7C" w14:textId="77777777" w:rsidR="00D377FF" w:rsidRDefault="00D377FF"/>
    <w:p w14:paraId="1FC91262" w14:textId="77777777" w:rsidR="00D377FF" w:rsidRDefault="00D377FF"/>
    <w:p w14:paraId="7BBC54AD" w14:textId="77777777" w:rsidR="005F2DDD" w:rsidRDefault="005F2DDD"/>
    <w:p w14:paraId="18DBD895" w14:textId="77777777" w:rsidR="005F2DDD" w:rsidRDefault="005F2DDD"/>
    <w:sectPr w:rsidR="005F2DDD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69B"/>
    <w:multiLevelType w:val="multilevel"/>
    <w:tmpl w:val="A29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59D9"/>
    <w:multiLevelType w:val="multilevel"/>
    <w:tmpl w:val="3B0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6F9"/>
    <w:multiLevelType w:val="multilevel"/>
    <w:tmpl w:val="20C2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CB1"/>
    <w:multiLevelType w:val="multilevel"/>
    <w:tmpl w:val="601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77C"/>
    <w:multiLevelType w:val="hybridMultilevel"/>
    <w:tmpl w:val="C316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37F46"/>
    <w:multiLevelType w:val="multilevel"/>
    <w:tmpl w:val="D66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3719A"/>
    <w:multiLevelType w:val="multilevel"/>
    <w:tmpl w:val="E40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24037"/>
    <w:multiLevelType w:val="multilevel"/>
    <w:tmpl w:val="8E7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6418"/>
    <w:multiLevelType w:val="multilevel"/>
    <w:tmpl w:val="5C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C44A5"/>
    <w:multiLevelType w:val="multilevel"/>
    <w:tmpl w:val="7C7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6246F"/>
    <w:multiLevelType w:val="multilevel"/>
    <w:tmpl w:val="ED5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12EED"/>
    <w:multiLevelType w:val="multilevel"/>
    <w:tmpl w:val="094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E4AE6"/>
    <w:multiLevelType w:val="multilevel"/>
    <w:tmpl w:val="54F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8798E"/>
    <w:multiLevelType w:val="multilevel"/>
    <w:tmpl w:val="FC8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176A9"/>
    <w:multiLevelType w:val="multilevel"/>
    <w:tmpl w:val="0F0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B097D"/>
    <w:multiLevelType w:val="multilevel"/>
    <w:tmpl w:val="6A8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49611">
    <w:abstractNumId w:val="6"/>
  </w:num>
  <w:num w:numId="2" w16cid:durableId="2052681503">
    <w:abstractNumId w:val="15"/>
  </w:num>
  <w:num w:numId="3" w16cid:durableId="1555845125">
    <w:abstractNumId w:val="12"/>
  </w:num>
  <w:num w:numId="4" w16cid:durableId="1870146599">
    <w:abstractNumId w:val="1"/>
  </w:num>
  <w:num w:numId="5" w16cid:durableId="1417164312">
    <w:abstractNumId w:val="2"/>
  </w:num>
  <w:num w:numId="6" w16cid:durableId="1796172545">
    <w:abstractNumId w:val="0"/>
  </w:num>
  <w:num w:numId="7" w16cid:durableId="982463016">
    <w:abstractNumId w:val="11"/>
  </w:num>
  <w:num w:numId="8" w16cid:durableId="1078358174">
    <w:abstractNumId w:val="14"/>
  </w:num>
  <w:num w:numId="9" w16cid:durableId="550848675">
    <w:abstractNumId w:val="7"/>
  </w:num>
  <w:num w:numId="10" w16cid:durableId="740910677">
    <w:abstractNumId w:val="13"/>
  </w:num>
  <w:num w:numId="11" w16cid:durableId="269094626">
    <w:abstractNumId w:val="3"/>
  </w:num>
  <w:num w:numId="12" w16cid:durableId="434643370">
    <w:abstractNumId w:val="5"/>
  </w:num>
  <w:num w:numId="13" w16cid:durableId="950357728">
    <w:abstractNumId w:val="10"/>
  </w:num>
  <w:num w:numId="14" w16cid:durableId="441609934">
    <w:abstractNumId w:val="9"/>
  </w:num>
  <w:num w:numId="15" w16cid:durableId="377557925">
    <w:abstractNumId w:val="8"/>
  </w:num>
  <w:num w:numId="16" w16cid:durableId="852184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DD"/>
    <w:rsid w:val="00223A5B"/>
    <w:rsid w:val="00500597"/>
    <w:rsid w:val="005D7289"/>
    <w:rsid w:val="005F2DDD"/>
    <w:rsid w:val="005F714F"/>
    <w:rsid w:val="00641EE8"/>
    <w:rsid w:val="006A7C31"/>
    <w:rsid w:val="006F4208"/>
    <w:rsid w:val="00920326"/>
    <w:rsid w:val="00984106"/>
    <w:rsid w:val="00997A3E"/>
    <w:rsid w:val="00B96208"/>
    <w:rsid w:val="00C2250B"/>
    <w:rsid w:val="00C40477"/>
    <w:rsid w:val="00CA38A3"/>
    <w:rsid w:val="00CB60DE"/>
    <w:rsid w:val="00D377FF"/>
    <w:rsid w:val="00D67784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6D346"/>
  <w15:chartTrackingRefBased/>
  <w15:docId w15:val="{8AE03BEB-ACDD-5145-B033-ACBEABA4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DD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F2D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DDD"/>
    <w:rPr>
      <w:rFonts w:ascii="Courier New" w:eastAsia="Times New Roman" w:hAnsi="Courier New" w:cs="Courier New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2DDD"/>
  </w:style>
  <w:style w:type="character" w:customStyle="1" w:styleId="DateChar">
    <w:name w:val="Date Char"/>
    <w:basedOn w:val="DefaultParagraphFont"/>
    <w:link w:val="Date"/>
    <w:uiPriority w:val="99"/>
    <w:semiHidden/>
    <w:rsid w:val="005F2DDD"/>
  </w:style>
  <w:style w:type="character" w:customStyle="1" w:styleId="ng-star-inserted">
    <w:name w:val="ng-star-inserted"/>
    <w:basedOn w:val="DefaultParagraphFont"/>
    <w:rsid w:val="00D377FF"/>
  </w:style>
  <w:style w:type="paragraph" w:customStyle="1" w:styleId="paragraph">
    <w:name w:val="paragraph"/>
    <w:basedOn w:val="Normal"/>
    <w:rsid w:val="00C4047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203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i-repos/Imhotep.Engine" TargetMode="External"/><Relationship Id="rId5" Type="http://schemas.openxmlformats.org/officeDocument/2006/relationships/hyperlink" Target="https://github.com/eci-repos/Imhotep.Specif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5</cp:revision>
  <dcterms:created xsi:type="dcterms:W3CDTF">2026-03-29T13:52:00Z</dcterms:created>
  <dcterms:modified xsi:type="dcterms:W3CDTF">2026-04-05T19:52:00Z</dcterms:modified>
</cp:coreProperties>
</file>