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A374F" w14:textId="40E5CDC4" w:rsidR="006A7C31" w:rsidRPr="005F05A9" w:rsidRDefault="005F05A9" w:rsidP="00154566">
      <w:pPr>
        <w:pStyle w:val="Title"/>
        <w:rPr>
          <w:sz w:val="48"/>
          <w:szCs w:val="48"/>
        </w:rPr>
      </w:pPr>
      <w:r w:rsidRPr="005F05A9">
        <w:rPr>
          <w:sz w:val="48"/>
          <w:szCs w:val="48"/>
        </w:rPr>
        <w:t>ALETHEIA Specification Engine</w:t>
      </w:r>
    </w:p>
    <w:p w14:paraId="2D57FEE0" w14:textId="3F252758" w:rsidR="004D1DB7" w:rsidRDefault="004D1DB7" w:rsidP="004D1DB7">
      <w:pPr>
        <w:pStyle w:val="ember-view"/>
        <w:spacing w:before="0" w:beforeAutospacing="0" w:after="0" w:afterAutospacing="0"/>
        <w:textAlignment w:val="baseline"/>
        <w:rPr>
          <w:rFonts w:ascii="Segoe UI" w:hAnsi="Segoe UI" w:cs="Segoe UI"/>
        </w:rPr>
      </w:pPr>
      <w:r>
        <w:rPr>
          <w:rFonts w:ascii="Segoe UI" w:hAnsi="Segoe UI" w:cs="Segoe UI"/>
        </w:rPr>
        <w:t>2026-03-</w:t>
      </w:r>
      <w:r w:rsidR="00BE62EA">
        <w:rPr>
          <w:rFonts w:ascii="Segoe UI" w:hAnsi="Segoe UI" w:cs="Segoe UI"/>
        </w:rPr>
        <w:t>2</w:t>
      </w:r>
      <w:r w:rsidR="008B3547">
        <w:rPr>
          <w:rFonts w:ascii="Segoe UI" w:hAnsi="Segoe UI" w:cs="Segoe UI"/>
        </w:rPr>
        <w:t>8</w:t>
      </w:r>
    </w:p>
    <w:p w14:paraId="08AE938C" w14:textId="0EB80D67" w:rsidR="00663D47" w:rsidRDefault="00663D47" w:rsidP="008E1720">
      <w:pPr>
        <w:pStyle w:val="Heading2"/>
      </w:pPr>
      <w:r>
        <w:t>Find th</w:t>
      </w:r>
      <w:r w:rsidR="008E1720">
        <w:t>is</w:t>
      </w:r>
      <w:r>
        <w:t xml:space="preserve"> Documentation</w:t>
      </w:r>
    </w:p>
    <w:p w14:paraId="492E45FA" w14:textId="55A81D35" w:rsidR="004D1DB7" w:rsidRPr="000B7DCE" w:rsidRDefault="004D1DB7" w:rsidP="004D1DB7">
      <w:pPr>
        <w:pStyle w:val="ember-view"/>
        <w:spacing w:before="0" w:beforeAutospacing="0" w:after="0" w:afterAutospacing="0"/>
        <w:textAlignment w:val="baseline"/>
        <w:rPr>
          <w:rFonts w:ascii="Segoe UI" w:hAnsi="Segoe UI" w:cs="Segoe UI"/>
          <w:sz w:val="21"/>
          <w:szCs w:val="21"/>
        </w:rPr>
      </w:pPr>
      <w:r>
        <w:rPr>
          <w:rFonts w:ascii="Segoe UI" w:hAnsi="Segoe UI" w:cs="Segoe UI"/>
        </w:rPr>
        <w:t>This and the full “</w:t>
      </w:r>
      <w:hyperlink r:id="rId5" w:tgtFrame="_self" w:history="1">
        <w:r>
          <w:rPr>
            <w:rStyle w:val="Hyperlink"/>
            <w:rFonts w:ascii="Segoe UI" w:eastAsiaTheme="majorEastAsia" w:hAnsi="Segoe UI" w:cs="Segoe UI"/>
            <w:b/>
            <w:bCs/>
            <w:color w:val="0A66C2"/>
            <w:bdr w:val="none" w:sz="0" w:space="0" w:color="auto" w:frame="1"/>
          </w:rPr>
          <w:t>discussion.im</w:t>
        </w:r>
      </w:hyperlink>
      <w:r>
        <w:rPr>
          <w:rFonts w:ascii="Segoe UI" w:hAnsi="Segoe UI" w:cs="Segoe UI"/>
        </w:rPr>
        <w:t>.macs.</w:t>
      </w:r>
      <w:r w:rsidR="00BE62EA">
        <w:rPr>
          <w:rFonts w:ascii="Segoe UI" w:hAnsi="Segoe UI" w:cs="Segoe UI"/>
        </w:rPr>
        <w:t>spec-engine</w:t>
      </w:r>
      <w:r>
        <w:rPr>
          <w:rFonts w:ascii="Segoe UI" w:hAnsi="Segoe UI" w:cs="Segoe UI"/>
        </w:rPr>
        <w:t xml:space="preserve">” document that describe the </w:t>
      </w:r>
      <w:r w:rsidR="00BE62EA">
        <w:rPr>
          <w:rFonts w:ascii="Segoe UI" w:hAnsi="Segoe UI" w:cs="Segoe UI"/>
        </w:rPr>
        <w:t>specification engine</w:t>
      </w:r>
      <w:r>
        <w:rPr>
          <w:rFonts w:ascii="Segoe UI" w:hAnsi="Segoe UI" w:cs="Segoe UI"/>
        </w:rPr>
        <w:t xml:space="preserve"> are available in the “discussions” folder in GITHUB, visit</w:t>
      </w:r>
      <w:r w:rsidR="008C0ACD">
        <w:rPr>
          <w:rStyle w:val="white-space-pre"/>
          <w:rFonts w:ascii="Segoe UI" w:eastAsiaTheme="majorEastAsia" w:hAnsi="Segoe UI" w:cs="Segoe UI"/>
          <w:bdr w:val="none" w:sz="0" w:space="0" w:color="auto" w:frame="1"/>
        </w:rPr>
        <w:t xml:space="preserve"> the Project Repo</w:t>
      </w:r>
      <w:r w:rsidR="000B7DCE">
        <w:rPr>
          <w:rStyle w:val="white-space-pre"/>
          <w:rFonts w:ascii="Segoe UI" w:eastAsiaTheme="majorEastAsia" w:hAnsi="Segoe UI" w:cs="Segoe UI"/>
          <w:bdr w:val="none" w:sz="0" w:space="0" w:color="auto" w:frame="1"/>
        </w:rPr>
        <w:t xml:space="preserve"> (</w:t>
      </w:r>
      <w:hyperlink r:id="rId6" w:tgtFrame="_self" w:history="1">
        <w:r w:rsidR="000B7DCE" w:rsidRPr="008C0ACD">
          <w:rPr>
            <w:rStyle w:val="Hyperlink"/>
            <w:rFonts w:ascii="Segoe UI" w:eastAsiaTheme="majorEastAsia" w:hAnsi="Segoe UI" w:cs="Segoe UI"/>
            <w:b/>
            <w:bCs/>
            <w:color w:val="0A66C2"/>
            <w:sz w:val="21"/>
            <w:szCs w:val="21"/>
            <w:bdr w:val="none" w:sz="0" w:space="0" w:color="auto" w:frame="1"/>
          </w:rPr>
          <w:t>https://github.com/eci-repos/Aletheia.Specifications</w:t>
        </w:r>
      </w:hyperlink>
      <w:r w:rsidR="000B7DCE">
        <w:rPr>
          <w:rStyle w:val="white-space-pre"/>
          <w:rFonts w:ascii="Segoe UI" w:eastAsiaTheme="majorEastAsia" w:hAnsi="Segoe UI" w:cs="Segoe UI"/>
          <w:bdr w:val="none" w:sz="0" w:space="0" w:color="auto" w:frame="1"/>
        </w:rPr>
        <w:t>)</w:t>
      </w:r>
      <w:r>
        <w:rPr>
          <w:rFonts w:ascii="Segoe UI" w:hAnsi="Segoe UI" w:cs="Segoe UI"/>
        </w:rPr>
        <w:t>.</w:t>
      </w:r>
    </w:p>
    <w:p w14:paraId="2921D19D" w14:textId="095A8DF8" w:rsidR="004D5F55" w:rsidRDefault="004D5F55" w:rsidP="00154566">
      <w:pPr>
        <w:pStyle w:val="Heading1"/>
        <w:spacing w:before="120" w:line="240" w:lineRule="auto"/>
      </w:pPr>
      <w:r>
        <w:t>Where we are?</w:t>
      </w:r>
    </w:p>
    <w:p w14:paraId="6921268D" w14:textId="430B3B2B" w:rsidR="004D5F55" w:rsidRPr="004D5F55" w:rsidRDefault="004D5F55" w:rsidP="00154566">
      <w:pPr>
        <w:spacing w:before="120" w:after="120" w:line="240" w:lineRule="auto"/>
        <w:rPr>
          <w:rFonts w:ascii="Times New Roman" w:eastAsia="Times New Roman" w:hAnsi="Times New Roman" w:cs="Times New Roman"/>
          <w:kern w:val="0"/>
          <w14:ligatures w14:val="none"/>
        </w:rPr>
      </w:pPr>
      <w:r w:rsidRPr="004D5F55">
        <w:rPr>
          <w:rFonts w:ascii="Times New Roman" w:eastAsia="Times New Roman" w:hAnsi="Times New Roman" w:cs="Times New Roman"/>
          <w:kern w:val="0"/>
          <w14:ligatures w14:val="none"/>
        </w:rPr>
        <w:t>The ALETHEIA Autonomous Software Development Lifecycle (SDLC)</w:t>
      </w:r>
      <w:r>
        <w:rPr>
          <w:rFonts w:ascii="Times New Roman" w:eastAsia="Times New Roman" w:hAnsi="Times New Roman" w:cs="Times New Roman"/>
          <w:kern w:val="0"/>
          <w14:ligatures w14:val="none"/>
        </w:rPr>
        <w:t xml:space="preserve"> as previously discussed (see the “</w:t>
      </w:r>
      <w:proofErr w:type="spellStart"/>
      <w:proofErr w:type="gramStart"/>
      <w:r>
        <w:rPr>
          <w:rFonts w:ascii="Times New Roman" w:eastAsia="Times New Roman" w:hAnsi="Times New Roman" w:cs="Times New Roman"/>
          <w:kern w:val="0"/>
          <w14:ligatures w14:val="none"/>
        </w:rPr>
        <w:t>discussion.im.macs</w:t>
      </w:r>
      <w:proofErr w:type="gramEnd"/>
      <w:r>
        <w:rPr>
          <w:rFonts w:ascii="Times New Roman" w:eastAsia="Times New Roman" w:hAnsi="Times New Roman" w:cs="Times New Roman"/>
          <w:kern w:val="0"/>
          <w14:ligatures w14:val="none"/>
        </w:rPr>
        <w:t>.autonomous-sdlc</w:t>
      </w:r>
      <w:proofErr w:type="spellEnd"/>
      <w:r>
        <w:rPr>
          <w:rFonts w:ascii="Times New Roman" w:eastAsia="Times New Roman" w:hAnsi="Times New Roman" w:cs="Times New Roman"/>
          <w:kern w:val="0"/>
          <w14:ligatures w14:val="none"/>
        </w:rPr>
        <w:t>” post)</w:t>
      </w:r>
      <w:r w:rsidRPr="004D5F55">
        <w:rPr>
          <w:rFonts w:ascii="Times New Roman" w:eastAsia="Times New Roman" w:hAnsi="Times New Roman" w:cs="Times New Roman"/>
          <w:kern w:val="0"/>
          <w14:ligatures w14:val="none"/>
        </w:rPr>
        <w:t xml:space="preserve"> transforms traditional software engineering by embedding its phases into an autonomous construction architecture driven by formal specifications. In this paradigm, the transition between human and machine is explicitly demarcated: </w:t>
      </w:r>
      <w:r w:rsidRPr="004D5F55">
        <w:rPr>
          <w:rFonts w:ascii="Times New Roman" w:eastAsia="Times New Roman" w:hAnsi="Times New Roman" w:cs="Times New Roman"/>
          <w:b/>
          <w:bCs/>
          <w:kern w:val="0"/>
          <w14:ligatures w14:val="none"/>
        </w:rPr>
        <w:t>human professionals shift their focus away from manual coding and instead apply their expertise to defining system intent, architectural boundaries, security policies, and operational constraints</w:t>
      </w:r>
      <w:r w:rsidRPr="004D5F55">
        <w:rPr>
          <w:rFonts w:ascii="Times New Roman" w:eastAsia="Times New Roman" w:hAnsi="Times New Roman" w:cs="Times New Roman"/>
          <w:kern w:val="0"/>
          <w14:ligatures w14:val="none"/>
        </w:rPr>
        <w:t>. A cross-functional human team authors the blueprint, and once this specification clears formal Approval Gates to achieve the "Autonomous-Ready" level, human intervention pauses. At this exact boundary, the machine takes over; the platform's orchestrator assumes control and operates as a deterministic construction engine, executing planning, code generation, validation, and repair loops based entirely on the constraints established by the humans.</w:t>
      </w:r>
    </w:p>
    <w:p w14:paraId="37D0DF3E" w14:textId="1928950E" w:rsidR="004D5F55" w:rsidRPr="004D5F55" w:rsidRDefault="004D5F55" w:rsidP="00154566">
      <w:pPr>
        <w:spacing w:before="120" w:after="120" w:line="240" w:lineRule="auto"/>
        <w:rPr>
          <w:rFonts w:ascii="Times New Roman" w:eastAsia="Times New Roman" w:hAnsi="Times New Roman" w:cs="Times New Roman"/>
          <w:kern w:val="0"/>
          <w14:ligatures w14:val="none"/>
        </w:rPr>
      </w:pPr>
      <w:r w:rsidRPr="004D5F55">
        <w:rPr>
          <w:rFonts w:ascii="Times New Roman" w:eastAsia="Times New Roman" w:hAnsi="Times New Roman" w:cs="Times New Roman"/>
          <w:kern w:val="0"/>
          <w14:ligatures w14:val="none"/>
        </w:rPr>
        <w:t xml:space="preserve">We needed to establish and perfect the </w:t>
      </w:r>
      <w:r w:rsidRPr="004D5F55">
        <w:rPr>
          <w:rFonts w:ascii="Times New Roman" w:eastAsia="Times New Roman" w:hAnsi="Times New Roman" w:cs="Times New Roman"/>
          <w:b/>
          <w:bCs/>
          <w:kern w:val="0"/>
          <w14:ligatures w14:val="none"/>
        </w:rPr>
        <w:t>Specification Engine</w:t>
      </w:r>
      <w:r w:rsidRPr="004D5F55">
        <w:rPr>
          <w:rFonts w:ascii="Times New Roman" w:eastAsia="Times New Roman" w:hAnsi="Times New Roman" w:cs="Times New Roman"/>
          <w:kern w:val="0"/>
          <w14:ligatures w14:val="none"/>
        </w:rPr>
        <w:t xml:space="preserve"> at this point in the discussion because </w:t>
      </w:r>
      <w:r w:rsidRPr="004D5F55">
        <w:rPr>
          <w:rFonts w:ascii="Times New Roman" w:eastAsia="Times New Roman" w:hAnsi="Times New Roman" w:cs="Times New Roman"/>
          <w:b/>
          <w:bCs/>
          <w:kern w:val="0"/>
          <w14:ligatures w14:val="none"/>
        </w:rPr>
        <w:t>it acts as the formal entry point and the primary zero-trust boundary between human intent and the platform's reasoning agents</w:t>
      </w:r>
      <w:r w:rsidRPr="004D5F55">
        <w:rPr>
          <w:rFonts w:ascii="Times New Roman" w:eastAsia="Times New Roman" w:hAnsi="Times New Roman" w:cs="Times New Roman"/>
          <w:kern w:val="0"/>
          <w14:ligatures w14:val="none"/>
        </w:rPr>
        <w:t>. The platform cannot safely initiate the autonomous SDLC without a highly structured, machine-</w:t>
      </w:r>
      <w:proofErr w:type="spellStart"/>
      <w:r w:rsidRPr="004D5F55">
        <w:rPr>
          <w:rFonts w:ascii="Times New Roman" w:eastAsia="Times New Roman" w:hAnsi="Times New Roman" w:cs="Times New Roman"/>
          <w:kern w:val="0"/>
          <w14:ligatures w14:val="none"/>
        </w:rPr>
        <w:t>parseable</w:t>
      </w:r>
      <w:proofErr w:type="spellEnd"/>
      <w:r w:rsidRPr="004D5F55">
        <w:rPr>
          <w:rFonts w:ascii="Times New Roman" w:eastAsia="Times New Roman" w:hAnsi="Times New Roman" w:cs="Times New Roman"/>
          <w:kern w:val="0"/>
          <w14:ligatures w14:val="none"/>
        </w:rPr>
        <w:t xml:space="preserve"> blueprint.</w:t>
      </w:r>
    </w:p>
    <w:p w14:paraId="63111634" w14:textId="77777777" w:rsidR="004D5F55" w:rsidRPr="004D5F55" w:rsidRDefault="004D5F55" w:rsidP="00154566">
      <w:pPr>
        <w:spacing w:before="120" w:after="120" w:line="240" w:lineRule="auto"/>
        <w:rPr>
          <w:rFonts w:ascii="Times New Roman" w:eastAsia="Times New Roman" w:hAnsi="Times New Roman" w:cs="Times New Roman"/>
          <w:kern w:val="0"/>
          <w14:ligatures w14:val="none"/>
        </w:rPr>
      </w:pPr>
      <w:r w:rsidRPr="004D5F55">
        <w:rPr>
          <w:rFonts w:ascii="Times New Roman" w:eastAsia="Times New Roman" w:hAnsi="Times New Roman" w:cs="Times New Roman"/>
          <w:kern w:val="0"/>
          <w14:ligatures w14:val="none"/>
        </w:rPr>
        <w:t>Working on the Specification Engine was a mandatory prerequisite before moving to the execution phase for several critical reasons:</w:t>
      </w:r>
    </w:p>
    <w:p w14:paraId="218DAA13" w14:textId="77777777" w:rsidR="004D5F55" w:rsidRPr="004D5F55" w:rsidRDefault="004D5F55" w:rsidP="00154566">
      <w:pPr>
        <w:numPr>
          <w:ilvl w:val="0"/>
          <w:numId w:val="19"/>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4D5F55">
        <w:rPr>
          <w:rFonts w:ascii="Google Sans Text" w:eastAsia="Times New Roman" w:hAnsi="Google Sans Text" w:cs="Times New Roman"/>
          <w:b/>
          <w:bCs/>
          <w:color w:val="303030"/>
          <w:kern w:val="0"/>
          <w:sz w:val="21"/>
          <w:szCs w:val="21"/>
          <w14:ligatures w14:val="none"/>
        </w:rPr>
        <w:t>Semantic Normalization:</w:t>
      </w:r>
      <w:r w:rsidRPr="004D5F55">
        <w:rPr>
          <w:rFonts w:ascii="Google Sans Text" w:eastAsia="Times New Roman" w:hAnsi="Google Sans Text" w:cs="Times New Roman"/>
          <w:color w:val="303030"/>
          <w:kern w:val="0"/>
          <w:sz w:val="21"/>
          <w:szCs w:val="21"/>
          <w14:ligatures w14:val="none"/>
        </w:rPr>
        <w:t xml:space="preserve"> The Specification Engine is responsible for parsing the human-authored Structured Transaction Payload and normalizing it into the Canonical Semantic </w:t>
      </w:r>
      <w:proofErr w:type="gramStart"/>
      <w:r w:rsidRPr="004D5F55">
        <w:rPr>
          <w:rFonts w:ascii="Google Sans Text" w:eastAsia="Times New Roman" w:hAnsi="Google Sans Text" w:cs="Times New Roman"/>
          <w:color w:val="303030"/>
          <w:kern w:val="0"/>
          <w:sz w:val="21"/>
          <w:szCs w:val="21"/>
          <w14:ligatures w14:val="none"/>
        </w:rPr>
        <w:t>Model,.</w:t>
      </w:r>
      <w:proofErr w:type="gramEnd"/>
    </w:p>
    <w:p w14:paraId="52C264EE" w14:textId="440FF69B" w:rsidR="004D5F55" w:rsidRPr="004D5F55" w:rsidRDefault="004D5F55" w:rsidP="00154566">
      <w:pPr>
        <w:numPr>
          <w:ilvl w:val="0"/>
          <w:numId w:val="19"/>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4D5F55">
        <w:rPr>
          <w:rFonts w:ascii="Google Sans Text" w:eastAsia="Times New Roman" w:hAnsi="Google Sans Text" w:cs="Times New Roman"/>
          <w:b/>
          <w:bCs/>
          <w:color w:val="303030"/>
          <w:kern w:val="0"/>
          <w:sz w:val="21"/>
          <w:szCs w:val="21"/>
          <w14:ligatures w14:val="none"/>
        </w:rPr>
        <w:t>Structural Discipline:</w:t>
      </w:r>
      <w:r w:rsidRPr="004D5F55">
        <w:rPr>
          <w:rFonts w:ascii="Google Sans Text" w:eastAsia="Times New Roman" w:hAnsi="Google Sans Text" w:cs="Times New Roman"/>
          <w:color w:val="303030"/>
          <w:kern w:val="0"/>
          <w:sz w:val="21"/>
          <w:szCs w:val="21"/>
          <w14:ligatures w14:val="none"/>
        </w:rPr>
        <w:t xml:space="preserve"> We had to define how the engine enforces Strict Entity Demarcation and restricts inputs to the 13 discrete canonical entities so that architectural intent can be extracted without ambiguity.</w:t>
      </w:r>
    </w:p>
    <w:p w14:paraId="06A6E9FD" w14:textId="20E9CAA6" w:rsidR="004D5F55" w:rsidRPr="004D5F55" w:rsidRDefault="004D5F55" w:rsidP="00154566">
      <w:pPr>
        <w:numPr>
          <w:ilvl w:val="0"/>
          <w:numId w:val="19"/>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4D5F55">
        <w:rPr>
          <w:rFonts w:ascii="Google Sans Text" w:eastAsia="Times New Roman" w:hAnsi="Google Sans Text" w:cs="Times New Roman"/>
          <w:b/>
          <w:bCs/>
          <w:color w:val="303030"/>
          <w:kern w:val="0"/>
          <w:sz w:val="21"/>
          <w:szCs w:val="21"/>
          <w14:ligatures w14:val="none"/>
        </w:rPr>
        <w:t>Traceability and Governance:</w:t>
      </w:r>
      <w:r w:rsidRPr="004D5F55">
        <w:rPr>
          <w:rFonts w:ascii="Google Sans Text" w:eastAsia="Times New Roman" w:hAnsi="Google Sans Text" w:cs="Times New Roman"/>
          <w:color w:val="303030"/>
          <w:kern w:val="0"/>
          <w:sz w:val="21"/>
          <w:szCs w:val="21"/>
          <w14:ligatures w14:val="none"/>
        </w:rPr>
        <w:t xml:space="preserve"> The engine validates persistent Traceability Identifiers to build the Traceability Graph, and it integrates with the Governance Engine to ensure human approval has been secured.</w:t>
      </w:r>
    </w:p>
    <w:p w14:paraId="4C6B3520" w14:textId="77777777" w:rsidR="004D5F55" w:rsidRPr="004D5F55" w:rsidRDefault="004D5F55" w:rsidP="00154566">
      <w:pPr>
        <w:spacing w:before="120" w:after="0" w:line="240" w:lineRule="auto"/>
        <w:rPr>
          <w:rFonts w:ascii="Times New Roman" w:eastAsia="Times New Roman" w:hAnsi="Times New Roman" w:cs="Times New Roman"/>
          <w:kern w:val="0"/>
          <w14:ligatures w14:val="none"/>
        </w:rPr>
      </w:pPr>
      <w:r w:rsidRPr="004D5F55">
        <w:rPr>
          <w:rFonts w:ascii="Times New Roman" w:eastAsia="Times New Roman" w:hAnsi="Times New Roman" w:cs="Times New Roman"/>
          <w:kern w:val="0"/>
          <w14:ligatures w14:val="none"/>
        </w:rPr>
        <w:t>Simply put, the downstream Execution Runtime and its reasoning agents cannot autonomously build, test, and repair a system unless the Specification Engine has first securely ingested, validated, and normalized the blueprint.</w:t>
      </w:r>
    </w:p>
    <w:p w14:paraId="505596C2" w14:textId="10DB7DBD" w:rsidR="004D5F55" w:rsidRDefault="004D5F55" w:rsidP="00154566">
      <w:pPr>
        <w:pStyle w:val="Heading1"/>
        <w:spacing w:line="240" w:lineRule="auto"/>
      </w:pPr>
      <w:r>
        <w:lastRenderedPageBreak/>
        <w:t>The</w:t>
      </w:r>
      <w:r w:rsidR="00A0755F">
        <w:t xml:space="preserve"> Specification</w:t>
      </w:r>
      <w:r>
        <w:t xml:space="preserve"> Engine</w:t>
      </w:r>
    </w:p>
    <w:p w14:paraId="499CFFB8" w14:textId="1A1FC858" w:rsidR="00374585" w:rsidRDefault="00374585" w:rsidP="00154566">
      <w:pPr>
        <w:pStyle w:val="NormalWeb"/>
        <w:spacing w:before="120" w:beforeAutospacing="0" w:after="120" w:afterAutospacing="0"/>
      </w:pPr>
      <w:r>
        <w:t>The Specification Engine is the formal entry point of the ALETHEIA platform. It is responsible for receiving, parsing, validating, and managing system specifications authored using the ALETHEIA Specification Language (ISL). To ensure the platform can execute autonomous construction securely and reliably, the Specification Engine’s design enforces strict protocols regarding human interaction, security boundaries, and architectural readiness.</w:t>
      </w:r>
    </w:p>
    <w:p w14:paraId="270B1455" w14:textId="77777777" w:rsidR="00374585" w:rsidRDefault="00374585" w:rsidP="00154566">
      <w:pPr>
        <w:pStyle w:val="NormalWeb"/>
        <w:spacing w:before="120" w:beforeAutospacing="0" w:after="120" w:afterAutospacing="0"/>
      </w:pPr>
      <w:r>
        <w:t>Here is the comprehensive, updated design of the Specification Engine incorporating zero-trust security, semantic normalization, traceability validation, governance integration, and the implementation roadmap.</w:t>
      </w:r>
    </w:p>
    <w:p w14:paraId="6F17B63A" w14:textId="77777777" w:rsidR="00374585" w:rsidRDefault="00374585" w:rsidP="00154566">
      <w:pPr>
        <w:pStyle w:val="Heading2"/>
        <w:spacing w:line="240" w:lineRule="auto"/>
      </w:pPr>
      <w:r>
        <w:t>1. Zero-Trust Security and Prompt Injection Protection</w:t>
      </w:r>
    </w:p>
    <w:p w14:paraId="7BB6B57E" w14:textId="77777777" w:rsidR="00374585" w:rsidRDefault="00374585" w:rsidP="00154566">
      <w:pPr>
        <w:pStyle w:val="NormalWeb"/>
        <w:spacing w:before="120" w:beforeAutospacing="0" w:after="120" w:afterAutospacing="0"/>
      </w:pPr>
      <w:r>
        <w:t xml:space="preserve">Under the Platform Security Architecture, the Specification Engine acts as the primary zero-trust boundary between human inputs and the platform's reasoning agents. Humans do not interact with the engine via conversational UI or chat interfaces; they interact with it exclusively through </w:t>
      </w:r>
      <w:r>
        <w:rPr>
          <w:rStyle w:val="Strong"/>
          <w:rFonts w:eastAsiaTheme="majorEastAsia"/>
        </w:rPr>
        <w:t>Structured Reasoning Transactions</w:t>
      </w:r>
      <w:r>
        <w:t>.</w:t>
      </w:r>
    </w:p>
    <w:p w14:paraId="2B5DAEAB" w14:textId="77777777" w:rsidR="00374585" w:rsidRDefault="00374585" w:rsidP="00154566">
      <w:pPr>
        <w:pStyle w:val="NormalWeb"/>
        <w:spacing w:before="120" w:beforeAutospacing="0" w:after="120" w:afterAutospacing="0"/>
      </w:pPr>
      <w:r>
        <w:t xml:space="preserve">Before routing any parsed graph through the </w:t>
      </w:r>
      <w:proofErr w:type="spellStart"/>
      <w:r>
        <w:rPr>
          <w:rStyle w:val="HTMLCode"/>
          <w:rFonts w:eastAsiaTheme="majorEastAsia"/>
        </w:rPr>
        <w:t>IModelGateway</w:t>
      </w:r>
      <w:proofErr w:type="spellEnd"/>
      <w:r>
        <w:t xml:space="preserve">, the Specification Engine </w:t>
      </w:r>
      <w:r>
        <w:rPr>
          <w:rStyle w:val="Strong"/>
          <w:rFonts w:eastAsiaTheme="majorEastAsia"/>
        </w:rPr>
        <w:t>must sanitize and validate all human-authored inputs to protect against prompt injection and context manipulation</w:t>
      </w:r>
      <w:r>
        <w:t>. The platform ensures that external inputs cannot arbitrarily alter the reasoning behavior of the system, verifying that all inputs conform strictly to the Model Interaction Protocol before they are transmitted to any model provider.</w:t>
      </w:r>
    </w:p>
    <w:p w14:paraId="44028E64" w14:textId="77777777" w:rsidR="00374585" w:rsidRDefault="00374585" w:rsidP="00154566">
      <w:pPr>
        <w:pStyle w:val="Heading2"/>
        <w:spacing w:line="240" w:lineRule="auto"/>
      </w:pPr>
      <w:r>
        <w:t>2. How Humans and the Specification Engine Interact</w:t>
      </w:r>
    </w:p>
    <w:p w14:paraId="311D7BFA" w14:textId="77777777" w:rsidR="00374585" w:rsidRDefault="00374585" w:rsidP="00154566">
      <w:pPr>
        <w:pStyle w:val="NormalWeb"/>
        <w:spacing w:before="120" w:beforeAutospacing="0" w:after="120" w:afterAutospacing="0"/>
      </w:pPr>
      <w:r>
        <w:t>Once security boundaries are cleared, the ingestion process relies on heavily structured document formatting.</w:t>
      </w:r>
    </w:p>
    <w:p w14:paraId="532A0401" w14:textId="77777777" w:rsidR="00374585" w:rsidRDefault="00374585" w:rsidP="00154566">
      <w:pPr>
        <w:numPr>
          <w:ilvl w:val="0"/>
          <w:numId w:val="7"/>
        </w:numPr>
        <w:spacing w:after="0" w:line="240" w:lineRule="auto"/>
      </w:pPr>
      <w:r>
        <w:rPr>
          <w:rStyle w:val="Strong"/>
        </w:rPr>
        <w:t>The Payload:</w:t>
      </w:r>
      <w:r>
        <w:t xml:space="preserve"> The human governance team (Architects, Domain Experts, Security Validators) authors a </w:t>
      </w:r>
      <w:r>
        <w:rPr>
          <w:rStyle w:val="Strong"/>
        </w:rPr>
        <w:t>Structured Transaction Payload (STP)</w:t>
      </w:r>
      <w:r>
        <w:t>. This payload contains YAML-style frontmatter for metadata (Transaction ID, Agent Roles) and exact Markdown headers mapping to the 13 canonical entities (Project, Context, Service, Policy, etc.).</w:t>
      </w:r>
    </w:p>
    <w:p w14:paraId="0DE88092" w14:textId="77777777" w:rsidR="00374585" w:rsidRDefault="00374585" w:rsidP="00154566">
      <w:pPr>
        <w:numPr>
          <w:ilvl w:val="0"/>
          <w:numId w:val="7"/>
        </w:numPr>
        <w:spacing w:after="0" w:line="240" w:lineRule="auto"/>
      </w:pPr>
      <w:r>
        <w:rPr>
          <w:rStyle w:val="Strong"/>
        </w:rPr>
        <w:t>Traceability Identifier Validation:</w:t>
      </w:r>
      <w:r>
        <w:t xml:space="preserve"> As the foundational entry point, the engine enforces strict traceability nomenclature. It validates that </w:t>
      </w:r>
      <w:r>
        <w:rPr>
          <w:rStyle w:val="Strong"/>
        </w:rPr>
        <w:t>every canonical entity is assigned a persistent, unique Traceability Identifier (e.g., REQ-001, SRV-01)</w:t>
      </w:r>
      <w:r>
        <w:t xml:space="preserve"> by the human team. This mandatory validation forms the bidirectional Traceability Graph, which the platform requires for future impact analysis, debugging, and automated repair cycles.</w:t>
      </w:r>
    </w:p>
    <w:p w14:paraId="2B990B3A" w14:textId="77777777" w:rsidR="00374585" w:rsidRDefault="00374585" w:rsidP="00154566">
      <w:pPr>
        <w:numPr>
          <w:ilvl w:val="0"/>
          <w:numId w:val="7"/>
        </w:numPr>
        <w:spacing w:after="0" w:line="240" w:lineRule="auto"/>
      </w:pPr>
      <w:r>
        <w:rPr>
          <w:rStyle w:val="Strong"/>
        </w:rPr>
        <w:t>The Submission &amp; Parsing:</w:t>
      </w:r>
      <w:r>
        <w:t xml:space="preserve"> Humans submit this file to the Specification Engine via an abstracted ingestion process. The engine then uses formal parsers to convert the human-authored Markdown/YAML into a machine-readable format.</w:t>
      </w:r>
    </w:p>
    <w:p w14:paraId="29506DAA" w14:textId="77777777" w:rsidR="00374585" w:rsidRDefault="00374585" w:rsidP="00154566">
      <w:pPr>
        <w:pStyle w:val="Heading2"/>
        <w:spacing w:line="240" w:lineRule="auto"/>
      </w:pPr>
      <w:r>
        <w:t>3. Deep Semantic Normalization and Automated Readiness Evaluation</w:t>
      </w:r>
    </w:p>
    <w:p w14:paraId="0D8BD213" w14:textId="77777777" w:rsidR="00374585" w:rsidRDefault="00374585" w:rsidP="00154566">
      <w:pPr>
        <w:pStyle w:val="NormalWeb"/>
        <w:spacing w:before="120" w:beforeAutospacing="0" w:after="120" w:afterAutospacing="0"/>
      </w:pPr>
      <w:r>
        <w:t>Parsing the document is only the first step. The Specification Engine must perform strict validation before invoking the Specification Interpreter agent.</w:t>
      </w:r>
    </w:p>
    <w:p w14:paraId="4806E909" w14:textId="77777777" w:rsidR="00374585" w:rsidRDefault="00374585" w:rsidP="00154566">
      <w:pPr>
        <w:numPr>
          <w:ilvl w:val="0"/>
          <w:numId w:val="8"/>
        </w:numPr>
        <w:spacing w:after="0" w:line="240" w:lineRule="auto"/>
      </w:pPr>
      <w:r>
        <w:rPr>
          <w:rStyle w:val="Strong"/>
        </w:rPr>
        <w:lastRenderedPageBreak/>
        <w:t>Deep Semantic Normalization:</w:t>
      </w:r>
      <w:r>
        <w:t xml:space="preserve"> The </w:t>
      </w:r>
      <w:proofErr w:type="spellStart"/>
      <w:r>
        <w:rPr>
          <w:rStyle w:val="HTMLCode"/>
          <w:rFonts w:eastAsiaTheme="majorEastAsia"/>
        </w:rPr>
        <w:t>ISemanticNormalizer</w:t>
      </w:r>
      <w:proofErr w:type="spellEnd"/>
      <w:r>
        <w:t xml:space="preserve"> extracts semantic entities and constructs the relational graph representing the system's architecture.</w:t>
      </w:r>
    </w:p>
    <w:p w14:paraId="4C26D8B5" w14:textId="77777777" w:rsidR="00374585" w:rsidRDefault="00374585" w:rsidP="00154566">
      <w:pPr>
        <w:numPr>
          <w:ilvl w:val="0"/>
          <w:numId w:val="8"/>
        </w:numPr>
        <w:spacing w:after="0" w:line="240" w:lineRule="auto"/>
      </w:pPr>
      <w:r>
        <w:rPr>
          <w:rStyle w:val="Strong"/>
        </w:rPr>
        <w:t>Automated Readiness Evaluation:</w:t>
      </w:r>
      <w:r>
        <w:t xml:space="preserve"> The </w:t>
      </w:r>
      <w:proofErr w:type="spellStart"/>
      <w:r>
        <w:rPr>
          <w:rStyle w:val="HTMLCode"/>
          <w:rFonts w:eastAsiaTheme="majorEastAsia"/>
        </w:rPr>
        <w:t>IReadinessEvaluator</w:t>
      </w:r>
      <w:proofErr w:type="spellEnd"/>
      <w:r>
        <w:t xml:space="preserve"> performs automated analysis of the specification structure. Rather than merely checking syntax, it </w:t>
      </w:r>
      <w:r>
        <w:rPr>
          <w:rStyle w:val="Strong"/>
        </w:rPr>
        <w:t>verifies the presence of required entities, evaluates consistency between requirements and architectural elements, and identifies potential gaps</w:t>
      </w:r>
      <w:r>
        <w:t>. If the blueprint fails this basic schema and consistency validation, the engine rejects it before wasting cognitive resources.</w:t>
      </w:r>
    </w:p>
    <w:p w14:paraId="09547AD0" w14:textId="77777777" w:rsidR="00374585" w:rsidRDefault="00374585" w:rsidP="00154566">
      <w:pPr>
        <w:pStyle w:val="Heading2"/>
        <w:spacing w:line="240" w:lineRule="auto"/>
      </w:pPr>
      <w:r>
        <w:t>4. The Human-Machine Feedback Loop</w:t>
      </w:r>
    </w:p>
    <w:p w14:paraId="08F835FD" w14:textId="77777777" w:rsidR="00374585" w:rsidRDefault="00374585" w:rsidP="00154566">
      <w:pPr>
        <w:pStyle w:val="NormalWeb"/>
        <w:spacing w:before="120" w:beforeAutospacing="0" w:after="120" w:afterAutospacing="0"/>
      </w:pPr>
      <w:r>
        <w:t xml:space="preserve">If the specification passes initial normalization, the engine routes the semantic graph to the </w:t>
      </w:r>
      <w:r>
        <w:rPr>
          <w:rStyle w:val="Strong"/>
          <w:rFonts w:eastAsiaTheme="majorEastAsia"/>
        </w:rPr>
        <w:t>Specification Interpreter</w:t>
      </w:r>
      <w:r>
        <w:t xml:space="preserve"> agent.</w:t>
      </w:r>
    </w:p>
    <w:p w14:paraId="353BD5C5" w14:textId="77777777" w:rsidR="00374585" w:rsidRDefault="00374585" w:rsidP="00154566">
      <w:pPr>
        <w:numPr>
          <w:ilvl w:val="0"/>
          <w:numId w:val="9"/>
        </w:numPr>
        <w:spacing w:after="0" w:line="240" w:lineRule="auto"/>
      </w:pPr>
      <w:r>
        <w:rPr>
          <w:rStyle w:val="Strong"/>
        </w:rPr>
        <w:t>The Clarification Block:</w:t>
      </w:r>
      <w:r>
        <w:t xml:space="preserve"> If the agent detects missing mandatory boundaries or unmapped deterministic validation rules, it performs "Advisory Collaboration". The platform does not output a conversational response; instead, it appends a strictly formatted </w:t>
      </w:r>
      <w:r>
        <w:rPr>
          <w:rStyle w:val="HTMLCode"/>
          <w:rFonts w:eastAsiaTheme="majorEastAsia"/>
          <w:b/>
          <w:bCs/>
        </w:rPr>
        <w:t>### CLARIFICATIONS REQUIRED</w:t>
      </w:r>
      <w:r>
        <w:t xml:space="preserve"> Markdown block to the very end of the blueprint containing structured questions.</w:t>
      </w:r>
    </w:p>
    <w:p w14:paraId="5384BC82" w14:textId="77777777" w:rsidR="00374585" w:rsidRDefault="00374585" w:rsidP="00154566">
      <w:pPr>
        <w:numPr>
          <w:ilvl w:val="0"/>
          <w:numId w:val="9"/>
        </w:numPr>
        <w:spacing w:after="0" w:line="240" w:lineRule="auto"/>
      </w:pPr>
      <w:r>
        <w:rPr>
          <w:rStyle w:val="Strong"/>
        </w:rPr>
        <w:t>The Resolution Loop:</w:t>
      </w:r>
      <w:r>
        <w:t xml:space="preserve"> The human team manually updates the canonical headers to resolve the gaps, removes the clarifications block, and resubmits the STP to the Specification Engine. This loop continues until the blueprint is structurally complete.</w:t>
      </w:r>
    </w:p>
    <w:p w14:paraId="2640AE2E" w14:textId="77777777" w:rsidR="00374585" w:rsidRDefault="00374585" w:rsidP="00154566">
      <w:pPr>
        <w:pStyle w:val="Heading2"/>
        <w:spacing w:line="240" w:lineRule="auto"/>
      </w:pPr>
      <w:r>
        <w:t>5. Governance Engine Integration for Approval Gates</w:t>
      </w:r>
    </w:p>
    <w:p w14:paraId="1A66E438" w14:textId="77777777" w:rsidR="00374585" w:rsidRDefault="00374585" w:rsidP="00154566">
      <w:pPr>
        <w:pStyle w:val="NormalWeb"/>
        <w:spacing w:before="120" w:beforeAutospacing="0" w:after="120" w:afterAutospacing="0"/>
      </w:pPr>
      <w:r>
        <w:t xml:space="preserve">Once the blueprint is refined, the Specification Engine does not independently authorize the transition to the Machine-Valid or Autonomous-Ready levels. It must integrate with the </w:t>
      </w:r>
      <w:r>
        <w:rPr>
          <w:rStyle w:val="Strong"/>
          <w:rFonts w:eastAsiaTheme="majorEastAsia"/>
        </w:rPr>
        <w:t>Governance Engine</w:t>
      </w:r>
      <w:r>
        <w:t>, which enforces organizational policies and approval processes.</w:t>
      </w:r>
    </w:p>
    <w:p w14:paraId="784DF316" w14:textId="77777777" w:rsidR="00374585" w:rsidRDefault="00374585" w:rsidP="00154566">
      <w:pPr>
        <w:pStyle w:val="NormalWeb"/>
        <w:spacing w:before="120" w:beforeAutospacing="0" w:after="120" w:afterAutospacing="0"/>
      </w:pPr>
      <w:r>
        <w:t xml:space="preserve">The Specification Engine verifies that </w:t>
      </w:r>
      <w:r>
        <w:rPr>
          <w:rStyle w:val="Strong"/>
          <w:rFonts w:eastAsiaTheme="majorEastAsia"/>
        </w:rPr>
        <w:t>explicit Approval Gates have been satisfied by the designated Human Governance Roles</w:t>
      </w:r>
      <w:r>
        <w:t xml:space="preserve"> (e.g., IT Architects, Security Validators, Court Auditors). Only when these stakeholders have formally reviewed and approved the architecture, security constraints, and deterministic rules can the specification advance to the Autonomous-Ready level.</w:t>
      </w:r>
    </w:p>
    <w:p w14:paraId="61737C6A" w14:textId="77777777" w:rsidR="00374585" w:rsidRDefault="00374585" w:rsidP="00154566">
      <w:pPr>
        <w:pStyle w:val="Heading2"/>
        <w:spacing w:line="240" w:lineRule="auto"/>
      </w:pPr>
      <w:r>
        <w:t>6. Architectural Handoff to the Semantic Model Engine</w:t>
      </w:r>
    </w:p>
    <w:p w14:paraId="2678DE3A" w14:textId="77777777" w:rsidR="00374585" w:rsidRDefault="00374585" w:rsidP="00154566">
      <w:pPr>
        <w:pStyle w:val="NormalWeb"/>
        <w:spacing w:before="120" w:beforeAutospacing="0" w:after="120" w:afterAutospacing="0"/>
      </w:pPr>
      <w:r>
        <w:t>After the specification is parsed, validated, and approved by human governance, the Specification Engine executes a critical runtime handoff.</w:t>
      </w:r>
    </w:p>
    <w:p w14:paraId="05F22A3F" w14:textId="77777777" w:rsidR="00374585" w:rsidRDefault="00374585" w:rsidP="00154566">
      <w:pPr>
        <w:pStyle w:val="NormalWeb"/>
        <w:spacing w:before="120" w:beforeAutospacing="0" w:after="120" w:afterAutospacing="0"/>
      </w:pPr>
      <w:r>
        <w:t xml:space="preserve">The Specification Engine </w:t>
      </w:r>
      <w:r>
        <w:rPr>
          <w:rStyle w:val="Strong"/>
          <w:rFonts w:eastAsiaTheme="majorEastAsia"/>
        </w:rPr>
        <w:t>transfers the normalized specification graph to the Semantic Model Engine</w:t>
      </w:r>
      <w:r>
        <w:t>. The Semantic Model Engine is a distinct subsystem that maintains the active, canonical representation of the system. This handoff is vital because the Semantic Model Engine provides the authoritative, structured query interfaces that the Planning Engine and Agent Orchestrator will rely upon throughout the autonomous construction execution.</w:t>
      </w:r>
    </w:p>
    <w:p w14:paraId="0375288D" w14:textId="77777777" w:rsidR="00374585" w:rsidRDefault="00374585" w:rsidP="00154566">
      <w:pPr>
        <w:pStyle w:val="Heading1"/>
        <w:spacing w:before="120" w:after="120" w:line="240" w:lineRule="auto"/>
      </w:pPr>
      <w:r>
        <w:lastRenderedPageBreak/>
        <w:t>Implementation Agenda: The Specification Engine</w:t>
      </w:r>
    </w:p>
    <w:p w14:paraId="40A1561B" w14:textId="0B7254E0" w:rsidR="00374585" w:rsidRDefault="00374585" w:rsidP="00154566">
      <w:pPr>
        <w:pStyle w:val="NormalWeb"/>
        <w:spacing w:before="120" w:beforeAutospacing="0" w:after="120" w:afterAutospacing="0"/>
      </w:pPr>
      <w:r>
        <w:t xml:space="preserve">To comply with the </w:t>
      </w:r>
      <w:r w:rsidR="006520A0">
        <w:t>“Builder Core Directives” (BCD)</w:t>
      </w:r>
      <w:r>
        <w:t>, the implementation of the Specification Engine must follow a strict outside-in approach, beginning entirely with interfaces.</w:t>
      </w:r>
    </w:p>
    <w:p w14:paraId="08711C15" w14:textId="77777777" w:rsidR="00374585" w:rsidRDefault="00374585" w:rsidP="00154566">
      <w:pPr>
        <w:pStyle w:val="NormalWeb"/>
        <w:spacing w:before="120" w:beforeAutospacing="0" w:after="120" w:afterAutospacing="0"/>
      </w:pPr>
      <w:r>
        <w:rPr>
          <w:rStyle w:val="Strong"/>
          <w:rFonts w:eastAsiaTheme="majorEastAsia"/>
        </w:rPr>
        <w:t>Phase 1: Define the Core Abstraction Interfaces (The Mandate)</w:t>
      </w:r>
      <w:r>
        <w:t xml:space="preserve"> Before concrete parsing logic is written, the structural contracts must be rigidly defined:</w:t>
      </w:r>
    </w:p>
    <w:p w14:paraId="764F1609" w14:textId="77777777" w:rsidR="00374585" w:rsidRDefault="00374585" w:rsidP="00154566">
      <w:pPr>
        <w:numPr>
          <w:ilvl w:val="0"/>
          <w:numId w:val="10"/>
        </w:numPr>
        <w:spacing w:after="0" w:line="240" w:lineRule="auto"/>
      </w:pPr>
      <w:proofErr w:type="spellStart"/>
      <w:r>
        <w:rPr>
          <w:rStyle w:val="HTMLCode"/>
          <w:rFonts w:eastAsiaTheme="majorEastAsia"/>
          <w:b/>
          <w:bCs/>
        </w:rPr>
        <w:t>ISpecificationIntake</w:t>
      </w:r>
      <w:proofErr w:type="spellEnd"/>
      <w:r>
        <w:t xml:space="preserve">: The abstraction for receiving the STP from the human team (e.g., </w:t>
      </w:r>
      <w:proofErr w:type="spellStart"/>
      <w:r>
        <w:rPr>
          <w:rStyle w:val="HTMLCode"/>
          <w:rFonts w:eastAsiaTheme="majorEastAsia"/>
        </w:rPr>
        <w:t>GitRepositoryIntake</w:t>
      </w:r>
      <w:proofErr w:type="spellEnd"/>
      <w:r>
        <w:t xml:space="preserve">, </w:t>
      </w:r>
      <w:proofErr w:type="spellStart"/>
      <w:r>
        <w:rPr>
          <w:rStyle w:val="HTMLCode"/>
          <w:rFonts w:eastAsiaTheme="majorEastAsia"/>
        </w:rPr>
        <w:t>RestApiIntake</w:t>
      </w:r>
      <w:proofErr w:type="spellEnd"/>
      <w:r>
        <w:t>).</w:t>
      </w:r>
    </w:p>
    <w:p w14:paraId="530D5140" w14:textId="77777777" w:rsidR="00374585" w:rsidRDefault="00374585" w:rsidP="00154566">
      <w:pPr>
        <w:numPr>
          <w:ilvl w:val="0"/>
          <w:numId w:val="10"/>
        </w:numPr>
        <w:spacing w:after="0" w:line="240" w:lineRule="auto"/>
      </w:pPr>
      <w:proofErr w:type="spellStart"/>
      <w:r>
        <w:rPr>
          <w:rStyle w:val="HTMLCode"/>
          <w:rFonts w:eastAsiaTheme="majorEastAsia"/>
          <w:b/>
          <w:bCs/>
        </w:rPr>
        <w:t>IPayloadParser</w:t>
      </w:r>
      <w:proofErr w:type="spellEnd"/>
      <w:r>
        <w:t xml:space="preserve">: The abstraction for reading the physical file (e.g., </w:t>
      </w:r>
      <w:proofErr w:type="spellStart"/>
      <w:r>
        <w:rPr>
          <w:rStyle w:val="HTMLCode"/>
          <w:rFonts w:eastAsiaTheme="majorEastAsia"/>
        </w:rPr>
        <w:t>MarkdownSTPParser</w:t>
      </w:r>
      <w:proofErr w:type="spellEnd"/>
      <w:r>
        <w:t xml:space="preserve">, </w:t>
      </w:r>
      <w:r>
        <w:rPr>
          <w:rStyle w:val="HTMLCode"/>
          <w:rFonts w:eastAsiaTheme="majorEastAsia"/>
        </w:rPr>
        <w:t>YamlSTPParser</w:t>
      </w:r>
      <w:r>
        <w:t>).</w:t>
      </w:r>
    </w:p>
    <w:p w14:paraId="40F2F95D" w14:textId="77777777" w:rsidR="00374585" w:rsidRDefault="00374585" w:rsidP="00154566">
      <w:pPr>
        <w:numPr>
          <w:ilvl w:val="0"/>
          <w:numId w:val="10"/>
        </w:numPr>
        <w:spacing w:after="0" w:line="240" w:lineRule="auto"/>
      </w:pPr>
      <w:proofErr w:type="spellStart"/>
      <w:r>
        <w:rPr>
          <w:rStyle w:val="HTMLCode"/>
          <w:rFonts w:eastAsiaTheme="majorEastAsia"/>
          <w:b/>
          <w:bCs/>
        </w:rPr>
        <w:t>ISemanticNormalizer</w:t>
      </w:r>
      <w:proofErr w:type="spellEnd"/>
      <w:r>
        <w:t>: Maps the parsed text to the 13 canonical entities to build the Canonical Semantic Model.</w:t>
      </w:r>
    </w:p>
    <w:p w14:paraId="44553AF4" w14:textId="77777777" w:rsidR="00374585" w:rsidRDefault="00374585" w:rsidP="00154566">
      <w:pPr>
        <w:numPr>
          <w:ilvl w:val="0"/>
          <w:numId w:val="10"/>
        </w:numPr>
        <w:spacing w:after="0" w:line="240" w:lineRule="auto"/>
      </w:pPr>
      <w:proofErr w:type="spellStart"/>
      <w:r>
        <w:rPr>
          <w:rStyle w:val="HTMLCode"/>
          <w:rFonts w:eastAsiaTheme="majorEastAsia"/>
          <w:b/>
          <w:bCs/>
        </w:rPr>
        <w:t>IReadinessEvaluator</w:t>
      </w:r>
      <w:proofErr w:type="spellEnd"/>
      <w:r>
        <w:t>: Evaluates if the blueprint meets the criteria for Draft, Reviewable, Machine-Valid, or Autonomous-Ready levels.</w:t>
      </w:r>
    </w:p>
    <w:p w14:paraId="14C37823" w14:textId="77777777" w:rsidR="00374585" w:rsidRDefault="00374585" w:rsidP="00154566">
      <w:pPr>
        <w:pStyle w:val="NormalWeb"/>
        <w:spacing w:before="120" w:beforeAutospacing="0" w:after="120" w:afterAutospacing="0"/>
      </w:pPr>
      <w:r>
        <w:rPr>
          <w:rStyle w:val="Strong"/>
          <w:rFonts w:eastAsiaTheme="majorEastAsia"/>
        </w:rPr>
        <w:t>Phase 2: Define the Human-Machine Feedback Abstractions</w:t>
      </w:r>
      <w:r>
        <w:t xml:space="preserve"> The engine must have abstracted ways to hand off data to agents and return clarifications to humans securely:</w:t>
      </w:r>
    </w:p>
    <w:p w14:paraId="29E493DC" w14:textId="77777777" w:rsidR="00374585" w:rsidRDefault="00374585" w:rsidP="00154566">
      <w:pPr>
        <w:numPr>
          <w:ilvl w:val="0"/>
          <w:numId w:val="11"/>
        </w:numPr>
        <w:spacing w:after="0" w:line="240" w:lineRule="auto"/>
      </w:pPr>
      <w:proofErr w:type="spellStart"/>
      <w:r>
        <w:rPr>
          <w:rStyle w:val="HTMLCode"/>
          <w:rFonts w:eastAsiaTheme="majorEastAsia"/>
          <w:b/>
          <w:bCs/>
        </w:rPr>
        <w:t>IModelGateway</w:t>
      </w:r>
      <w:proofErr w:type="spellEnd"/>
      <w:r>
        <w:rPr>
          <w:rStyle w:val="HTMLCode"/>
          <w:rFonts w:eastAsiaTheme="majorEastAsia"/>
          <w:b/>
          <w:bCs/>
        </w:rPr>
        <w:t xml:space="preserve"> Integration</w:t>
      </w:r>
      <w:r>
        <w:t>: Relies on the Model Integration and Abstraction Layer to communicate securely with the Specification Interpreter agent.</w:t>
      </w:r>
    </w:p>
    <w:p w14:paraId="41091ACA" w14:textId="77777777" w:rsidR="00374585" w:rsidRDefault="00374585" w:rsidP="00154566">
      <w:pPr>
        <w:numPr>
          <w:ilvl w:val="0"/>
          <w:numId w:val="11"/>
        </w:numPr>
        <w:spacing w:after="0" w:line="240" w:lineRule="auto"/>
      </w:pPr>
      <w:proofErr w:type="spellStart"/>
      <w:r>
        <w:rPr>
          <w:rStyle w:val="HTMLCode"/>
          <w:rFonts w:eastAsiaTheme="majorEastAsia"/>
          <w:b/>
          <w:bCs/>
        </w:rPr>
        <w:t>IClarificationFormatter</w:t>
      </w:r>
      <w:proofErr w:type="spellEnd"/>
      <w:r>
        <w:t xml:space="preserve">: Takes the agent's identified gaps and formats them strictly into the </w:t>
      </w:r>
      <w:r>
        <w:rPr>
          <w:rStyle w:val="HTMLCode"/>
          <w:rFonts w:eastAsiaTheme="majorEastAsia"/>
        </w:rPr>
        <w:t>### CLARIFICATIONS REQUIRED</w:t>
      </w:r>
      <w:r>
        <w:t xml:space="preserve"> block.</w:t>
      </w:r>
    </w:p>
    <w:p w14:paraId="1555963F" w14:textId="77777777" w:rsidR="00374585" w:rsidRDefault="00374585" w:rsidP="00154566">
      <w:pPr>
        <w:numPr>
          <w:ilvl w:val="0"/>
          <w:numId w:val="11"/>
        </w:numPr>
        <w:spacing w:after="0" w:line="240" w:lineRule="auto"/>
      </w:pPr>
      <w:proofErr w:type="spellStart"/>
      <w:r>
        <w:rPr>
          <w:rStyle w:val="HTMLCode"/>
          <w:rFonts w:eastAsiaTheme="majorEastAsia"/>
          <w:b/>
          <w:bCs/>
        </w:rPr>
        <w:t>IResponseDispatcher</w:t>
      </w:r>
      <w:proofErr w:type="spellEnd"/>
      <w:r>
        <w:t>: Routes the updated document back to the human team.</w:t>
      </w:r>
    </w:p>
    <w:p w14:paraId="0F71A0B8" w14:textId="77777777" w:rsidR="00374585" w:rsidRDefault="00374585" w:rsidP="00154566">
      <w:pPr>
        <w:pStyle w:val="NormalWeb"/>
        <w:spacing w:before="120" w:beforeAutospacing="0" w:after="120" w:afterAutospacing="0"/>
      </w:pPr>
      <w:r>
        <w:rPr>
          <w:rStyle w:val="Strong"/>
          <w:rFonts w:eastAsiaTheme="majorEastAsia"/>
        </w:rPr>
        <w:t>Phase 3: Concrete Implementation for the MACS POC (v1.0)</w:t>
      </w:r>
      <w:r>
        <w:t xml:space="preserve"> Following abstraction definitions, the engineering team builds the first concrete implementations targeting the MACS proof-of-concept:</w:t>
      </w:r>
    </w:p>
    <w:p w14:paraId="152F5E4E" w14:textId="77777777" w:rsidR="00374585" w:rsidRDefault="00374585" w:rsidP="00154566">
      <w:pPr>
        <w:numPr>
          <w:ilvl w:val="0"/>
          <w:numId w:val="12"/>
        </w:numPr>
        <w:spacing w:after="0" w:line="240" w:lineRule="auto"/>
      </w:pPr>
      <w:r>
        <w:rPr>
          <w:rStyle w:val="Strong"/>
        </w:rPr>
        <w:t>Technology Stack:</w:t>
      </w:r>
      <w:r>
        <w:t xml:space="preserve"> Implement interfaces using .NET and C#.</w:t>
      </w:r>
    </w:p>
    <w:p w14:paraId="5541974C" w14:textId="77777777" w:rsidR="00374585" w:rsidRDefault="00374585" w:rsidP="00154566">
      <w:pPr>
        <w:numPr>
          <w:ilvl w:val="0"/>
          <w:numId w:val="12"/>
        </w:numPr>
        <w:spacing w:after="0" w:line="240" w:lineRule="auto"/>
      </w:pPr>
      <w:r>
        <w:rPr>
          <w:rStyle w:val="Strong"/>
        </w:rPr>
        <w:t>Concrete Parsers:</w:t>
      </w:r>
      <w:r>
        <w:t xml:space="preserve"> Build the </w:t>
      </w:r>
      <w:proofErr w:type="spellStart"/>
      <w:r>
        <w:rPr>
          <w:rStyle w:val="HTMLCode"/>
          <w:rFonts w:eastAsiaTheme="majorEastAsia"/>
        </w:rPr>
        <w:t>MarkdownSTPParser</w:t>
      </w:r>
      <w:proofErr w:type="spellEnd"/>
      <w:r>
        <w:t xml:space="preserve"> to strictly enforce YAML-frontmatter and 13 canonical Markdown headers.</w:t>
      </w:r>
    </w:p>
    <w:p w14:paraId="50562AF4" w14:textId="77777777" w:rsidR="00374585" w:rsidRDefault="00374585" w:rsidP="00154566">
      <w:pPr>
        <w:numPr>
          <w:ilvl w:val="0"/>
          <w:numId w:val="12"/>
        </w:numPr>
        <w:spacing w:after="0" w:line="240" w:lineRule="auto"/>
      </w:pPr>
      <w:r>
        <w:rPr>
          <w:rStyle w:val="Strong"/>
        </w:rPr>
        <w:t>Semantic Graph Construction:</w:t>
      </w:r>
      <w:r>
        <w:t xml:space="preserve"> Implement logic to create the in-memory object graph representing Traceability Identifiers and trace links (e.g., mapping VAL-001 back to REQ-001).</w:t>
      </w:r>
    </w:p>
    <w:p w14:paraId="14BAC582" w14:textId="77777777" w:rsidR="00374585" w:rsidRDefault="00374585" w:rsidP="00154566">
      <w:pPr>
        <w:pStyle w:val="NormalWeb"/>
        <w:spacing w:before="120" w:beforeAutospacing="0" w:after="120" w:afterAutospacing="0"/>
      </w:pPr>
      <w:r>
        <w:rPr>
          <w:rStyle w:val="Strong"/>
          <w:rFonts w:eastAsiaTheme="majorEastAsia"/>
        </w:rPr>
        <w:t>Phase 4: Integration with the Specification Readiness Lifecycle</w:t>
      </w:r>
    </w:p>
    <w:p w14:paraId="5C37D129" w14:textId="77777777" w:rsidR="00374585" w:rsidRDefault="00374585" w:rsidP="00154566">
      <w:pPr>
        <w:numPr>
          <w:ilvl w:val="0"/>
          <w:numId w:val="13"/>
        </w:numPr>
        <w:spacing w:after="0" w:line="240" w:lineRule="auto"/>
      </w:pPr>
      <w:r>
        <w:rPr>
          <w:rStyle w:val="Strong"/>
        </w:rPr>
        <w:t>Draft Level Loop:</w:t>
      </w:r>
      <w:r>
        <w:t xml:space="preserve"> Wire </w:t>
      </w:r>
      <w:proofErr w:type="spellStart"/>
      <w:r>
        <w:rPr>
          <w:rStyle w:val="HTMLCode"/>
          <w:rFonts w:eastAsiaTheme="majorEastAsia"/>
        </w:rPr>
        <w:t>ISpecificationIntake</w:t>
      </w:r>
      <w:proofErr w:type="spellEnd"/>
      <w:r>
        <w:t xml:space="preserve"> to the </w:t>
      </w:r>
      <w:proofErr w:type="spellStart"/>
      <w:r>
        <w:rPr>
          <w:rStyle w:val="HTMLCode"/>
          <w:rFonts w:eastAsiaTheme="majorEastAsia"/>
        </w:rPr>
        <w:t>IModelGateway</w:t>
      </w:r>
      <w:proofErr w:type="spellEnd"/>
      <w:r>
        <w:t xml:space="preserve"> so the agent can perform Advisory Collaboration safely.</w:t>
      </w:r>
    </w:p>
    <w:p w14:paraId="645FEFED" w14:textId="77777777" w:rsidR="00374585" w:rsidRDefault="00374585" w:rsidP="00154566">
      <w:pPr>
        <w:numPr>
          <w:ilvl w:val="0"/>
          <w:numId w:val="13"/>
        </w:numPr>
        <w:spacing w:after="0" w:line="240" w:lineRule="auto"/>
      </w:pPr>
      <w:r>
        <w:rPr>
          <w:rStyle w:val="Strong"/>
        </w:rPr>
        <w:t>Reviewable Level Gate &amp; Governance:</w:t>
      </w:r>
      <w:r>
        <w:t xml:space="preserve"> Build logic detecting when human Approval Gates are cleared via the Governance Service.</w:t>
      </w:r>
    </w:p>
    <w:p w14:paraId="4F8455BA" w14:textId="77777777" w:rsidR="00374585" w:rsidRDefault="00374585" w:rsidP="00154566">
      <w:pPr>
        <w:numPr>
          <w:ilvl w:val="0"/>
          <w:numId w:val="13"/>
        </w:numPr>
        <w:spacing w:after="0" w:line="240" w:lineRule="auto"/>
      </w:pPr>
      <w:r>
        <w:rPr>
          <w:rStyle w:val="Strong"/>
        </w:rPr>
        <w:t>Machine-Valid Commit &amp; Handoff:</w:t>
      </w:r>
      <w:r>
        <w:t xml:space="preserve"> Once governance signs off, commit the Canonical Semantic Model into the </w:t>
      </w:r>
      <w:proofErr w:type="spellStart"/>
      <w:r>
        <w:rPr>
          <w:rStyle w:val="HTMLCode"/>
          <w:rFonts w:eastAsiaTheme="majorEastAsia"/>
        </w:rPr>
        <w:t>IArtifactRepository</w:t>
      </w:r>
      <w:proofErr w:type="spellEnd"/>
      <w:r>
        <w:t xml:space="preserve">, and execute the formal handoff to the </w:t>
      </w:r>
      <w:r>
        <w:rPr>
          <w:rStyle w:val="Strong"/>
        </w:rPr>
        <w:t>Semantic Model Engine</w:t>
      </w:r>
      <w:r>
        <w:t xml:space="preserve"> to authorize the Planning Engine to begin autonomous construction.</w:t>
      </w:r>
    </w:p>
    <w:p w14:paraId="62AD14D7" w14:textId="3555D43D" w:rsidR="00335FCC" w:rsidRDefault="009625D3" w:rsidP="00804328">
      <w:pPr>
        <w:pStyle w:val="Heading1"/>
        <w:spacing w:before="120" w:line="240" w:lineRule="auto"/>
      </w:pPr>
      <w:r>
        <w:lastRenderedPageBreak/>
        <w:t>Operationalize Specification Engine</w:t>
      </w:r>
    </w:p>
    <w:p w14:paraId="79BED148" w14:textId="77777777" w:rsidR="009625D3" w:rsidRDefault="009625D3" w:rsidP="00154566">
      <w:pPr>
        <w:pStyle w:val="NormalWeb"/>
        <w:spacing w:before="120" w:beforeAutospacing="0" w:after="120" w:afterAutospacing="0"/>
      </w:pPr>
      <w:r>
        <w:t>To fully operationalize the ALETHEIA Specification Engine, we must dive deeper into the three structural pillars that govern how human intent is translated into machine-executable logic. These mechanisms—the 13 discrete canonical entities, the Traceability Graph, and human Approval Gates—form the rigid boundaries that elevate the platform from a simple code generator into a deterministic software construction engine.</w:t>
      </w:r>
    </w:p>
    <w:p w14:paraId="286FB3EA" w14:textId="77777777" w:rsidR="009625D3" w:rsidRDefault="009625D3" w:rsidP="00154566">
      <w:pPr>
        <w:pStyle w:val="NormalWeb"/>
        <w:spacing w:before="120" w:beforeAutospacing="0" w:after="120" w:afterAutospacing="0"/>
      </w:pPr>
      <w:r>
        <w:t>Here is the elaboration on these core concepts within the context of the Specification Engine:</w:t>
      </w:r>
    </w:p>
    <w:p w14:paraId="6055DC1E" w14:textId="77777777" w:rsidR="009625D3" w:rsidRDefault="009625D3" w:rsidP="00154566">
      <w:pPr>
        <w:pStyle w:val="Heading3"/>
        <w:spacing w:before="120" w:after="120" w:line="240" w:lineRule="auto"/>
      </w:pPr>
      <w:r>
        <w:t>1. The 13 Discrete Canonical Entities: The Structural Vocabulary</w:t>
      </w:r>
    </w:p>
    <w:p w14:paraId="58EA4902" w14:textId="77777777" w:rsidR="009625D3" w:rsidRDefault="009625D3" w:rsidP="00154566">
      <w:pPr>
        <w:pStyle w:val="NormalWeb"/>
        <w:spacing w:before="120" w:beforeAutospacing="0" w:after="120" w:afterAutospacing="0"/>
      </w:pPr>
      <w:r>
        <w:t xml:space="preserve">For the Specification Engine to reliably parse human inputs into a machine-readable format, the platform abandons traditional, unstructured requirements documents. Instead, the </w:t>
      </w:r>
      <w:proofErr w:type="spellStart"/>
      <w:r>
        <w:rPr>
          <w:rStyle w:val="HTMLCode"/>
          <w:rFonts w:eastAsiaTheme="majorEastAsia"/>
        </w:rPr>
        <w:t>ISemanticNormalizer</w:t>
      </w:r>
      <w:proofErr w:type="spellEnd"/>
      <w:r>
        <w:t xml:space="preserve"> maps all inputs directly into the </w:t>
      </w:r>
      <w:r>
        <w:rPr>
          <w:rStyle w:val="Strong"/>
          <w:rFonts w:eastAsiaTheme="majorEastAsia"/>
        </w:rPr>
        <w:t>Canonical Semantic Model</w:t>
      </w:r>
      <w:r>
        <w:t>, which is strictly composed of exactly 13 discrete canonical entities.</w:t>
      </w:r>
    </w:p>
    <w:p w14:paraId="2EFFB0F6" w14:textId="77777777" w:rsidR="009625D3" w:rsidRDefault="009625D3" w:rsidP="00154566">
      <w:pPr>
        <w:pStyle w:val="NormalWeb"/>
        <w:spacing w:before="120" w:beforeAutospacing="0" w:after="120" w:afterAutospacing="0"/>
      </w:pPr>
      <w:r>
        <w:t xml:space="preserve">These 13 entities represent the foundational vocabulary of the ALETHEIA Specification Language (ISL) and must be explicitly demarcated in the </w:t>
      </w:r>
      <w:r>
        <w:rPr>
          <w:rStyle w:val="Strong"/>
          <w:rFonts w:eastAsiaTheme="majorEastAsia"/>
        </w:rPr>
        <w:t>Structured Transaction Payload (STP)</w:t>
      </w:r>
      <w:r>
        <w:t>:</w:t>
      </w:r>
    </w:p>
    <w:p w14:paraId="2234A20A" w14:textId="77777777" w:rsidR="009625D3" w:rsidRDefault="009625D3" w:rsidP="00154566">
      <w:pPr>
        <w:numPr>
          <w:ilvl w:val="0"/>
          <w:numId w:val="14"/>
        </w:numPr>
        <w:spacing w:after="0" w:line="240" w:lineRule="auto"/>
      </w:pPr>
      <w:r>
        <w:rPr>
          <w:rStyle w:val="Strong"/>
        </w:rPr>
        <w:t>Project:</w:t>
      </w:r>
      <w:r>
        <w:t xml:space="preserve"> The system’s identity, domain, and highest-level business objectives.</w:t>
      </w:r>
    </w:p>
    <w:p w14:paraId="583916D9" w14:textId="77777777" w:rsidR="009625D3" w:rsidRDefault="009625D3" w:rsidP="00154566">
      <w:pPr>
        <w:numPr>
          <w:ilvl w:val="0"/>
          <w:numId w:val="14"/>
        </w:numPr>
        <w:spacing w:after="0" w:line="240" w:lineRule="auto"/>
      </w:pPr>
      <w:r>
        <w:rPr>
          <w:rStyle w:val="Strong"/>
        </w:rPr>
        <w:t>Context:</w:t>
      </w:r>
      <w:r>
        <w:t xml:space="preserve"> The external environment, dependencies, and operational boundaries.</w:t>
      </w:r>
    </w:p>
    <w:p w14:paraId="212E6C09" w14:textId="77777777" w:rsidR="009625D3" w:rsidRDefault="009625D3" w:rsidP="00154566">
      <w:pPr>
        <w:numPr>
          <w:ilvl w:val="0"/>
          <w:numId w:val="14"/>
        </w:numPr>
        <w:spacing w:after="0" w:line="240" w:lineRule="auto"/>
      </w:pPr>
      <w:r>
        <w:rPr>
          <w:rStyle w:val="Strong"/>
        </w:rPr>
        <w:t>Stakeholder:</w:t>
      </w:r>
      <w:r>
        <w:t xml:space="preserve"> Human governance, oversight roles, and accountability structures.</w:t>
      </w:r>
    </w:p>
    <w:p w14:paraId="0CF349A6" w14:textId="77777777" w:rsidR="009625D3" w:rsidRDefault="009625D3" w:rsidP="00154566">
      <w:pPr>
        <w:numPr>
          <w:ilvl w:val="0"/>
          <w:numId w:val="14"/>
        </w:numPr>
        <w:spacing w:after="0" w:line="240" w:lineRule="auto"/>
      </w:pPr>
      <w:r>
        <w:rPr>
          <w:rStyle w:val="Strong"/>
        </w:rPr>
        <w:t>Actor:</w:t>
      </w:r>
      <w:r>
        <w:t xml:space="preserve"> Users, automated processes, and external systems interacting directly with the service.</w:t>
      </w:r>
    </w:p>
    <w:p w14:paraId="6C5D1781" w14:textId="77777777" w:rsidR="009625D3" w:rsidRDefault="009625D3" w:rsidP="00154566">
      <w:pPr>
        <w:numPr>
          <w:ilvl w:val="0"/>
          <w:numId w:val="14"/>
        </w:numPr>
        <w:spacing w:after="0" w:line="240" w:lineRule="auto"/>
      </w:pPr>
      <w:r>
        <w:rPr>
          <w:rStyle w:val="Strong"/>
        </w:rPr>
        <w:t>Requirement:</w:t>
      </w:r>
      <w:r>
        <w:t xml:space="preserve"> Specific functional, non-functional, and operational constraints.</w:t>
      </w:r>
    </w:p>
    <w:p w14:paraId="4A5BA487" w14:textId="77777777" w:rsidR="009625D3" w:rsidRDefault="009625D3" w:rsidP="00154566">
      <w:pPr>
        <w:numPr>
          <w:ilvl w:val="0"/>
          <w:numId w:val="14"/>
        </w:numPr>
        <w:spacing w:after="0" w:line="240" w:lineRule="auto"/>
      </w:pPr>
      <w:r>
        <w:rPr>
          <w:rStyle w:val="Strong"/>
        </w:rPr>
        <w:t>Capability:</w:t>
      </w:r>
      <w:r>
        <w:t xml:space="preserve"> High-level business functions derived from groups of requirements.</w:t>
      </w:r>
    </w:p>
    <w:p w14:paraId="38C3A1D7" w14:textId="77777777" w:rsidR="009625D3" w:rsidRDefault="009625D3" w:rsidP="00154566">
      <w:pPr>
        <w:numPr>
          <w:ilvl w:val="0"/>
          <w:numId w:val="14"/>
        </w:numPr>
        <w:spacing w:after="0" w:line="240" w:lineRule="auto"/>
      </w:pPr>
      <w:r>
        <w:rPr>
          <w:rStyle w:val="Strong"/>
        </w:rPr>
        <w:t>Service:</w:t>
      </w:r>
      <w:r>
        <w:t xml:space="preserve"> Logical deployable subsystems responsible for implementing capabilities.</w:t>
      </w:r>
    </w:p>
    <w:p w14:paraId="442483EE" w14:textId="77777777" w:rsidR="009625D3" w:rsidRDefault="009625D3" w:rsidP="00154566">
      <w:pPr>
        <w:numPr>
          <w:ilvl w:val="0"/>
          <w:numId w:val="14"/>
        </w:numPr>
        <w:spacing w:after="0" w:line="240" w:lineRule="auto"/>
      </w:pPr>
      <w:proofErr w:type="spellStart"/>
      <w:r>
        <w:rPr>
          <w:rStyle w:val="Strong"/>
        </w:rPr>
        <w:t>DataEntity</w:t>
      </w:r>
      <w:proofErr w:type="spellEnd"/>
      <w:r>
        <w:rPr>
          <w:rStyle w:val="Strong"/>
        </w:rPr>
        <w:t>:</w:t>
      </w:r>
      <w:r>
        <w:t xml:space="preserve"> Structured information models, attributes, and relationships.</w:t>
      </w:r>
    </w:p>
    <w:p w14:paraId="47E61E99" w14:textId="77777777" w:rsidR="009625D3" w:rsidRDefault="009625D3" w:rsidP="00154566">
      <w:pPr>
        <w:numPr>
          <w:ilvl w:val="0"/>
          <w:numId w:val="14"/>
        </w:numPr>
        <w:spacing w:after="0" w:line="240" w:lineRule="auto"/>
      </w:pPr>
      <w:r>
        <w:rPr>
          <w:rStyle w:val="Strong"/>
        </w:rPr>
        <w:t>Workflow:</w:t>
      </w:r>
      <w:r>
        <w:t xml:space="preserve"> Step-by-step behavioral processes and state transitions.</w:t>
      </w:r>
    </w:p>
    <w:p w14:paraId="6230A4F4" w14:textId="77777777" w:rsidR="009625D3" w:rsidRDefault="009625D3" w:rsidP="00154566">
      <w:pPr>
        <w:numPr>
          <w:ilvl w:val="0"/>
          <w:numId w:val="14"/>
        </w:numPr>
        <w:spacing w:after="0" w:line="240" w:lineRule="auto"/>
      </w:pPr>
      <w:r>
        <w:rPr>
          <w:rStyle w:val="Strong"/>
        </w:rPr>
        <w:t>Interface:</w:t>
      </w:r>
      <w:r>
        <w:t xml:space="preserve"> Specific communication boundaries, such as APIs or messaging channels.</w:t>
      </w:r>
    </w:p>
    <w:p w14:paraId="7F350884" w14:textId="77777777" w:rsidR="009625D3" w:rsidRDefault="009625D3" w:rsidP="00154566">
      <w:pPr>
        <w:numPr>
          <w:ilvl w:val="0"/>
          <w:numId w:val="14"/>
        </w:numPr>
        <w:spacing w:after="0" w:line="240" w:lineRule="auto"/>
      </w:pPr>
      <w:r>
        <w:rPr>
          <w:rStyle w:val="Strong"/>
        </w:rPr>
        <w:t>Policy:</w:t>
      </w:r>
      <w:r>
        <w:t xml:space="preserve"> Strict security constraints, compliance rules (e.g., CJIS, NIST), and access controls.</w:t>
      </w:r>
    </w:p>
    <w:p w14:paraId="3094B507" w14:textId="77777777" w:rsidR="009625D3" w:rsidRDefault="009625D3" w:rsidP="00154566">
      <w:pPr>
        <w:numPr>
          <w:ilvl w:val="0"/>
          <w:numId w:val="14"/>
        </w:numPr>
        <w:spacing w:after="0" w:line="240" w:lineRule="auto"/>
      </w:pPr>
      <w:r>
        <w:rPr>
          <w:rStyle w:val="Strong"/>
        </w:rPr>
        <w:t>Infrastructure:</w:t>
      </w:r>
      <w:r>
        <w:t xml:space="preserve"> Deployment targets, scaling strategies, and runtime environments.</w:t>
      </w:r>
    </w:p>
    <w:p w14:paraId="53F197CC" w14:textId="77777777" w:rsidR="009625D3" w:rsidRDefault="009625D3" w:rsidP="00154566">
      <w:pPr>
        <w:numPr>
          <w:ilvl w:val="0"/>
          <w:numId w:val="14"/>
        </w:numPr>
        <w:spacing w:after="0" w:line="240" w:lineRule="auto"/>
      </w:pPr>
      <w:r>
        <w:rPr>
          <w:rStyle w:val="Strong"/>
        </w:rPr>
        <w:t>Validation:</w:t>
      </w:r>
      <w:r>
        <w:t xml:space="preserve"> Deterministic verification mechanisms, automated tests, and compliance checks mapped to specific tools.</w:t>
      </w:r>
    </w:p>
    <w:p w14:paraId="7659472C" w14:textId="77777777" w:rsidR="009625D3" w:rsidRDefault="009625D3" w:rsidP="00154566">
      <w:pPr>
        <w:pStyle w:val="NormalWeb"/>
        <w:spacing w:before="120" w:beforeAutospacing="0" w:after="120" w:afterAutospacing="0"/>
      </w:pPr>
      <w:r>
        <w:t>By forcing human teams and reasoning agents to organize system architectures into these specific, singular headers, the Specification Engine can safely extract the architectural intent without ambiguity.</w:t>
      </w:r>
    </w:p>
    <w:p w14:paraId="3A8E0855" w14:textId="77777777" w:rsidR="003F10E1" w:rsidRPr="003F10E1" w:rsidRDefault="003F10E1" w:rsidP="00154566">
      <w:pPr>
        <w:spacing w:before="120"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To prevent scope drift and stop the platform from functioning as a generic, unstructured coding assistant, the ALETHEIA Specification Engine completely abandons informal requirements documents. Instead, the </w:t>
      </w:r>
      <w:proofErr w:type="spellStart"/>
      <w:r w:rsidRPr="003F10E1">
        <w:rPr>
          <w:rFonts w:ascii="Google Sans Code" w:eastAsia="Times New Roman" w:hAnsi="Google Sans Code" w:cs="Courier New"/>
          <w:color w:val="303030"/>
          <w:kern w:val="0"/>
          <w:sz w:val="20"/>
          <w:szCs w:val="20"/>
          <w14:ligatures w14:val="none"/>
        </w:rPr>
        <w:t>ISemanticNormalizer</w:t>
      </w:r>
      <w:proofErr w:type="spellEnd"/>
      <w:r w:rsidRPr="003F10E1">
        <w:rPr>
          <w:rFonts w:ascii="Times New Roman" w:eastAsia="Times New Roman" w:hAnsi="Times New Roman" w:cs="Times New Roman"/>
          <w:kern w:val="0"/>
          <w14:ligatures w14:val="none"/>
        </w:rPr>
        <w:t xml:space="preserve"> rigorously maps all human inputs into the </w:t>
      </w:r>
      <w:r w:rsidRPr="003F10E1">
        <w:rPr>
          <w:rFonts w:ascii="Times New Roman" w:eastAsia="Times New Roman" w:hAnsi="Times New Roman" w:cs="Times New Roman"/>
          <w:b/>
          <w:bCs/>
          <w:kern w:val="0"/>
          <w14:ligatures w14:val="none"/>
        </w:rPr>
        <w:t>Canonical Semantic Model</w:t>
      </w:r>
      <w:r w:rsidRPr="003F10E1">
        <w:rPr>
          <w:rFonts w:ascii="Times New Roman" w:eastAsia="Times New Roman" w:hAnsi="Times New Roman" w:cs="Times New Roman"/>
          <w:kern w:val="0"/>
          <w14:ligatures w14:val="none"/>
        </w:rPr>
        <w:t xml:space="preserve">, which consists of exactly </w:t>
      </w:r>
      <w:r w:rsidRPr="003F10E1">
        <w:rPr>
          <w:rFonts w:ascii="Times New Roman" w:eastAsia="Times New Roman" w:hAnsi="Times New Roman" w:cs="Times New Roman"/>
          <w:b/>
          <w:bCs/>
          <w:kern w:val="0"/>
          <w14:ligatures w14:val="none"/>
        </w:rPr>
        <w:t>13 discrete canonical entities</w:t>
      </w:r>
      <w:r w:rsidRPr="003F10E1">
        <w:rPr>
          <w:rFonts w:ascii="Times New Roman" w:eastAsia="Times New Roman" w:hAnsi="Times New Roman" w:cs="Times New Roman"/>
          <w:kern w:val="0"/>
          <w14:ligatures w14:val="none"/>
        </w:rPr>
        <w:t>.</w:t>
      </w:r>
    </w:p>
    <w:p w14:paraId="75E27C8B" w14:textId="77777777" w:rsidR="003F10E1" w:rsidRPr="003F10E1" w:rsidRDefault="003F10E1" w:rsidP="00154566">
      <w:pPr>
        <w:spacing w:before="120"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lastRenderedPageBreak/>
        <w:t xml:space="preserve">These entities </w:t>
      </w:r>
      <w:proofErr w:type="gramStart"/>
      <w:r w:rsidRPr="003F10E1">
        <w:rPr>
          <w:rFonts w:ascii="Times New Roman" w:eastAsia="Times New Roman" w:hAnsi="Times New Roman" w:cs="Times New Roman"/>
          <w:kern w:val="0"/>
          <w14:ligatures w14:val="none"/>
        </w:rPr>
        <w:t>are:</w:t>
      </w:r>
      <w:proofErr w:type="gramEnd"/>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 xml:space="preserve">Project, Context, Stakeholder, Actor, Capability, Requirement, Service, Interface, </w:t>
      </w:r>
      <w:proofErr w:type="spellStart"/>
      <w:r w:rsidRPr="003F10E1">
        <w:rPr>
          <w:rFonts w:ascii="Times New Roman" w:eastAsia="Times New Roman" w:hAnsi="Times New Roman" w:cs="Times New Roman"/>
          <w:b/>
          <w:bCs/>
          <w:kern w:val="0"/>
          <w14:ligatures w14:val="none"/>
        </w:rPr>
        <w:t>DataEntity</w:t>
      </w:r>
      <w:proofErr w:type="spellEnd"/>
      <w:r w:rsidRPr="003F10E1">
        <w:rPr>
          <w:rFonts w:ascii="Times New Roman" w:eastAsia="Times New Roman" w:hAnsi="Times New Roman" w:cs="Times New Roman"/>
          <w:b/>
          <w:bCs/>
          <w:kern w:val="0"/>
          <w14:ligatures w14:val="none"/>
        </w:rPr>
        <w:t>, Workflow, Policy, Infrastructure, and Validation</w:t>
      </w:r>
      <w:r w:rsidRPr="003F10E1">
        <w:rPr>
          <w:rFonts w:ascii="Times New Roman" w:eastAsia="Times New Roman" w:hAnsi="Times New Roman" w:cs="Times New Roman"/>
          <w:kern w:val="0"/>
          <w14:ligatures w14:val="none"/>
        </w:rPr>
        <w:t>.</w:t>
      </w:r>
    </w:p>
    <w:p w14:paraId="0CD0CE45" w14:textId="77777777" w:rsidR="003F10E1" w:rsidRPr="003F10E1" w:rsidRDefault="003F10E1" w:rsidP="00154566">
      <w:pPr>
        <w:spacing w:before="120"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By enforcing </w:t>
      </w:r>
      <w:r w:rsidRPr="003F10E1">
        <w:rPr>
          <w:rFonts w:ascii="Times New Roman" w:eastAsia="Times New Roman" w:hAnsi="Times New Roman" w:cs="Times New Roman"/>
          <w:b/>
          <w:bCs/>
          <w:kern w:val="0"/>
          <w14:ligatures w14:val="none"/>
        </w:rPr>
        <w:t>Strict Entity Demarcation</w:t>
      </w:r>
      <w:r w:rsidRPr="003F10E1">
        <w:rPr>
          <w:rFonts w:ascii="Times New Roman" w:eastAsia="Times New Roman" w:hAnsi="Times New Roman" w:cs="Times New Roman"/>
          <w:kern w:val="0"/>
          <w14:ligatures w14:val="none"/>
        </w:rPr>
        <w:t>—requiring these exact singular headers or YAML frontmatter blocks—the Specification Engine ensures that the architectural blueprint is immediately machine-</w:t>
      </w:r>
      <w:proofErr w:type="spellStart"/>
      <w:r w:rsidRPr="003F10E1">
        <w:rPr>
          <w:rFonts w:ascii="Times New Roman" w:eastAsia="Times New Roman" w:hAnsi="Times New Roman" w:cs="Times New Roman"/>
          <w:kern w:val="0"/>
          <w14:ligatures w14:val="none"/>
        </w:rPr>
        <w:t>parseable</w:t>
      </w:r>
      <w:proofErr w:type="spellEnd"/>
      <w:r w:rsidRPr="003F10E1">
        <w:rPr>
          <w:rFonts w:ascii="Times New Roman" w:eastAsia="Times New Roman" w:hAnsi="Times New Roman" w:cs="Times New Roman"/>
          <w:kern w:val="0"/>
          <w14:ligatures w14:val="none"/>
        </w:rPr>
        <w:t xml:space="preserve"> without ambiguity. This rigid structure explicitly prohibits the generation of prohibited artifacts, such as UI mockups or manual code snippets, leaving implementation mechanics entirely to the downstream Execution Runtime.</w:t>
      </w:r>
    </w:p>
    <w:p w14:paraId="5A0C498F" w14:textId="77777777" w:rsidR="009625D3" w:rsidRDefault="009625D3" w:rsidP="00154566">
      <w:pPr>
        <w:pStyle w:val="Heading3"/>
        <w:spacing w:before="120" w:after="120" w:line="240" w:lineRule="auto"/>
      </w:pPr>
      <w:r>
        <w:t>2. The Traceability Graph: The Memory and Impact Mapping</w:t>
      </w:r>
    </w:p>
    <w:p w14:paraId="5EF080CD" w14:textId="77777777" w:rsidR="003F10E1" w:rsidRPr="003F10E1" w:rsidRDefault="003F10E1" w:rsidP="00154566">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Traceability in the ALETHEIA architecture is not an optional documentation layer; it is an </w:t>
      </w:r>
      <w:r w:rsidRPr="003F10E1">
        <w:rPr>
          <w:rFonts w:ascii="Times New Roman" w:eastAsia="Times New Roman" w:hAnsi="Times New Roman" w:cs="Times New Roman"/>
          <w:b/>
          <w:bCs/>
          <w:kern w:val="0"/>
          <w14:ligatures w14:val="none"/>
        </w:rPr>
        <w:t>inherent structural property</w:t>
      </w:r>
      <w:r w:rsidRPr="003F10E1">
        <w:rPr>
          <w:rFonts w:ascii="Times New Roman" w:eastAsia="Times New Roman" w:hAnsi="Times New Roman" w:cs="Times New Roman"/>
          <w:kern w:val="0"/>
          <w14:ligatures w14:val="none"/>
        </w:rPr>
        <w:t xml:space="preserve"> that mathematically links every generated file, test, and infrastructure definition back to the specification.</w:t>
      </w:r>
    </w:p>
    <w:p w14:paraId="4B8A2B30" w14:textId="77777777" w:rsidR="003F10E1" w:rsidRPr="003F10E1" w:rsidRDefault="003F10E1" w:rsidP="00154566">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As the Specification Engine processes the 13 canonical entities, it mandates the assignment of </w:t>
      </w:r>
      <w:r w:rsidRPr="003F10E1">
        <w:rPr>
          <w:rFonts w:ascii="Times New Roman" w:eastAsia="Times New Roman" w:hAnsi="Times New Roman" w:cs="Times New Roman"/>
          <w:b/>
          <w:bCs/>
          <w:kern w:val="0"/>
          <w14:ligatures w14:val="none"/>
        </w:rPr>
        <w:t>persistent, unique Traceability Identifiers (e.g., REQ-001, SRV-INTAKE-01, POL-CJIS-001)</w:t>
      </w:r>
      <w:r w:rsidRPr="003F10E1">
        <w:rPr>
          <w:rFonts w:ascii="Times New Roman" w:eastAsia="Times New Roman" w:hAnsi="Times New Roman" w:cs="Times New Roman"/>
          <w:kern w:val="0"/>
          <w14:ligatures w14:val="none"/>
        </w:rPr>
        <w:t xml:space="preserve">. Crucially, the platform enforces </w:t>
      </w:r>
      <w:r w:rsidRPr="003F10E1">
        <w:rPr>
          <w:rFonts w:ascii="Times New Roman" w:eastAsia="Times New Roman" w:hAnsi="Times New Roman" w:cs="Times New Roman"/>
          <w:b/>
          <w:bCs/>
          <w:kern w:val="0"/>
          <w14:ligatures w14:val="none"/>
        </w:rPr>
        <w:t>Explicit Edge Creation</w:t>
      </w:r>
      <w:r w:rsidRPr="003F10E1">
        <w:rPr>
          <w:rFonts w:ascii="Times New Roman" w:eastAsia="Times New Roman" w:hAnsi="Times New Roman" w:cs="Times New Roman"/>
          <w:kern w:val="0"/>
          <w14:ligatures w14:val="none"/>
        </w:rPr>
        <w:t>, meaning downstream entities must explicitly cross-reference the upstream constraints they fulfill (e.g., a Validation rule explicitly citing the Policy it verifies).</w:t>
      </w:r>
    </w:p>
    <w:p w14:paraId="0EA7ADCD" w14:textId="77777777" w:rsidR="003F10E1" w:rsidRPr="003F10E1" w:rsidRDefault="003F10E1" w:rsidP="00154566">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This bidirectional Traceability Graph enables </w:t>
      </w:r>
      <w:r w:rsidRPr="003F10E1">
        <w:rPr>
          <w:rFonts w:ascii="Times New Roman" w:eastAsia="Times New Roman" w:hAnsi="Times New Roman" w:cs="Times New Roman"/>
          <w:b/>
          <w:bCs/>
          <w:kern w:val="0"/>
          <w14:ligatures w14:val="none"/>
        </w:rPr>
        <w:t>Day 2 Operations and Automated Impact Analysis</w:t>
      </w:r>
      <w:r w:rsidRPr="003F10E1">
        <w:rPr>
          <w:rFonts w:ascii="Times New Roman" w:eastAsia="Times New Roman" w:hAnsi="Times New Roman" w:cs="Times New Roman"/>
          <w:kern w:val="0"/>
          <w14:ligatures w14:val="none"/>
        </w:rPr>
        <w:t xml:space="preserve">. When business rules evolve after deployment, human authorities update the specification blueprint. The platform queries the Traceability Graph to instantly and precisely determine which APIs, database schemas, or source code files are affected by the change, triggering a </w:t>
      </w:r>
      <w:r w:rsidRPr="003F10E1">
        <w:rPr>
          <w:rFonts w:ascii="Times New Roman" w:eastAsia="Times New Roman" w:hAnsi="Times New Roman" w:cs="Times New Roman"/>
          <w:b/>
          <w:bCs/>
          <w:kern w:val="0"/>
          <w14:ligatures w14:val="none"/>
        </w:rPr>
        <w:t>targeted reconstruction</w:t>
      </w:r>
      <w:r w:rsidRPr="003F10E1">
        <w:rPr>
          <w:rFonts w:ascii="Times New Roman" w:eastAsia="Times New Roman" w:hAnsi="Times New Roman" w:cs="Times New Roman"/>
          <w:kern w:val="0"/>
          <w14:ligatures w14:val="none"/>
        </w:rPr>
        <w:t xml:space="preserve"> rather than rebuilding the system from scratch. Furthermore, this graph acts as the mathematical memory of the system, enabling Court Auditors to trace compliance without manually reading generated C# code.</w:t>
      </w:r>
    </w:p>
    <w:p w14:paraId="3C4E7DCF" w14:textId="77777777" w:rsidR="009625D3" w:rsidRDefault="009625D3" w:rsidP="00154566">
      <w:pPr>
        <w:pStyle w:val="Heading3"/>
        <w:spacing w:before="120" w:after="120" w:line="240" w:lineRule="auto"/>
      </w:pPr>
      <w:r>
        <w:t>3. Approval Gates: The Human-Governed Transition</w:t>
      </w:r>
    </w:p>
    <w:p w14:paraId="2A3D4604" w14:textId="77777777" w:rsidR="009625D3" w:rsidRDefault="009625D3" w:rsidP="00154566">
      <w:pPr>
        <w:pStyle w:val="NormalWeb"/>
        <w:spacing w:before="120" w:beforeAutospacing="0" w:after="120" w:afterAutospacing="0"/>
      </w:pPr>
      <w:r>
        <w:t xml:space="preserve">The ALETHEIA platform is designed to automate the mechanical labor of software engineering, but it retains strict human oversight over architectural decisions and compliance. This is enforced through </w:t>
      </w:r>
      <w:r>
        <w:rPr>
          <w:rStyle w:val="Strong"/>
          <w:rFonts w:eastAsiaTheme="majorEastAsia"/>
        </w:rPr>
        <w:t>Approval Gates</w:t>
      </w:r>
      <w:r>
        <w:t>, which are formal checkpoints within the ISL Specification Readiness Levels.</w:t>
      </w:r>
    </w:p>
    <w:p w14:paraId="0BB3DCCD" w14:textId="77777777" w:rsidR="009625D3" w:rsidRDefault="009625D3" w:rsidP="00154566">
      <w:pPr>
        <w:numPr>
          <w:ilvl w:val="0"/>
          <w:numId w:val="16"/>
        </w:numPr>
        <w:spacing w:after="0" w:line="240" w:lineRule="auto"/>
      </w:pPr>
      <w:r>
        <w:rPr>
          <w:rStyle w:val="Strong"/>
        </w:rPr>
        <w:t>Regulating the Lifecycle:</w:t>
      </w:r>
      <w:r>
        <w:t xml:space="preserve"> Specifications mature from </w:t>
      </w:r>
      <w:r>
        <w:rPr>
          <w:rStyle w:val="Emphasis"/>
        </w:rPr>
        <w:t>Draft</w:t>
      </w:r>
      <w:r>
        <w:t xml:space="preserve"> to </w:t>
      </w:r>
      <w:r>
        <w:rPr>
          <w:rStyle w:val="Emphasis"/>
        </w:rPr>
        <w:t>Reviewable</w:t>
      </w:r>
      <w:r>
        <w:t xml:space="preserve">, then to </w:t>
      </w:r>
      <w:r>
        <w:rPr>
          <w:rStyle w:val="Emphasis"/>
        </w:rPr>
        <w:t>Machine-Valid</w:t>
      </w:r>
      <w:r>
        <w:t xml:space="preserve"> and </w:t>
      </w:r>
      <w:r>
        <w:rPr>
          <w:rStyle w:val="Emphasis"/>
        </w:rPr>
        <w:t>Autonomous-Ready</w:t>
      </w:r>
      <w:r>
        <w:t>. The Specification Engine will not allow a blueprint to transition to the execution phase without satisfying defined Approval Gates.</w:t>
      </w:r>
    </w:p>
    <w:p w14:paraId="0E2A53AE" w14:textId="77777777" w:rsidR="009625D3" w:rsidRDefault="009625D3" w:rsidP="00154566">
      <w:pPr>
        <w:numPr>
          <w:ilvl w:val="0"/>
          <w:numId w:val="16"/>
        </w:numPr>
        <w:spacing w:after="0" w:line="240" w:lineRule="auto"/>
      </w:pPr>
      <w:r>
        <w:rPr>
          <w:rStyle w:val="Strong"/>
        </w:rPr>
        <w:t>Designated Governance Roles:</w:t>
      </w:r>
      <w:r>
        <w:t xml:space="preserve"> At an Approval Gate, designated Human Governance Roles must review the specification. For instance, </w:t>
      </w:r>
      <w:r>
        <w:rPr>
          <w:rStyle w:val="Strong"/>
        </w:rPr>
        <w:t>IT Architects</w:t>
      </w:r>
      <w:r>
        <w:t xml:space="preserve"> must approve API definitions and deployment alignment, </w:t>
      </w:r>
      <w:r>
        <w:rPr>
          <w:rStyle w:val="Strong"/>
        </w:rPr>
        <w:t>Security Validators</w:t>
      </w:r>
      <w:r>
        <w:t xml:space="preserve"> must verify that security policies (like Zero Trust or CJIS) are properly mapped to deterministic scanners, and </w:t>
      </w:r>
      <w:r>
        <w:rPr>
          <w:rStyle w:val="Strong"/>
        </w:rPr>
        <w:t>Court Auditors/Chief Data Officers</w:t>
      </w:r>
      <w:r>
        <w:t xml:space="preserve"> must approve data mappings to ensure compliance with standards like the NCSC NODS schema.</w:t>
      </w:r>
    </w:p>
    <w:p w14:paraId="08D8FE53" w14:textId="77777777" w:rsidR="009625D3" w:rsidRDefault="009625D3" w:rsidP="00154566">
      <w:pPr>
        <w:numPr>
          <w:ilvl w:val="0"/>
          <w:numId w:val="16"/>
        </w:numPr>
        <w:spacing w:after="0" w:line="240" w:lineRule="auto"/>
      </w:pPr>
      <w:r>
        <w:rPr>
          <w:rStyle w:val="Strong"/>
        </w:rPr>
        <w:t>Exception Escalation:</w:t>
      </w:r>
      <w:r>
        <w:t xml:space="preserve"> If compliance standards conflict or the automated repair loops cannot resolve a structural failure during execution, the platform triggers a formal Human-Machine Escalation. The system halts the blocked branch and </w:t>
      </w:r>
      <w:r>
        <w:lastRenderedPageBreak/>
        <w:t>generates an Escalation Payload, routing it back to the human governance authorities so they can resolve the conflict at the blueprint level.</w:t>
      </w:r>
    </w:p>
    <w:p w14:paraId="67D21248" w14:textId="5DC6E7E0" w:rsidR="003F10E1" w:rsidRDefault="003F10E1" w:rsidP="00154566">
      <w:pPr>
        <w:pStyle w:val="Heading4"/>
        <w:spacing w:line="240" w:lineRule="auto"/>
      </w:pPr>
      <w:r>
        <w:t>Enforce NCSC Data Governance</w:t>
      </w:r>
    </w:p>
    <w:p w14:paraId="39456F3E" w14:textId="0EBF9C0B" w:rsidR="003F10E1" w:rsidRPr="003F10E1" w:rsidRDefault="003F10E1" w:rsidP="00154566">
      <w:pPr>
        <w:spacing w:after="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The Specification Engine will not allow a blueprint to advance to the Autonomous-Ready execution phase without clearing human-governed </w:t>
      </w:r>
      <w:r w:rsidRPr="003F10E1">
        <w:rPr>
          <w:rFonts w:ascii="Times New Roman" w:eastAsia="Times New Roman" w:hAnsi="Times New Roman" w:cs="Times New Roman"/>
          <w:b/>
          <w:bCs/>
          <w:kern w:val="0"/>
          <w14:ligatures w14:val="none"/>
        </w:rPr>
        <w:t>Approval Gates</w:t>
      </w:r>
      <w:r w:rsidRPr="003F10E1">
        <w:rPr>
          <w:rFonts w:ascii="Times New Roman" w:eastAsia="Times New Roman" w:hAnsi="Times New Roman" w:cs="Times New Roman"/>
          <w:kern w:val="0"/>
          <w14:ligatures w14:val="none"/>
        </w:rPr>
        <w:t>. These gates represent points at which designated human governance roles must verify that the architecture and policies comply with strict organizational rules.</w:t>
      </w:r>
    </w:p>
    <w:p w14:paraId="37C9824E" w14:textId="77777777" w:rsidR="003F10E1" w:rsidRPr="003F10E1" w:rsidRDefault="003F10E1" w:rsidP="00154566">
      <w:pPr>
        <w:spacing w:before="120"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In the context of the MACS POC, the </w:t>
      </w:r>
      <w:r w:rsidRPr="003F10E1">
        <w:rPr>
          <w:rFonts w:ascii="Times New Roman" w:eastAsia="Times New Roman" w:hAnsi="Times New Roman" w:cs="Times New Roman"/>
          <w:b/>
          <w:bCs/>
          <w:kern w:val="0"/>
          <w14:ligatures w14:val="none"/>
        </w:rPr>
        <w:t>Chief Data Officer (CDO)</w:t>
      </w:r>
      <w:r w:rsidRPr="003F10E1">
        <w:rPr>
          <w:rFonts w:ascii="Times New Roman" w:eastAsia="Times New Roman" w:hAnsi="Times New Roman" w:cs="Times New Roman"/>
          <w:kern w:val="0"/>
          <w14:ligatures w14:val="none"/>
        </w:rPr>
        <w:t xml:space="preserve"> and </w:t>
      </w:r>
      <w:r w:rsidRPr="003F10E1">
        <w:rPr>
          <w:rFonts w:ascii="Times New Roman" w:eastAsia="Times New Roman" w:hAnsi="Times New Roman" w:cs="Times New Roman"/>
          <w:b/>
          <w:bCs/>
          <w:kern w:val="0"/>
          <w14:ligatures w14:val="none"/>
        </w:rPr>
        <w:t>Court Auditors</w:t>
      </w:r>
      <w:r w:rsidRPr="003F10E1">
        <w:rPr>
          <w:rFonts w:ascii="Times New Roman" w:eastAsia="Times New Roman" w:hAnsi="Times New Roman" w:cs="Times New Roman"/>
          <w:kern w:val="0"/>
          <w14:ligatures w14:val="none"/>
        </w:rPr>
        <w:t xml:space="preserve"> utilize these gates to strictly enforce the </w:t>
      </w:r>
      <w:r w:rsidRPr="003F10E1">
        <w:rPr>
          <w:rFonts w:ascii="Times New Roman" w:eastAsia="Times New Roman" w:hAnsi="Times New Roman" w:cs="Times New Roman"/>
          <w:b/>
          <w:bCs/>
          <w:kern w:val="0"/>
          <w14:ligatures w14:val="none"/>
        </w:rPr>
        <w:t>NCSC Data Governance Policy Guide</w:t>
      </w:r>
      <w:r w:rsidRPr="003F10E1">
        <w:rPr>
          <w:rFonts w:ascii="Times New Roman" w:eastAsia="Times New Roman" w:hAnsi="Times New Roman" w:cs="Times New Roman"/>
          <w:kern w:val="0"/>
          <w14:ligatures w14:val="none"/>
        </w:rPr>
        <w:t>. The Approval Gates ensure that:</w:t>
      </w:r>
    </w:p>
    <w:p w14:paraId="4898B50A" w14:textId="77777777" w:rsidR="003F10E1" w:rsidRPr="003F10E1" w:rsidRDefault="003F10E1" w:rsidP="00154566">
      <w:pPr>
        <w:numPr>
          <w:ilvl w:val="0"/>
          <w:numId w:val="17"/>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3F10E1">
        <w:rPr>
          <w:rFonts w:ascii="Google Sans Text" w:eastAsia="Times New Roman" w:hAnsi="Google Sans Text" w:cs="Times New Roman"/>
          <w:color w:val="303030"/>
          <w:kern w:val="0"/>
          <w:sz w:val="21"/>
          <w:szCs w:val="21"/>
          <w14:ligatures w14:val="none"/>
        </w:rPr>
        <w:t xml:space="preserve">Data mappings perfectly align with the </w:t>
      </w:r>
      <w:proofErr w:type="spellStart"/>
      <w:r w:rsidRPr="003F10E1">
        <w:rPr>
          <w:rFonts w:ascii="Google Sans Code" w:eastAsia="Times New Roman" w:hAnsi="Google Sans Code" w:cs="Courier New"/>
          <w:color w:val="303030"/>
          <w:kern w:val="0"/>
          <w:sz w:val="20"/>
          <w:szCs w:val="20"/>
          <w14:ligatures w14:val="none"/>
        </w:rPr>
        <w:t>Psj_Court_Canonical</w:t>
      </w:r>
      <w:proofErr w:type="spellEnd"/>
      <w:r w:rsidRPr="003F10E1">
        <w:rPr>
          <w:rFonts w:ascii="Google Sans Text" w:eastAsia="Times New Roman" w:hAnsi="Google Sans Text" w:cs="Times New Roman"/>
          <w:color w:val="303030"/>
          <w:kern w:val="0"/>
          <w:sz w:val="21"/>
          <w:szCs w:val="21"/>
          <w14:ligatures w14:val="none"/>
        </w:rPr>
        <w:t xml:space="preserve"> schema (such as ensuring interoperability across diverse courts).</w:t>
      </w:r>
    </w:p>
    <w:p w14:paraId="25661E25" w14:textId="77777777" w:rsidR="003F10E1" w:rsidRPr="003F10E1" w:rsidRDefault="003F10E1" w:rsidP="00154566">
      <w:pPr>
        <w:numPr>
          <w:ilvl w:val="0"/>
          <w:numId w:val="17"/>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3F10E1">
        <w:rPr>
          <w:rFonts w:ascii="Google Sans Text" w:eastAsia="Times New Roman" w:hAnsi="Google Sans Text" w:cs="Times New Roman"/>
          <w:color w:val="303030"/>
          <w:kern w:val="0"/>
          <w:sz w:val="21"/>
          <w:szCs w:val="21"/>
          <w14:ligatures w14:val="none"/>
        </w:rPr>
        <w:t>Data distribution models and security policies are deterministically verifiable.</w:t>
      </w:r>
    </w:p>
    <w:p w14:paraId="599F3F4A" w14:textId="77777777" w:rsidR="003F10E1" w:rsidRPr="003F10E1" w:rsidRDefault="003F10E1" w:rsidP="00154566">
      <w:pPr>
        <w:numPr>
          <w:ilvl w:val="0"/>
          <w:numId w:val="17"/>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3F10E1">
        <w:rPr>
          <w:rFonts w:ascii="Google Sans Text" w:eastAsia="Times New Roman" w:hAnsi="Google Sans Text" w:cs="Times New Roman"/>
          <w:color w:val="303030"/>
          <w:kern w:val="0"/>
          <w:sz w:val="21"/>
          <w:szCs w:val="21"/>
          <w14:ligatures w14:val="none"/>
        </w:rPr>
        <w:t>Sensitive Personally Identifiable Information (PII) is handled legally and correctly, enforcing strict rules around soft-deletion and masking before autonomous generation begins.</w:t>
      </w:r>
    </w:p>
    <w:p w14:paraId="07A16DE7" w14:textId="77777777" w:rsidR="009625D3" w:rsidRDefault="009625D3" w:rsidP="00154566">
      <w:pPr>
        <w:pStyle w:val="NormalWeb"/>
        <w:spacing w:before="120" w:beforeAutospacing="0" w:after="120" w:afterAutospacing="0"/>
      </w:pPr>
      <w:r>
        <w:t>By integrating the 13 discrete canonical entities, the Traceability Graph, and human Approval Gates, the Specification Engine ensures that autonomous construction remains highly structured, mathematically verifiable, and strictly governed by enterprise policy.</w:t>
      </w:r>
    </w:p>
    <w:p w14:paraId="41F02F25" w14:textId="77777777" w:rsidR="003F10E1" w:rsidRPr="003F10E1" w:rsidRDefault="003F10E1" w:rsidP="00154566">
      <w:pPr>
        <w:pStyle w:val="Heading3"/>
        <w:spacing w:line="240" w:lineRule="auto"/>
      </w:pPr>
      <w:r w:rsidRPr="003F10E1">
        <w:t>4. MACS POC: The Resolved Structured Transaction Payload (STP)</w:t>
      </w:r>
    </w:p>
    <w:p w14:paraId="364D7882" w14:textId="77777777" w:rsidR="003F10E1" w:rsidRPr="003F10E1" w:rsidRDefault="003F10E1" w:rsidP="00154566">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Following the initial "Advisory Collaboration" phase, the human governance team has resolved the mandatory clarifications. The answers provided have been integrated directly into the Structured Transaction Payload (STP) to finalize the deterministic constraints:</w:t>
      </w:r>
    </w:p>
    <w:p w14:paraId="5514D370" w14:textId="77777777" w:rsidR="003F10E1" w:rsidRPr="003F10E1" w:rsidRDefault="003F10E1" w:rsidP="00154566">
      <w:pPr>
        <w:numPr>
          <w:ilvl w:val="0"/>
          <w:numId w:val="18"/>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3F10E1">
        <w:rPr>
          <w:rFonts w:ascii="Google Sans Text" w:eastAsia="Times New Roman" w:hAnsi="Google Sans Text" w:cs="Times New Roman"/>
          <w:b/>
          <w:bCs/>
          <w:color w:val="303030"/>
          <w:kern w:val="0"/>
          <w:sz w:val="21"/>
          <w:szCs w:val="21"/>
          <w14:ligatures w14:val="none"/>
        </w:rPr>
        <w:t>Authentication:</w:t>
      </w:r>
      <w:r w:rsidRPr="003F10E1">
        <w:rPr>
          <w:rFonts w:ascii="Google Sans Text" w:eastAsia="Times New Roman" w:hAnsi="Google Sans Text" w:cs="Times New Roman"/>
          <w:color w:val="303030"/>
          <w:kern w:val="0"/>
          <w:sz w:val="21"/>
          <w:szCs w:val="21"/>
          <w14:ligatures w14:val="none"/>
        </w:rPr>
        <w:t xml:space="preserve"> Explicitly mapped </w:t>
      </w:r>
      <w:r w:rsidRPr="003F10E1">
        <w:rPr>
          <w:rFonts w:ascii="Google Sans Text" w:eastAsia="Times New Roman" w:hAnsi="Google Sans Text" w:cs="Times New Roman"/>
          <w:b/>
          <w:bCs/>
          <w:color w:val="303030"/>
          <w:kern w:val="0"/>
          <w:sz w:val="21"/>
          <w:szCs w:val="21"/>
          <w14:ligatures w14:val="none"/>
        </w:rPr>
        <w:t>OAuth with Entra ID</w:t>
      </w:r>
      <w:r w:rsidRPr="003F10E1">
        <w:rPr>
          <w:rFonts w:ascii="Google Sans Text" w:eastAsia="Times New Roman" w:hAnsi="Google Sans Text" w:cs="Times New Roman"/>
          <w:color w:val="303030"/>
          <w:kern w:val="0"/>
          <w:sz w:val="21"/>
          <w:szCs w:val="21"/>
          <w14:ligatures w14:val="none"/>
        </w:rPr>
        <w:t xml:space="preserve"> to the NIST 800-53 policy (</w:t>
      </w:r>
      <w:r w:rsidRPr="003F10E1">
        <w:rPr>
          <w:rFonts w:ascii="Google Sans Code" w:eastAsia="Times New Roman" w:hAnsi="Google Sans Code" w:cs="Courier New"/>
          <w:color w:val="303030"/>
          <w:kern w:val="0"/>
          <w:sz w:val="20"/>
          <w:szCs w:val="20"/>
          <w14:ligatures w14:val="none"/>
        </w:rPr>
        <w:t>POL-NIST-001</w:t>
      </w:r>
      <w:r w:rsidRPr="003F10E1">
        <w:rPr>
          <w:rFonts w:ascii="Google Sans Text" w:eastAsia="Times New Roman" w:hAnsi="Google Sans Text" w:cs="Times New Roman"/>
          <w:color w:val="303030"/>
          <w:kern w:val="0"/>
          <w:sz w:val="21"/>
          <w:szCs w:val="21"/>
          <w14:ligatures w14:val="none"/>
        </w:rPr>
        <w:t>).</w:t>
      </w:r>
    </w:p>
    <w:p w14:paraId="1B006314" w14:textId="77777777" w:rsidR="003F10E1" w:rsidRPr="003F10E1" w:rsidRDefault="003F10E1" w:rsidP="00154566">
      <w:pPr>
        <w:numPr>
          <w:ilvl w:val="0"/>
          <w:numId w:val="18"/>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3F10E1">
        <w:rPr>
          <w:rFonts w:ascii="Google Sans Text" w:eastAsia="Times New Roman" w:hAnsi="Google Sans Text" w:cs="Times New Roman"/>
          <w:b/>
          <w:bCs/>
          <w:color w:val="303030"/>
          <w:kern w:val="0"/>
          <w:sz w:val="21"/>
          <w:szCs w:val="21"/>
          <w14:ligatures w14:val="none"/>
        </w:rPr>
        <w:t>Payload Scope:</w:t>
      </w:r>
      <w:r w:rsidRPr="003F10E1">
        <w:rPr>
          <w:rFonts w:ascii="Google Sans Text" w:eastAsia="Times New Roman" w:hAnsi="Google Sans Text" w:cs="Times New Roman"/>
          <w:color w:val="303030"/>
          <w:kern w:val="0"/>
          <w:sz w:val="21"/>
          <w:szCs w:val="21"/>
          <w14:ligatures w14:val="none"/>
        </w:rPr>
        <w:t xml:space="preserve"> Expanded the </w:t>
      </w:r>
      <w:proofErr w:type="spellStart"/>
      <w:r w:rsidRPr="003F10E1">
        <w:rPr>
          <w:rFonts w:ascii="Google Sans Code" w:eastAsia="Times New Roman" w:hAnsi="Google Sans Code" w:cs="Courier New"/>
          <w:color w:val="303030"/>
          <w:kern w:val="0"/>
          <w:sz w:val="20"/>
          <w:szCs w:val="20"/>
          <w14:ligatures w14:val="none"/>
        </w:rPr>
        <w:t>DataEntity</w:t>
      </w:r>
      <w:proofErr w:type="spellEnd"/>
      <w:r w:rsidRPr="003F10E1">
        <w:rPr>
          <w:rFonts w:ascii="Google Sans Text" w:eastAsia="Times New Roman" w:hAnsi="Google Sans Text" w:cs="Times New Roman"/>
          <w:color w:val="303030"/>
          <w:kern w:val="0"/>
          <w:sz w:val="21"/>
          <w:szCs w:val="21"/>
          <w14:ligatures w14:val="none"/>
        </w:rPr>
        <w:t xml:space="preserve"> mappings to explicitly include all NODS entities, explicitly adding </w:t>
      </w:r>
      <w:proofErr w:type="spellStart"/>
      <w:r w:rsidRPr="003F10E1">
        <w:rPr>
          <w:rFonts w:ascii="Google Sans Text" w:eastAsia="Times New Roman" w:hAnsi="Google Sans Text" w:cs="Times New Roman"/>
          <w:b/>
          <w:bCs/>
          <w:color w:val="303030"/>
          <w:kern w:val="0"/>
          <w:sz w:val="21"/>
          <w:szCs w:val="21"/>
          <w14:ligatures w14:val="none"/>
        </w:rPr>
        <w:t>FilingEvent</w:t>
      </w:r>
      <w:proofErr w:type="spellEnd"/>
      <w:r w:rsidRPr="003F10E1">
        <w:rPr>
          <w:rFonts w:ascii="Google Sans Text" w:eastAsia="Times New Roman" w:hAnsi="Google Sans Text" w:cs="Times New Roman"/>
          <w:color w:val="303030"/>
          <w:kern w:val="0"/>
          <w:sz w:val="21"/>
          <w:szCs w:val="21"/>
          <w14:ligatures w14:val="none"/>
        </w:rPr>
        <w:t xml:space="preserve"> and </w:t>
      </w:r>
      <w:proofErr w:type="spellStart"/>
      <w:r w:rsidRPr="003F10E1">
        <w:rPr>
          <w:rFonts w:ascii="Google Sans Text" w:eastAsia="Times New Roman" w:hAnsi="Google Sans Text" w:cs="Times New Roman"/>
          <w:b/>
          <w:bCs/>
          <w:color w:val="303030"/>
          <w:kern w:val="0"/>
          <w:sz w:val="21"/>
          <w:szCs w:val="21"/>
          <w14:ligatures w14:val="none"/>
        </w:rPr>
        <w:t>HearingDetail</w:t>
      </w:r>
      <w:proofErr w:type="spellEnd"/>
      <w:r w:rsidRPr="003F10E1">
        <w:rPr>
          <w:rFonts w:ascii="Google Sans Text" w:eastAsia="Times New Roman" w:hAnsi="Google Sans Text" w:cs="Times New Roman"/>
          <w:color w:val="303030"/>
          <w:kern w:val="0"/>
          <w:sz w:val="21"/>
          <w:szCs w:val="21"/>
          <w14:ligatures w14:val="none"/>
        </w:rPr>
        <w:t>.</w:t>
      </w:r>
    </w:p>
    <w:p w14:paraId="78E5C59D" w14:textId="77777777" w:rsidR="003F10E1" w:rsidRPr="003F10E1" w:rsidRDefault="003F10E1" w:rsidP="00154566">
      <w:pPr>
        <w:numPr>
          <w:ilvl w:val="0"/>
          <w:numId w:val="18"/>
        </w:numPr>
        <w:shd w:val="clear" w:color="auto" w:fill="FFFFFF"/>
        <w:spacing w:after="0" w:line="240" w:lineRule="auto"/>
        <w:rPr>
          <w:rFonts w:ascii="Google Sans Text" w:eastAsia="Times New Roman" w:hAnsi="Google Sans Text" w:cs="Times New Roman"/>
          <w:color w:val="303030"/>
          <w:kern w:val="0"/>
          <w:sz w:val="21"/>
          <w:szCs w:val="21"/>
          <w14:ligatures w14:val="none"/>
        </w:rPr>
      </w:pPr>
      <w:r w:rsidRPr="003F10E1">
        <w:rPr>
          <w:rFonts w:ascii="Google Sans Text" w:eastAsia="Times New Roman" w:hAnsi="Google Sans Text" w:cs="Times New Roman"/>
          <w:b/>
          <w:bCs/>
          <w:color w:val="303030"/>
          <w:kern w:val="0"/>
          <w:sz w:val="21"/>
          <w:szCs w:val="21"/>
          <w14:ligatures w14:val="none"/>
        </w:rPr>
        <w:t>PII Policy:</w:t>
      </w:r>
      <w:r w:rsidRPr="003F10E1">
        <w:rPr>
          <w:rFonts w:ascii="Google Sans Text" w:eastAsia="Times New Roman" w:hAnsi="Google Sans Text" w:cs="Times New Roman"/>
          <w:color w:val="303030"/>
          <w:kern w:val="0"/>
          <w:sz w:val="21"/>
          <w:szCs w:val="21"/>
          <w14:ligatures w14:val="none"/>
        </w:rPr>
        <w:t xml:space="preserve"> Explicitly mandated that PII should not be included in any payload. If PII is detected, the system must </w:t>
      </w:r>
      <w:r w:rsidRPr="003F10E1">
        <w:rPr>
          <w:rFonts w:ascii="Google Sans Text" w:eastAsia="Times New Roman" w:hAnsi="Google Sans Text" w:cs="Times New Roman"/>
          <w:b/>
          <w:bCs/>
          <w:color w:val="303030"/>
          <w:kern w:val="0"/>
          <w:sz w:val="21"/>
          <w:szCs w:val="21"/>
          <w14:ligatures w14:val="none"/>
        </w:rPr>
        <w:t>generate a notification for immediate soft deletion or removal</w:t>
      </w:r>
      <w:r w:rsidRPr="003F10E1">
        <w:rPr>
          <w:rFonts w:ascii="Google Sans Text" w:eastAsia="Times New Roman" w:hAnsi="Google Sans Text" w:cs="Times New Roman"/>
          <w:color w:val="303030"/>
          <w:kern w:val="0"/>
          <w:sz w:val="21"/>
          <w:szCs w:val="21"/>
          <w14:ligatures w14:val="none"/>
        </w:rPr>
        <w:t xml:space="preserve"> in accordance with NCSC and CJIS policies (</w:t>
      </w:r>
      <w:r w:rsidRPr="003F10E1">
        <w:rPr>
          <w:rFonts w:ascii="Google Sans Code" w:eastAsia="Times New Roman" w:hAnsi="Google Sans Code" w:cs="Courier New"/>
          <w:color w:val="303030"/>
          <w:kern w:val="0"/>
          <w:sz w:val="20"/>
          <w:szCs w:val="20"/>
          <w14:ligatures w14:val="none"/>
        </w:rPr>
        <w:t>POL-PII-001</w:t>
      </w:r>
      <w:r w:rsidRPr="003F10E1">
        <w:rPr>
          <w:rFonts w:ascii="Google Sans Text" w:eastAsia="Times New Roman" w:hAnsi="Google Sans Text" w:cs="Times New Roman"/>
          <w:color w:val="303030"/>
          <w:kern w:val="0"/>
          <w:sz w:val="21"/>
          <w:szCs w:val="21"/>
          <w14:ligatures w14:val="none"/>
        </w:rPr>
        <w:t>).</w:t>
      </w:r>
    </w:p>
    <w:p w14:paraId="21DAFF97" w14:textId="77777777" w:rsidR="003F10E1" w:rsidRPr="003F10E1" w:rsidRDefault="003F10E1" w:rsidP="00154566">
      <w:pPr>
        <w:spacing w:before="120"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kern w:val="0"/>
          <w14:ligatures w14:val="none"/>
        </w:rPr>
        <w:t xml:space="preserve">With these gaps resolved, the blueprint clears the Draft Level and enters the </w:t>
      </w:r>
      <w:r w:rsidRPr="003F10E1">
        <w:rPr>
          <w:rFonts w:ascii="Times New Roman" w:eastAsia="Times New Roman" w:hAnsi="Times New Roman" w:cs="Times New Roman"/>
          <w:b/>
          <w:bCs/>
          <w:kern w:val="0"/>
          <w14:ligatures w14:val="none"/>
        </w:rPr>
        <w:t>Reviewable Level</w:t>
      </w:r>
      <w:r w:rsidRPr="003F10E1">
        <w:rPr>
          <w:rFonts w:ascii="Times New Roman" w:eastAsia="Times New Roman" w:hAnsi="Times New Roman" w:cs="Times New Roman"/>
          <w:kern w:val="0"/>
          <w14:ligatures w14:val="none"/>
        </w:rPr>
        <w:t>. It is now ready for formal Approval Gates.</w:t>
      </w:r>
    </w:p>
    <w:p w14:paraId="698BF887" w14:textId="77777777" w:rsidR="003F10E1" w:rsidRPr="003F10E1" w:rsidRDefault="003F10E1" w:rsidP="00154566">
      <w:pPr>
        <w:spacing w:before="120"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TRANSACTION_ID:</w:t>
      </w:r>
      <w:r w:rsidRPr="003F10E1">
        <w:rPr>
          <w:rFonts w:ascii="Times New Roman" w:eastAsia="Times New Roman" w:hAnsi="Times New Roman" w:cs="Times New Roman"/>
          <w:kern w:val="0"/>
          <w14:ligatures w14:val="none"/>
        </w:rPr>
        <w:t xml:space="preserve"> TASK-SPEC-INIT-004 </w:t>
      </w:r>
      <w:r w:rsidRPr="003F10E1">
        <w:rPr>
          <w:rFonts w:ascii="Times New Roman" w:eastAsia="Times New Roman" w:hAnsi="Times New Roman" w:cs="Times New Roman"/>
          <w:b/>
          <w:bCs/>
          <w:kern w:val="0"/>
          <w14:ligatures w14:val="none"/>
        </w:rPr>
        <w:t>AGENT_ROLES:</w:t>
      </w:r>
      <w:r w:rsidRPr="003F10E1">
        <w:rPr>
          <w:rFonts w:ascii="Times New Roman" w:eastAsia="Times New Roman" w:hAnsi="Times New Roman" w:cs="Times New Roman"/>
          <w:kern w:val="0"/>
          <w14:ligatures w14:val="none"/>
        </w:rPr>
        <w:t xml:space="preserve"> [Specification Interpreter, Architecture Planner, Security Validator, Test Generator] </w:t>
      </w:r>
      <w:r w:rsidRPr="003F10E1">
        <w:rPr>
          <w:rFonts w:ascii="Times New Roman" w:eastAsia="Times New Roman" w:hAnsi="Times New Roman" w:cs="Times New Roman"/>
          <w:b/>
          <w:bCs/>
          <w:kern w:val="0"/>
          <w14:ligatures w14:val="none"/>
        </w:rPr>
        <w:t>TARGET_ARCHITECTURE:</w:t>
      </w:r>
      <w:r w:rsidRPr="003F10E1">
        <w:rPr>
          <w:rFonts w:ascii="Times New Roman" w:eastAsia="Times New Roman" w:hAnsi="Times New Roman" w:cs="Times New Roman"/>
          <w:kern w:val="0"/>
          <w14:ligatures w14:val="none"/>
        </w:rPr>
        <w:t xml:space="preserve"> Minimal Autonomous Construction System (MACS) .NET REST Service</w:t>
      </w:r>
    </w:p>
    <w:p w14:paraId="39CA477B" w14:textId="77777777" w:rsidR="003F10E1" w:rsidRPr="003F10E1" w:rsidRDefault="003F10E1" w:rsidP="00154566">
      <w:pPr>
        <w:spacing w:before="120"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Project</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PROJ-INTAKE-001</w:t>
      </w:r>
      <w:r w:rsidRPr="003F10E1">
        <w:rPr>
          <w:rFonts w:ascii="Times New Roman" w:eastAsia="Times New Roman" w:hAnsi="Times New Roman" w:cs="Times New Roman"/>
          <w:kern w:val="0"/>
          <w14:ligatures w14:val="none"/>
        </w:rPr>
        <w:t>: Court Case Intake REST Service. A Minimal Autonomous Construction System (MACS) subsystem responsible for the ingestion, validation, and initial processing of court case filings mapped to NCSC NODS standards.</w:t>
      </w:r>
    </w:p>
    <w:p w14:paraId="20251DDD"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Context</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CTX-001</w:t>
      </w:r>
      <w:r w:rsidRPr="003F10E1">
        <w:rPr>
          <w:rFonts w:ascii="Times New Roman" w:eastAsia="Times New Roman" w:hAnsi="Times New Roman" w:cs="Times New Roman"/>
          <w:kern w:val="0"/>
          <w14:ligatures w14:val="none"/>
        </w:rPr>
        <w:t xml:space="preserve">: U.S. state-level judiciary environment. The system operates as the primary ingestion point for external e-filing systems and interoperates with downstream court ecosystems by aligning strictly with the </w:t>
      </w:r>
      <w:proofErr w:type="spellStart"/>
      <w:r w:rsidRPr="003F10E1">
        <w:rPr>
          <w:rFonts w:ascii="Times New Roman" w:eastAsia="Times New Roman" w:hAnsi="Times New Roman" w:cs="Times New Roman"/>
          <w:kern w:val="0"/>
          <w14:ligatures w14:val="none"/>
        </w:rPr>
        <w:t>Psj_Court_Canonical</w:t>
      </w:r>
      <w:proofErr w:type="spellEnd"/>
      <w:r w:rsidRPr="003F10E1">
        <w:rPr>
          <w:rFonts w:ascii="Times New Roman" w:eastAsia="Times New Roman" w:hAnsi="Times New Roman" w:cs="Times New Roman"/>
          <w:kern w:val="0"/>
          <w14:ligatures w14:val="none"/>
        </w:rPr>
        <w:t xml:space="preserve"> relational schema.</w:t>
      </w:r>
    </w:p>
    <w:p w14:paraId="4AF77B81"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Stakeholder</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STK-001</w:t>
      </w:r>
      <w:r w:rsidRPr="003F10E1">
        <w:rPr>
          <w:rFonts w:ascii="Times New Roman" w:eastAsia="Times New Roman" w:hAnsi="Times New Roman" w:cs="Times New Roman"/>
          <w:kern w:val="0"/>
          <w14:ligatures w14:val="none"/>
        </w:rPr>
        <w:t xml:space="preserve">: Court Auditors - Responsible for reviewing specification governance, tracing, and compliance Approval Gates. </w:t>
      </w:r>
      <w:r w:rsidRPr="003F10E1">
        <w:rPr>
          <w:rFonts w:ascii="Times New Roman" w:eastAsia="Times New Roman" w:hAnsi="Times New Roman" w:cs="Times New Roman"/>
          <w:b/>
          <w:bCs/>
          <w:kern w:val="0"/>
          <w14:ligatures w14:val="none"/>
        </w:rPr>
        <w:t>STK-002</w:t>
      </w:r>
      <w:r w:rsidRPr="003F10E1">
        <w:rPr>
          <w:rFonts w:ascii="Times New Roman" w:eastAsia="Times New Roman" w:hAnsi="Times New Roman" w:cs="Times New Roman"/>
          <w:kern w:val="0"/>
          <w14:ligatures w14:val="none"/>
        </w:rPr>
        <w:t xml:space="preserve">: Security Validators - Responsible for </w:t>
      </w:r>
      <w:r w:rsidRPr="003F10E1">
        <w:rPr>
          <w:rFonts w:ascii="Times New Roman" w:eastAsia="Times New Roman" w:hAnsi="Times New Roman" w:cs="Times New Roman"/>
          <w:kern w:val="0"/>
          <w14:ligatures w14:val="none"/>
        </w:rPr>
        <w:lastRenderedPageBreak/>
        <w:t xml:space="preserve">evaluating CJIS and NIST 800-53 compliance. </w:t>
      </w:r>
      <w:r w:rsidRPr="003F10E1">
        <w:rPr>
          <w:rFonts w:ascii="Times New Roman" w:eastAsia="Times New Roman" w:hAnsi="Times New Roman" w:cs="Times New Roman"/>
          <w:b/>
          <w:bCs/>
          <w:kern w:val="0"/>
          <w14:ligatures w14:val="none"/>
        </w:rPr>
        <w:t>STK-003</w:t>
      </w:r>
      <w:r w:rsidRPr="003F10E1">
        <w:rPr>
          <w:rFonts w:ascii="Times New Roman" w:eastAsia="Times New Roman" w:hAnsi="Times New Roman" w:cs="Times New Roman"/>
          <w:kern w:val="0"/>
          <w14:ligatures w14:val="none"/>
        </w:rPr>
        <w:t>: Chief Data Officer (CDO) - Responsible for defining data management strategy and enforcing NCSC Data Governance policies, ensuring data accuracy and privacy.</w:t>
      </w:r>
    </w:p>
    <w:p w14:paraId="1349E400"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Actor</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ACT-001</w:t>
      </w:r>
      <w:r w:rsidRPr="003F10E1">
        <w:rPr>
          <w:rFonts w:ascii="Times New Roman" w:eastAsia="Times New Roman" w:hAnsi="Times New Roman" w:cs="Times New Roman"/>
          <w:kern w:val="0"/>
          <w14:ligatures w14:val="none"/>
        </w:rPr>
        <w:t xml:space="preserve">: External E-Filing System - Automated external process submitting initial structured case filings. </w:t>
      </w:r>
      <w:r w:rsidRPr="003F10E1">
        <w:rPr>
          <w:rFonts w:ascii="Times New Roman" w:eastAsia="Times New Roman" w:hAnsi="Times New Roman" w:cs="Times New Roman"/>
          <w:b/>
          <w:bCs/>
          <w:kern w:val="0"/>
          <w14:ligatures w14:val="none"/>
        </w:rPr>
        <w:t>ACT-002</w:t>
      </w:r>
      <w:r w:rsidRPr="003F10E1">
        <w:rPr>
          <w:rFonts w:ascii="Times New Roman" w:eastAsia="Times New Roman" w:hAnsi="Times New Roman" w:cs="Times New Roman"/>
          <w:kern w:val="0"/>
          <w14:ligatures w14:val="none"/>
        </w:rPr>
        <w:t>: Court Clerk - Human user reviewing flagged exception reports, verifying data quality, and handling non-compliant intake submissions.</w:t>
      </w:r>
    </w:p>
    <w:p w14:paraId="14BC8934"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Capability</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CAP-001</w:t>
      </w:r>
      <w:r w:rsidRPr="003F10E1">
        <w:rPr>
          <w:rFonts w:ascii="Times New Roman" w:eastAsia="Times New Roman" w:hAnsi="Times New Roman" w:cs="Times New Roman"/>
          <w:kern w:val="0"/>
          <w14:ligatures w14:val="none"/>
        </w:rPr>
        <w:t xml:space="preserve">: Automated Case Ingestion - The high-level business function to receive, parse, and validate structured court data payloads. </w:t>
      </w:r>
      <w:r w:rsidRPr="003F10E1">
        <w:rPr>
          <w:rFonts w:ascii="Times New Roman" w:eastAsia="Times New Roman" w:hAnsi="Times New Roman" w:cs="Times New Roman"/>
          <w:b/>
          <w:bCs/>
          <w:kern w:val="0"/>
          <w14:ligatures w14:val="none"/>
        </w:rPr>
        <w:t>CAP-002</w:t>
      </w:r>
      <w:r w:rsidRPr="003F10E1">
        <w:rPr>
          <w:rFonts w:ascii="Times New Roman" w:eastAsia="Times New Roman" w:hAnsi="Times New Roman" w:cs="Times New Roman"/>
          <w:kern w:val="0"/>
          <w14:ligatures w14:val="none"/>
        </w:rPr>
        <w:t xml:space="preserve">: NCSC NODS Interoperability - The capability to process strict NODS-compliant data payloads conforming to the </w:t>
      </w:r>
      <w:proofErr w:type="spellStart"/>
      <w:r w:rsidRPr="003F10E1">
        <w:rPr>
          <w:rFonts w:ascii="Times New Roman" w:eastAsia="Times New Roman" w:hAnsi="Times New Roman" w:cs="Times New Roman"/>
          <w:kern w:val="0"/>
          <w14:ligatures w14:val="none"/>
        </w:rPr>
        <w:t>Psj_Court_Canonical</w:t>
      </w:r>
      <w:proofErr w:type="spellEnd"/>
      <w:r w:rsidRPr="003F10E1">
        <w:rPr>
          <w:rFonts w:ascii="Times New Roman" w:eastAsia="Times New Roman" w:hAnsi="Times New Roman" w:cs="Times New Roman"/>
          <w:kern w:val="0"/>
          <w14:ligatures w14:val="none"/>
        </w:rPr>
        <w:t xml:space="preserve"> schema.</w:t>
      </w:r>
    </w:p>
    <w:p w14:paraId="1FE84205"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Requirement</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REQ-001</w:t>
      </w:r>
      <w:r w:rsidRPr="003F10E1">
        <w:rPr>
          <w:rFonts w:ascii="Times New Roman" w:eastAsia="Times New Roman" w:hAnsi="Times New Roman" w:cs="Times New Roman"/>
          <w:kern w:val="0"/>
          <w14:ligatures w14:val="none"/>
        </w:rPr>
        <w:t xml:space="preserve">: The system must map incoming case data to the NODS </w:t>
      </w:r>
      <w:proofErr w:type="spellStart"/>
      <w:r w:rsidRPr="003F10E1">
        <w:rPr>
          <w:rFonts w:ascii="Times New Roman" w:eastAsia="Times New Roman" w:hAnsi="Times New Roman" w:cs="Times New Roman"/>
          <w:kern w:val="0"/>
          <w14:ligatures w14:val="none"/>
        </w:rPr>
        <w:t>CaseDetail</w:t>
      </w:r>
      <w:proofErr w:type="spellEnd"/>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PartyDetail</w:t>
      </w:r>
      <w:proofErr w:type="spellEnd"/>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ChargeDetail</w:t>
      </w:r>
      <w:proofErr w:type="spellEnd"/>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FilingEvent</w:t>
      </w:r>
      <w:proofErr w:type="spellEnd"/>
      <w:r w:rsidRPr="003F10E1">
        <w:rPr>
          <w:rFonts w:ascii="Times New Roman" w:eastAsia="Times New Roman" w:hAnsi="Times New Roman" w:cs="Times New Roman"/>
          <w:kern w:val="0"/>
          <w14:ligatures w14:val="none"/>
        </w:rPr>
        <w:t xml:space="preserve">, and </w:t>
      </w:r>
      <w:proofErr w:type="spellStart"/>
      <w:r w:rsidRPr="003F10E1">
        <w:rPr>
          <w:rFonts w:ascii="Times New Roman" w:eastAsia="Times New Roman" w:hAnsi="Times New Roman" w:cs="Times New Roman"/>
          <w:kern w:val="0"/>
          <w14:ligatures w14:val="none"/>
        </w:rPr>
        <w:t>HearingDetail</w:t>
      </w:r>
      <w:proofErr w:type="spellEnd"/>
      <w:r w:rsidRPr="003F10E1">
        <w:rPr>
          <w:rFonts w:ascii="Times New Roman" w:eastAsia="Times New Roman" w:hAnsi="Times New Roman" w:cs="Times New Roman"/>
          <w:kern w:val="0"/>
          <w14:ligatures w14:val="none"/>
        </w:rPr>
        <w:t xml:space="preserve"> schema tables. </w:t>
      </w:r>
      <w:r w:rsidRPr="003F10E1">
        <w:rPr>
          <w:rFonts w:ascii="Times New Roman" w:eastAsia="Times New Roman" w:hAnsi="Times New Roman" w:cs="Times New Roman"/>
          <w:i/>
          <w:iCs/>
          <w:kern w:val="0"/>
          <w14:ligatures w14:val="none"/>
        </w:rPr>
        <w:t>(Fulfills: CAP-002)</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REQ-002</w:t>
      </w:r>
      <w:r w:rsidRPr="003F10E1">
        <w:rPr>
          <w:rFonts w:ascii="Times New Roman" w:eastAsia="Times New Roman" w:hAnsi="Times New Roman" w:cs="Times New Roman"/>
          <w:kern w:val="0"/>
          <w14:ligatures w14:val="none"/>
        </w:rPr>
        <w:t xml:space="preserve">: The system must enforce payload encryption and role-based access during ingestion. </w:t>
      </w:r>
      <w:r w:rsidRPr="003F10E1">
        <w:rPr>
          <w:rFonts w:ascii="Times New Roman" w:eastAsia="Times New Roman" w:hAnsi="Times New Roman" w:cs="Times New Roman"/>
          <w:i/>
          <w:iCs/>
          <w:kern w:val="0"/>
          <w14:ligatures w14:val="none"/>
        </w:rPr>
        <w:t>(Fulfills: CAP-001)</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REQ-003</w:t>
      </w:r>
      <w:r w:rsidRPr="003F10E1">
        <w:rPr>
          <w:rFonts w:ascii="Times New Roman" w:eastAsia="Times New Roman" w:hAnsi="Times New Roman" w:cs="Times New Roman"/>
          <w:kern w:val="0"/>
          <w14:ligatures w14:val="none"/>
        </w:rPr>
        <w:t xml:space="preserve">: The system must initiate the case lifecycle with a standard NCSC case status of 'Open/Pending'. </w:t>
      </w:r>
      <w:r w:rsidRPr="003F10E1">
        <w:rPr>
          <w:rFonts w:ascii="Times New Roman" w:eastAsia="Times New Roman" w:hAnsi="Times New Roman" w:cs="Times New Roman"/>
          <w:i/>
          <w:iCs/>
          <w:kern w:val="0"/>
          <w14:ligatures w14:val="none"/>
        </w:rPr>
        <w:t>(Fulfills: CAP-001)</w:t>
      </w:r>
    </w:p>
    <w:p w14:paraId="2C398126"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Service</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SRV-INTAKE-01</w:t>
      </w:r>
      <w:r w:rsidRPr="003F10E1">
        <w:rPr>
          <w:rFonts w:ascii="Times New Roman" w:eastAsia="Times New Roman" w:hAnsi="Times New Roman" w:cs="Times New Roman"/>
          <w:kern w:val="0"/>
          <w14:ligatures w14:val="none"/>
        </w:rPr>
        <w:t xml:space="preserve">: Intake REST Service. A local-first, containerized .NET MACS subsystem handling case payload ingestion. </w:t>
      </w:r>
      <w:r w:rsidRPr="003F10E1">
        <w:rPr>
          <w:rFonts w:ascii="Times New Roman" w:eastAsia="Times New Roman" w:hAnsi="Times New Roman" w:cs="Times New Roman"/>
          <w:i/>
          <w:iCs/>
          <w:kern w:val="0"/>
          <w14:ligatures w14:val="none"/>
        </w:rPr>
        <w:t>(Implements: CAP-001, CAP-002; Uses: ENT-NODS-CASE, ENT-NODS-PARTY, ENT-NODS-CHARGE, ENT-NODS-FILING, ENT-NODS-HEARING)</w:t>
      </w:r>
    </w:p>
    <w:p w14:paraId="351C65A6"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Interface</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INT-001</w:t>
      </w:r>
      <w:r w:rsidRPr="003F10E1">
        <w:rPr>
          <w:rFonts w:ascii="Times New Roman" w:eastAsia="Times New Roman" w:hAnsi="Times New Roman" w:cs="Times New Roman"/>
          <w:kern w:val="0"/>
          <w14:ligatures w14:val="none"/>
        </w:rPr>
        <w:t xml:space="preserve">: Case Submission API - A RESTful communication boundary accepting NCSC NODS-compliant JSON payloads. </w:t>
      </w:r>
      <w:r w:rsidRPr="003F10E1">
        <w:rPr>
          <w:rFonts w:ascii="Times New Roman" w:eastAsia="Times New Roman" w:hAnsi="Times New Roman" w:cs="Times New Roman"/>
          <w:i/>
          <w:iCs/>
          <w:kern w:val="0"/>
          <w14:ligatures w14:val="none"/>
        </w:rPr>
        <w:t>(Connects: ACT-001 to SRV-INTAKE-01)</w:t>
      </w:r>
    </w:p>
    <w:p w14:paraId="1D7458CA"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proofErr w:type="spellStart"/>
      <w:r w:rsidRPr="003F10E1">
        <w:rPr>
          <w:rFonts w:ascii="Times New Roman" w:eastAsia="Times New Roman" w:hAnsi="Times New Roman" w:cs="Times New Roman"/>
          <w:b/>
          <w:bCs/>
          <w:kern w:val="0"/>
          <w14:ligatures w14:val="none"/>
        </w:rPr>
        <w:t>DataEntity</w:t>
      </w:r>
      <w:proofErr w:type="spellEnd"/>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ENT-NODS-CASE</w:t>
      </w:r>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CaseDetail</w:t>
      </w:r>
      <w:proofErr w:type="spellEnd"/>
      <w:r w:rsidRPr="003F10E1">
        <w:rPr>
          <w:rFonts w:ascii="Times New Roman" w:eastAsia="Times New Roman" w:hAnsi="Times New Roman" w:cs="Times New Roman"/>
          <w:kern w:val="0"/>
          <w14:ligatures w14:val="none"/>
        </w:rPr>
        <w:t xml:space="preserve"> - NCSC NODS canonical table representing the court case. </w:t>
      </w:r>
      <w:r w:rsidRPr="003F10E1">
        <w:rPr>
          <w:rFonts w:ascii="Times New Roman" w:eastAsia="Times New Roman" w:hAnsi="Times New Roman" w:cs="Times New Roman"/>
          <w:b/>
          <w:bCs/>
          <w:kern w:val="0"/>
          <w14:ligatures w14:val="none"/>
        </w:rPr>
        <w:t>ENT-NODS-PARTY</w:t>
      </w:r>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PartyDetail</w:t>
      </w:r>
      <w:proofErr w:type="spellEnd"/>
      <w:r w:rsidRPr="003F10E1">
        <w:rPr>
          <w:rFonts w:ascii="Times New Roman" w:eastAsia="Times New Roman" w:hAnsi="Times New Roman" w:cs="Times New Roman"/>
          <w:kern w:val="0"/>
          <w14:ligatures w14:val="none"/>
        </w:rPr>
        <w:t xml:space="preserve"> - NCSC NODS canonical table representing participants, utilizing structured unique identifiers. </w:t>
      </w:r>
      <w:r w:rsidRPr="003F10E1">
        <w:rPr>
          <w:rFonts w:ascii="Times New Roman" w:eastAsia="Times New Roman" w:hAnsi="Times New Roman" w:cs="Times New Roman"/>
          <w:b/>
          <w:bCs/>
          <w:kern w:val="0"/>
          <w14:ligatures w14:val="none"/>
        </w:rPr>
        <w:t>ENT-NODS-CHARGE</w:t>
      </w:r>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ChargeDetail</w:t>
      </w:r>
      <w:proofErr w:type="spellEnd"/>
      <w:r w:rsidRPr="003F10E1">
        <w:rPr>
          <w:rFonts w:ascii="Times New Roman" w:eastAsia="Times New Roman" w:hAnsi="Times New Roman" w:cs="Times New Roman"/>
          <w:kern w:val="0"/>
          <w14:ligatures w14:val="none"/>
        </w:rPr>
        <w:t xml:space="preserve"> - NCSC NODS canonical table representing filing charges and related statutes. </w:t>
      </w:r>
      <w:r w:rsidRPr="003F10E1">
        <w:rPr>
          <w:rFonts w:ascii="Times New Roman" w:eastAsia="Times New Roman" w:hAnsi="Times New Roman" w:cs="Times New Roman"/>
          <w:b/>
          <w:bCs/>
          <w:kern w:val="0"/>
          <w14:ligatures w14:val="none"/>
        </w:rPr>
        <w:t>ENT-NODS-FILING</w:t>
      </w:r>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FilingEvent</w:t>
      </w:r>
      <w:proofErr w:type="spellEnd"/>
      <w:r w:rsidRPr="003F10E1">
        <w:rPr>
          <w:rFonts w:ascii="Times New Roman" w:eastAsia="Times New Roman" w:hAnsi="Times New Roman" w:cs="Times New Roman"/>
          <w:kern w:val="0"/>
          <w14:ligatures w14:val="none"/>
        </w:rPr>
        <w:t xml:space="preserve"> - NCSC NODS canonical table representing specific filing events. </w:t>
      </w:r>
      <w:r w:rsidRPr="003F10E1">
        <w:rPr>
          <w:rFonts w:ascii="Times New Roman" w:eastAsia="Times New Roman" w:hAnsi="Times New Roman" w:cs="Times New Roman"/>
          <w:b/>
          <w:bCs/>
          <w:kern w:val="0"/>
          <w14:ligatures w14:val="none"/>
        </w:rPr>
        <w:t>ENT-NODS-HEARING</w:t>
      </w:r>
      <w:r w:rsidRPr="003F10E1">
        <w:rPr>
          <w:rFonts w:ascii="Times New Roman" w:eastAsia="Times New Roman" w:hAnsi="Times New Roman" w:cs="Times New Roman"/>
          <w:kern w:val="0"/>
          <w14:ligatures w14:val="none"/>
        </w:rPr>
        <w:t xml:space="preserve">: </w:t>
      </w:r>
      <w:proofErr w:type="spellStart"/>
      <w:r w:rsidRPr="003F10E1">
        <w:rPr>
          <w:rFonts w:ascii="Times New Roman" w:eastAsia="Times New Roman" w:hAnsi="Times New Roman" w:cs="Times New Roman"/>
          <w:kern w:val="0"/>
          <w14:ligatures w14:val="none"/>
        </w:rPr>
        <w:t>HearingDetail</w:t>
      </w:r>
      <w:proofErr w:type="spellEnd"/>
      <w:r w:rsidRPr="003F10E1">
        <w:rPr>
          <w:rFonts w:ascii="Times New Roman" w:eastAsia="Times New Roman" w:hAnsi="Times New Roman" w:cs="Times New Roman"/>
          <w:kern w:val="0"/>
          <w14:ligatures w14:val="none"/>
        </w:rPr>
        <w:t xml:space="preserve"> - NCSC NODS canonical table representing specific scheduled hearing details.</w:t>
      </w:r>
    </w:p>
    <w:p w14:paraId="137EFBCD"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Workflow</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WKF-001</w:t>
      </w:r>
      <w:r w:rsidRPr="003F10E1">
        <w:rPr>
          <w:rFonts w:ascii="Times New Roman" w:eastAsia="Times New Roman" w:hAnsi="Times New Roman" w:cs="Times New Roman"/>
          <w:kern w:val="0"/>
          <w14:ligatures w14:val="none"/>
        </w:rPr>
        <w:t>: Intake Validation Process - Step-by-step state transition where a payload is received via INT-001, validated for schema adherence against NODS entities per REQ-001, and routed for ACT-002 review if data quality exception rules flag the payload.</w:t>
      </w:r>
    </w:p>
    <w:p w14:paraId="098EA6B7"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Policy</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POL-CJIS-001</w:t>
      </w:r>
      <w:r w:rsidRPr="003F10E1">
        <w:rPr>
          <w:rFonts w:ascii="Times New Roman" w:eastAsia="Times New Roman" w:hAnsi="Times New Roman" w:cs="Times New Roman"/>
          <w:kern w:val="0"/>
          <w14:ligatures w14:val="none"/>
        </w:rPr>
        <w:t xml:space="preserve">: CJIS Security Policy [Mandatory] - All data entities must be encrypted in transit and at rest. </w:t>
      </w:r>
      <w:r w:rsidRPr="003F10E1">
        <w:rPr>
          <w:rFonts w:ascii="Times New Roman" w:eastAsia="Times New Roman" w:hAnsi="Times New Roman" w:cs="Times New Roman"/>
          <w:i/>
          <w:iCs/>
          <w:kern w:val="0"/>
          <w14:ligatures w14:val="none"/>
        </w:rPr>
        <w:t>(Constrains: SRV-INTAKE-01)</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POL-NIST-001</w:t>
      </w:r>
      <w:r w:rsidRPr="003F10E1">
        <w:rPr>
          <w:rFonts w:ascii="Times New Roman" w:eastAsia="Times New Roman" w:hAnsi="Times New Roman" w:cs="Times New Roman"/>
          <w:kern w:val="0"/>
          <w14:ligatures w14:val="none"/>
        </w:rPr>
        <w:t xml:space="preserve">: NIST 800-53 Zero Trust Access [Mandatory] - All ACT-001 submissions require strict authentication utilizing </w:t>
      </w:r>
      <w:r w:rsidRPr="003F10E1">
        <w:rPr>
          <w:rFonts w:ascii="Times New Roman" w:eastAsia="Times New Roman" w:hAnsi="Times New Roman" w:cs="Times New Roman"/>
          <w:b/>
          <w:bCs/>
          <w:kern w:val="0"/>
          <w14:ligatures w14:val="none"/>
        </w:rPr>
        <w:t>OAuth with Entra ID</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i/>
          <w:iCs/>
          <w:kern w:val="0"/>
          <w14:ligatures w14:val="none"/>
        </w:rPr>
        <w:t>(Constrains: INT-001)</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POL-NCSC-001</w:t>
      </w:r>
      <w:r w:rsidRPr="003F10E1">
        <w:rPr>
          <w:rFonts w:ascii="Times New Roman" w:eastAsia="Times New Roman" w:hAnsi="Times New Roman" w:cs="Times New Roman"/>
          <w:kern w:val="0"/>
          <w14:ligatures w14:val="none"/>
        </w:rPr>
        <w:t xml:space="preserve">: NCSC Data Governance Quality [Mandatory] - The system must execute deterministic data validation rules on all incoming payloads. </w:t>
      </w:r>
      <w:r w:rsidRPr="003F10E1">
        <w:rPr>
          <w:rFonts w:ascii="Times New Roman" w:eastAsia="Times New Roman" w:hAnsi="Times New Roman" w:cs="Times New Roman"/>
          <w:i/>
          <w:iCs/>
          <w:kern w:val="0"/>
          <w14:ligatures w14:val="none"/>
        </w:rPr>
        <w:t>(Constrains: SRV-INTAKE-01)</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POL-PII-001</w:t>
      </w:r>
      <w:r w:rsidRPr="003F10E1">
        <w:rPr>
          <w:rFonts w:ascii="Times New Roman" w:eastAsia="Times New Roman" w:hAnsi="Times New Roman" w:cs="Times New Roman"/>
          <w:kern w:val="0"/>
          <w14:ligatures w14:val="none"/>
        </w:rPr>
        <w:t xml:space="preserve">: PII Data Protection [Mandatory] - PII information should not be explicitly included in any payload. If PII is found, the system must </w:t>
      </w:r>
      <w:r w:rsidRPr="003F10E1">
        <w:rPr>
          <w:rFonts w:ascii="Times New Roman" w:eastAsia="Times New Roman" w:hAnsi="Times New Roman" w:cs="Times New Roman"/>
          <w:b/>
          <w:bCs/>
          <w:kern w:val="0"/>
          <w14:ligatures w14:val="none"/>
        </w:rPr>
        <w:t>generate a notification for immediate soft deletion or removal</w:t>
      </w:r>
      <w:r w:rsidRPr="003F10E1">
        <w:rPr>
          <w:rFonts w:ascii="Times New Roman" w:eastAsia="Times New Roman" w:hAnsi="Times New Roman" w:cs="Times New Roman"/>
          <w:kern w:val="0"/>
          <w14:ligatures w14:val="none"/>
        </w:rPr>
        <w:t xml:space="preserve"> in accordance with CJIS policies. </w:t>
      </w:r>
      <w:r w:rsidRPr="003F10E1">
        <w:rPr>
          <w:rFonts w:ascii="Times New Roman" w:eastAsia="Times New Roman" w:hAnsi="Times New Roman" w:cs="Times New Roman"/>
          <w:i/>
          <w:iCs/>
          <w:kern w:val="0"/>
          <w14:ligatures w14:val="none"/>
        </w:rPr>
        <w:t>(Constrains: ENT-NODS-PARTY, SRV-INTAKE-01)</w:t>
      </w:r>
    </w:p>
    <w:p w14:paraId="409E79A5"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t>Infrastructure</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INF-001</w:t>
      </w:r>
      <w:r w:rsidRPr="003F10E1">
        <w:rPr>
          <w:rFonts w:ascii="Times New Roman" w:eastAsia="Times New Roman" w:hAnsi="Times New Roman" w:cs="Times New Roman"/>
          <w:kern w:val="0"/>
          <w14:ligatures w14:val="none"/>
        </w:rPr>
        <w:t>: Local-first, containerized .NET MACS runtime environment.</w:t>
      </w:r>
    </w:p>
    <w:p w14:paraId="1AAD8D81" w14:textId="77777777" w:rsidR="003F10E1" w:rsidRPr="003F10E1" w:rsidRDefault="003F10E1" w:rsidP="00AA6BF4">
      <w:pPr>
        <w:spacing w:after="120" w:line="240" w:lineRule="auto"/>
        <w:rPr>
          <w:rFonts w:ascii="Times New Roman" w:eastAsia="Times New Roman" w:hAnsi="Times New Roman" w:cs="Times New Roman"/>
          <w:kern w:val="0"/>
          <w14:ligatures w14:val="none"/>
        </w:rPr>
      </w:pPr>
      <w:r w:rsidRPr="003F10E1">
        <w:rPr>
          <w:rFonts w:ascii="Times New Roman" w:eastAsia="Times New Roman" w:hAnsi="Times New Roman" w:cs="Times New Roman"/>
          <w:b/>
          <w:bCs/>
          <w:kern w:val="0"/>
          <w14:ligatures w14:val="none"/>
        </w:rPr>
        <w:lastRenderedPageBreak/>
        <w:t>Validation</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VAL-001</w:t>
      </w:r>
      <w:r w:rsidRPr="003F10E1">
        <w:rPr>
          <w:rFonts w:ascii="Times New Roman" w:eastAsia="Times New Roman" w:hAnsi="Times New Roman" w:cs="Times New Roman"/>
          <w:kern w:val="0"/>
          <w14:ligatures w14:val="none"/>
        </w:rPr>
        <w:t xml:space="preserve">: NODS Schema Validation - Deterministic rule mapped to Schema Validation Plugin to verify INT-001 payloads strictly match the </w:t>
      </w:r>
      <w:proofErr w:type="spellStart"/>
      <w:r w:rsidRPr="003F10E1">
        <w:rPr>
          <w:rFonts w:ascii="Times New Roman" w:eastAsia="Times New Roman" w:hAnsi="Times New Roman" w:cs="Times New Roman"/>
          <w:kern w:val="0"/>
          <w14:ligatures w14:val="none"/>
        </w:rPr>
        <w:t>Psj_Court_Canonical</w:t>
      </w:r>
      <w:proofErr w:type="spellEnd"/>
      <w:r w:rsidRPr="003F10E1">
        <w:rPr>
          <w:rFonts w:ascii="Times New Roman" w:eastAsia="Times New Roman" w:hAnsi="Times New Roman" w:cs="Times New Roman"/>
          <w:kern w:val="0"/>
          <w14:ligatures w14:val="none"/>
        </w:rPr>
        <w:t xml:space="preserve"> structures. </w:t>
      </w:r>
      <w:r w:rsidRPr="003F10E1">
        <w:rPr>
          <w:rFonts w:ascii="Times New Roman" w:eastAsia="Times New Roman" w:hAnsi="Times New Roman" w:cs="Times New Roman"/>
          <w:i/>
          <w:iCs/>
          <w:kern w:val="0"/>
          <w14:ligatures w14:val="none"/>
        </w:rPr>
        <w:t>(Verifies: REQ-001, POL-NCSC-001)</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VAL-002</w:t>
      </w:r>
      <w:r w:rsidRPr="003F10E1">
        <w:rPr>
          <w:rFonts w:ascii="Times New Roman" w:eastAsia="Times New Roman" w:hAnsi="Times New Roman" w:cs="Times New Roman"/>
          <w:kern w:val="0"/>
          <w14:ligatures w14:val="none"/>
        </w:rPr>
        <w:t xml:space="preserve">: Encryption Verification - Deterministic rule mapped to Static Analysis Security Scanner to ensure POL-CJIS-001 compliance. </w:t>
      </w:r>
      <w:r w:rsidRPr="003F10E1">
        <w:rPr>
          <w:rFonts w:ascii="Times New Roman" w:eastAsia="Times New Roman" w:hAnsi="Times New Roman" w:cs="Times New Roman"/>
          <w:i/>
          <w:iCs/>
          <w:kern w:val="0"/>
          <w14:ligatures w14:val="none"/>
        </w:rPr>
        <w:t>(Verifies: REQ-002, POL-CJIS-001)</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VAL-003</w:t>
      </w:r>
      <w:r w:rsidRPr="003F10E1">
        <w:rPr>
          <w:rFonts w:ascii="Times New Roman" w:eastAsia="Times New Roman" w:hAnsi="Times New Roman" w:cs="Times New Roman"/>
          <w:kern w:val="0"/>
          <w14:ligatures w14:val="none"/>
        </w:rPr>
        <w:t xml:space="preserve">: Entra ID Authentication Validation - Deterministic rule mapped to Identity Provider Testing Plugin to ensure all API calls supply a valid OAuth token. </w:t>
      </w:r>
      <w:r w:rsidRPr="003F10E1">
        <w:rPr>
          <w:rFonts w:ascii="Times New Roman" w:eastAsia="Times New Roman" w:hAnsi="Times New Roman" w:cs="Times New Roman"/>
          <w:i/>
          <w:iCs/>
          <w:kern w:val="0"/>
          <w14:ligatures w14:val="none"/>
        </w:rPr>
        <w:t>(Verifies: POL-NIST-001)</w:t>
      </w:r>
      <w:r w:rsidRPr="003F10E1">
        <w:rPr>
          <w:rFonts w:ascii="Times New Roman" w:eastAsia="Times New Roman" w:hAnsi="Times New Roman" w:cs="Times New Roman"/>
          <w:kern w:val="0"/>
          <w14:ligatures w14:val="none"/>
        </w:rPr>
        <w:t xml:space="preserve"> </w:t>
      </w:r>
      <w:r w:rsidRPr="003F10E1">
        <w:rPr>
          <w:rFonts w:ascii="Times New Roman" w:eastAsia="Times New Roman" w:hAnsi="Times New Roman" w:cs="Times New Roman"/>
          <w:b/>
          <w:bCs/>
          <w:kern w:val="0"/>
          <w14:ligatures w14:val="none"/>
        </w:rPr>
        <w:t>VAL-004</w:t>
      </w:r>
      <w:r w:rsidRPr="003F10E1">
        <w:rPr>
          <w:rFonts w:ascii="Times New Roman" w:eastAsia="Times New Roman" w:hAnsi="Times New Roman" w:cs="Times New Roman"/>
          <w:kern w:val="0"/>
          <w14:ligatures w14:val="none"/>
        </w:rPr>
        <w:t xml:space="preserve">: PII Scanning &amp; Masking Validation - Deterministic rule mapped to PII Scanner Plugin to ensure flagged PII payloads trigger automated notifications and soft-deletion mechanisms. </w:t>
      </w:r>
      <w:r w:rsidRPr="003F10E1">
        <w:rPr>
          <w:rFonts w:ascii="Times New Roman" w:eastAsia="Times New Roman" w:hAnsi="Times New Roman" w:cs="Times New Roman"/>
          <w:i/>
          <w:iCs/>
          <w:kern w:val="0"/>
          <w14:ligatures w14:val="none"/>
        </w:rPr>
        <w:t>(Verifies: POL-PII-001)</w:t>
      </w:r>
    </w:p>
    <w:p w14:paraId="21071BC4" w14:textId="0CC83CF0" w:rsidR="009625D3" w:rsidRDefault="00154566" w:rsidP="00154566">
      <w:pPr>
        <w:pStyle w:val="Heading1"/>
        <w:spacing w:line="240" w:lineRule="auto"/>
      </w:pPr>
      <w:r>
        <w:t>Moving Forward</w:t>
      </w:r>
    </w:p>
    <w:p w14:paraId="58A7F79F" w14:textId="770CFBD6" w:rsidR="00335FCC" w:rsidRDefault="00154566" w:rsidP="00154566">
      <w:pPr>
        <w:spacing w:line="240" w:lineRule="auto"/>
      </w:pPr>
      <w:r>
        <w:rPr>
          <w:rStyle w:val="ng-star-inserted"/>
          <w:rFonts w:ascii="Google Sans Text" w:hAnsi="Google Sans Text"/>
          <w:color w:val="303030"/>
          <w:shd w:val="clear" w:color="auto" w:fill="FFFFFF"/>
        </w:rPr>
        <w:t xml:space="preserve">Next discussion will be around the </w:t>
      </w:r>
      <w:r>
        <w:rPr>
          <w:rFonts w:ascii="Google Sans Text" w:hAnsi="Google Sans Text"/>
          <w:b/>
          <w:bCs/>
          <w:color w:val="303030"/>
          <w:shd w:val="clear" w:color="auto" w:fill="FFFFFF"/>
        </w:rPr>
        <w:t>Execution Runtime and Orchestration Engine</w:t>
      </w:r>
      <w:r>
        <w:rPr>
          <w:rStyle w:val="ng-star-inserted"/>
          <w:rFonts w:ascii="Google Sans Text" w:hAnsi="Google Sans Text"/>
          <w:color w:val="303030"/>
          <w:shd w:val="clear" w:color="auto" w:fill="FFFFFF"/>
        </w:rPr>
        <w:t>. Now that the blueprint has cleared the Approval Gates and reached the "Autonomous-Ready" level, human intervention pauses, and the Execution Runtime takes over as the "construction foreman" of the ALETHEIA platform.</w:t>
      </w:r>
    </w:p>
    <w:p w14:paraId="4E8077B4" w14:textId="610BF465" w:rsidR="00335FCC" w:rsidRDefault="00154566" w:rsidP="00154566">
      <w:pPr>
        <w:spacing w:line="240" w:lineRule="auto"/>
      </w:pPr>
      <w:r>
        <w:t>Flow into the next discussion by reviewing the “</w:t>
      </w:r>
      <w:proofErr w:type="spellStart"/>
      <w:proofErr w:type="gramStart"/>
      <w:r>
        <w:t>discussion.im.macs</w:t>
      </w:r>
      <w:proofErr w:type="gramEnd"/>
      <w:r>
        <w:t>.execution</w:t>
      </w:r>
      <w:proofErr w:type="spellEnd"/>
      <w:r>
        <w:t>-runtime” document.</w:t>
      </w:r>
    </w:p>
    <w:p w14:paraId="489E8A59" w14:textId="77777777" w:rsidR="00DC5718" w:rsidRDefault="00DC5718" w:rsidP="00154566">
      <w:pPr>
        <w:spacing w:line="240" w:lineRule="auto"/>
      </w:pPr>
    </w:p>
    <w:p w14:paraId="2C093476" w14:textId="77777777" w:rsidR="00154566" w:rsidRDefault="00154566" w:rsidP="00154566">
      <w:pPr>
        <w:spacing w:line="240" w:lineRule="auto"/>
      </w:pPr>
    </w:p>
    <w:sectPr w:rsidR="00154566"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oogle Sans Text">
    <w:altName w:val="Cambria"/>
    <w:panose1 w:val="020B0604020202020204"/>
    <w:charset w:val="00"/>
    <w:family w:val="roman"/>
    <w:pitch w:val="default"/>
  </w:font>
  <w:font w:name="Google Sans Cod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73E3"/>
    <w:multiLevelType w:val="multilevel"/>
    <w:tmpl w:val="4F54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33289"/>
    <w:multiLevelType w:val="multilevel"/>
    <w:tmpl w:val="E98E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12CF2"/>
    <w:multiLevelType w:val="multilevel"/>
    <w:tmpl w:val="F610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85248"/>
    <w:multiLevelType w:val="multilevel"/>
    <w:tmpl w:val="A8A2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30E95"/>
    <w:multiLevelType w:val="multilevel"/>
    <w:tmpl w:val="581A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567CA"/>
    <w:multiLevelType w:val="multilevel"/>
    <w:tmpl w:val="FF9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830E6"/>
    <w:multiLevelType w:val="hybridMultilevel"/>
    <w:tmpl w:val="32BEF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D24FB1"/>
    <w:multiLevelType w:val="multilevel"/>
    <w:tmpl w:val="FF14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07B3B"/>
    <w:multiLevelType w:val="multilevel"/>
    <w:tmpl w:val="A274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E5041"/>
    <w:multiLevelType w:val="hybridMultilevel"/>
    <w:tmpl w:val="2356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AE5ED1"/>
    <w:multiLevelType w:val="multilevel"/>
    <w:tmpl w:val="92C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430F7"/>
    <w:multiLevelType w:val="multilevel"/>
    <w:tmpl w:val="7280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D3AB9"/>
    <w:multiLevelType w:val="multilevel"/>
    <w:tmpl w:val="129A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17179"/>
    <w:multiLevelType w:val="multilevel"/>
    <w:tmpl w:val="017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17BD2"/>
    <w:multiLevelType w:val="multilevel"/>
    <w:tmpl w:val="F7C8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12F7A"/>
    <w:multiLevelType w:val="multilevel"/>
    <w:tmpl w:val="1B3C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D6349"/>
    <w:multiLevelType w:val="multilevel"/>
    <w:tmpl w:val="65B4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9628F"/>
    <w:multiLevelType w:val="multilevel"/>
    <w:tmpl w:val="A1C8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6204B3"/>
    <w:multiLevelType w:val="multilevel"/>
    <w:tmpl w:val="1270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611B8F"/>
    <w:multiLevelType w:val="multilevel"/>
    <w:tmpl w:val="FEB4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720009"/>
    <w:multiLevelType w:val="multilevel"/>
    <w:tmpl w:val="0E66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565264">
    <w:abstractNumId w:val="1"/>
  </w:num>
  <w:num w:numId="2" w16cid:durableId="63839014">
    <w:abstractNumId w:val="7"/>
  </w:num>
  <w:num w:numId="3" w16cid:durableId="1807427887">
    <w:abstractNumId w:val="15"/>
  </w:num>
  <w:num w:numId="4" w16cid:durableId="572084858">
    <w:abstractNumId w:val="10"/>
  </w:num>
  <w:num w:numId="5" w16cid:durableId="2025594322">
    <w:abstractNumId w:val="18"/>
  </w:num>
  <w:num w:numId="6" w16cid:durableId="1809975927">
    <w:abstractNumId w:val="11"/>
  </w:num>
  <w:num w:numId="7" w16cid:durableId="854346963">
    <w:abstractNumId w:val="16"/>
  </w:num>
  <w:num w:numId="8" w16cid:durableId="1915964569">
    <w:abstractNumId w:val="0"/>
  </w:num>
  <w:num w:numId="9" w16cid:durableId="928200032">
    <w:abstractNumId w:val="14"/>
  </w:num>
  <w:num w:numId="10" w16cid:durableId="1428185929">
    <w:abstractNumId w:val="19"/>
  </w:num>
  <w:num w:numId="11" w16cid:durableId="2082482935">
    <w:abstractNumId w:val="12"/>
  </w:num>
  <w:num w:numId="12" w16cid:durableId="1159148358">
    <w:abstractNumId w:val="20"/>
  </w:num>
  <w:num w:numId="13" w16cid:durableId="280654006">
    <w:abstractNumId w:val="13"/>
  </w:num>
  <w:num w:numId="14" w16cid:durableId="1048262256">
    <w:abstractNumId w:val="4"/>
  </w:num>
  <w:num w:numId="15" w16cid:durableId="1244024613">
    <w:abstractNumId w:val="2"/>
  </w:num>
  <w:num w:numId="16" w16cid:durableId="330372377">
    <w:abstractNumId w:val="3"/>
  </w:num>
  <w:num w:numId="17" w16cid:durableId="466632832">
    <w:abstractNumId w:val="5"/>
  </w:num>
  <w:num w:numId="18" w16cid:durableId="1168598189">
    <w:abstractNumId w:val="17"/>
  </w:num>
  <w:num w:numId="19" w16cid:durableId="1604529814">
    <w:abstractNumId w:val="8"/>
  </w:num>
  <w:num w:numId="20" w16cid:durableId="1227569563">
    <w:abstractNumId w:val="9"/>
  </w:num>
  <w:num w:numId="21" w16cid:durableId="18681059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CC"/>
    <w:rsid w:val="0000314E"/>
    <w:rsid w:val="000B7DCE"/>
    <w:rsid w:val="00154566"/>
    <w:rsid w:val="001A2DC5"/>
    <w:rsid w:val="001C74CD"/>
    <w:rsid w:val="00223A5B"/>
    <w:rsid w:val="002E7B10"/>
    <w:rsid w:val="00335FCC"/>
    <w:rsid w:val="00374585"/>
    <w:rsid w:val="003F10E1"/>
    <w:rsid w:val="004D1DB7"/>
    <w:rsid w:val="004D5F55"/>
    <w:rsid w:val="005D530A"/>
    <w:rsid w:val="005F05A9"/>
    <w:rsid w:val="005F714F"/>
    <w:rsid w:val="006520A0"/>
    <w:rsid w:val="00663D47"/>
    <w:rsid w:val="006A7C31"/>
    <w:rsid w:val="006F4208"/>
    <w:rsid w:val="007E6E34"/>
    <w:rsid w:val="00804328"/>
    <w:rsid w:val="008B3547"/>
    <w:rsid w:val="008C0ACD"/>
    <w:rsid w:val="008E1720"/>
    <w:rsid w:val="009625D3"/>
    <w:rsid w:val="00984106"/>
    <w:rsid w:val="00997A3E"/>
    <w:rsid w:val="00A0755F"/>
    <w:rsid w:val="00AA6BF4"/>
    <w:rsid w:val="00BE62EA"/>
    <w:rsid w:val="00C2250B"/>
    <w:rsid w:val="00CA38A3"/>
    <w:rsid w:val="00D67784"/>
    <w:rsid w:val="00DC5718"/>
    <w:rsid w:val="00E77B10"/>
    <w:rsid w:val="00FC6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B9ED1"/>
  <w15:chartTrackingRefBased/>
  <w15:docId w15:val="{F99FDDDB-7915-FC4E-B3B8-AA3CE59B8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5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5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5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5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5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5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FCC"/>
    <w:rPr>
      <w:rFonts w:eastAsiaTheme="majorEastAsia" w:cstheme="majorBidi"/>
      <w:color w:val="272727" w:themeColor="text1" w:themeTint="D8"/>
    </w:rPr>
  </w:style>
  <w:style w:type="paragraph" w:styleId="Title">
    <w:name w:val="Title"/>
    <w:basedOn w:val="Normal"/>
    <w:next w:val="Normal"/>
    <w:link w:val="TitleChar"/>
    <w:uiPriority w:val="10"/>
    <w:qFormat/>
    <w:rsid w:val="00335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FCC"/>
    <w:pPr>
      <w:spacing w:before="160"/>
      <w:jc w:val="center"/>
    </w:pPr>
    <w:rPr>
      <w:i/>
      <w:iCs/>
      <w:color w:val="404040" w:themeColor="text1" w:themeTint="BF"/>
    </w:rPr>
  </w:style>
  <w:style w:type="character" w:customStyle="1" w:styleId="QuoteChar">
    <w:name w:val="Quote Char"/>
    <w:basedOn w:val="DefaultParagraphFont"/>
    <w:link w:val="Quote"/>
    <w:uiPriority w:val="29"/>
    <w:rsid w:val="00335FCC"/>
    <w:rPr>
      <w:i/>
      <w:iCs/>
      <w:color w:val="404040" w:themeColor="text1" w:themeTint="BF"/>
    </w:rPr>
  </w:style>
  <w:style w:type="paragraph" w:styleId="ListParagraph">
    <w:name w:val="List Paragraph"/>
    <w:basedOn w:val="Normal"/>
    <w:uiPriority w:val="34"/>
    <w:qFormat/>
    <w:rsid w:val="00335FCC"/>
    <w:pPr>
      <w:ind w:left="720"/>
      <w:contextualSpacing/>
    </w:pPr>
  </w:style>
  <w:style w:type="character" w:styleId="IntenseEmphasis">
    <w:name w:val="Intense Emphasis"/>
    <w:basedOn w:val="DefaultParagraphFont"/>
    <w:uiPriority w:val="21"/>
    <w:qFormat/>
    <w:rsid w:val="00335FCC"/>
    <w:rPr>
      <w:i/>
      <w:iCs/>
      <w:color w:val="0F4761" w:themeColor="accent1" w:themeShade="BF"/>
    </w:rPr>
  </w:style>
  <w:style w:type="paragraph" w:styleId="IntenseQuote">
    <w:name w:val="Intense Quote"/>
    <w:basedOn w:val="Normal"/>
    <w:next w:val="Normal"/>
    <w:link w:val="IntenseQuoteChar"/>
    <w:uiPriority w:val="30"/>
    <w:qFormat/>
    <w:rsid w:val="00335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FCC"/>
    <w:rPr>
      <w:i/>
      <w:iCs/>
      <w:color w:val="0F4761" w:themeColor="accent1" w:themeShade="BF"/>
    </w:rPr>
  </w:style>
  <w:style w:type="character" w:styleId="IntenseReference">
    <w:name w:val="Intense Reference"/>
    <w:basedOn w:val="DefaultParagraphFont"/>
    <w:uiPriority w:val="32"/>
    <w:qFormat/>
    <w:rsid w:val="00335FCC"/>
    <w:rPr>
      <w:b/>
      <w:bCs/>
      <w:smallCaps/>
      <w:color w:val="0F4761" w:themeColor="accent1" w:themeShade="BF"/>
      <w:spacing w:val="5"/>
    </w:rPr>
  </w:style>
  <w:style w:type="paragraph" w:styleId="NormalWeb">
    <w:name w:val="Normal (Web)"/>
    <w:basedOn w:val="Normal"/>
    <w:uiPriority w:val="99"/>
    <w:semiHidden/>
    <w:unhideWhenUsed/>
    <w:rsid w:val="00335F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5FCC"/>
    <w:rPr>
      <w:b/>
      <w:bCs/>
    </w:rPr>
  </w:style>
  <w:style w:type="character" w:styleId="HTMLCode">
    <w:name w:val="HTML Code"/>
    <w:basedOn w:val="DefaultParagraphFont"/>
    <w:uiPriority w:val="99"/>
    <w:semiHidden/>
    <w:unhideWhenUsed/>
    <w:rsid w:val="00335FCC"/>
    <w:rPr>
      <w:rFonts w:ascii="Courier New" w:eastAsia="Times New Roman" w:hAnsi="Courier New" w:cs="Courier New"/>
      <w:sz w:val="20"/>
      <w:szCs w:val="20"/>
    </w:rPr>
  </w:style>
  <w:style w:type="character" w:styleId="Emphasis">
    <w:name w:val="Emphasis"/>
    <w:basedOn w:val="DefaultParagraphFont"/>
    <w:uiPriority w:val="20"/>
    <w:qFormat/>
    <w:rsid w:val="009625D3"/>
    <w:rPr>
      <w:i/>
      <w:iCs/>
    </w:rPr>
  </w:style>
  <w:style w:type="character" w:customStyle="1" w:styleId="ng-star-inserted">
    <w:name w:val="ng-star-inserted"/>
    <w:basedOn w:val="DefaultParagraphFont"/>
    <w:rsid w:val="003F10E1"/>
  </w:style>
  <w:style w:type="paragraph" w:customStyle="1" w:styleId="paragraph">
    <w:name w:val="paragraph"/>
    <w:basedOn w:val="Normal"/>
    <w:rsid w:val="003F10E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mber-view">
    <w:name w:val="ember-view"/>
    <w:basedOn w:val="Normal"/>
    <w:rsid w:val="004D1D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D1DB7"/>
    <w:rPr>
      <w:color w:val="0000FF"/>
      <w:u w:val="single"/>
    </w:rPr>
  </w:style>
  <w:style w:type="character" w:customStyle="1" w:styleId="white-space-pre">
    <w:name w:val="white-space-pre"/>
    <w:basedOn w:val="DefaultParagraphFont"/>
    <w:rsid w:val="004D1DB7"/>
  </w:style>
  <w:style w:type="paragraph" w:styleId="Date">
    <w:name w:val="Date"/>
    <w:basedOn w:val="Normal"/>
    <w:next w:val="Normal"/>
    <w:link w:val="DateChar"/>
    <w:uiPriority w:val="99"/>
    <w:semiHidden/>
    <w:unhideWhenUsed/>
    <w:rsid w:val="00663D47"/>
  </w:style>
  <w:style w:type="character" w:customStyle="1" w:styleId="DateChar">
    <w:name w:val="Date Char"/>
    <w:basedOn w:val="DefaultParagraphFont"/>
    <w:link w:val="Date"/>
    <w:uiPriority w:val="99"/>
    <w:semiHidden/>
    <w:rsid w:val="00663D47"/>
  </w:style>
  <w:style w:type="table" w:styleId="TableGrid">
    <w:name w:val="Table Grid"/>
    <w:basedOn w:val="TableNormal"/>
    <w:uiPriority w:val="39"/>
    <w:rsid w:val="008E1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E17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7E6E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ci-repos/Imhotep.Specifications%E2%80%9D" TargetMode="External"/><Relationship Id="rId5" Type="http://schemas.openxmlformats.org/officeDocument/2006/relationships/hyperlink" Target="http://discussion.i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9</Pages>
  <Words>3617</Words>
  <Characters>20619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18</cp:revision>
  <dcterms:created xsi:type="dcterms:W3CDTF">2026-03-25T20:37:00Z</dcterms:created>
  <dcterms:modified xsi:type="dcterms:W3CDTF">2026-03-29T12:31:00Z</dcterms:modified>
</cp:coreProperties>
</file>