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3E5C" w14:textId="3F0F422B" w:rsidR="006A7C31" w:rsidRPr="00B000CA" w:rsidRDefault="00B000CA" w:rsidP="00B000CA">
      <w:pPr>
        <w:pStyle w:val="Title"/>
        <w:rPr>
          <w:sz w:val="44"/>
          <w:szCs w:val="44"/>
        </w:rPr>
      </w:pPr>
      <w:r w:rsidRPr="00B000CA">
        <w:rPr>
          <w:sz w:val="44"/>
          <w:szCs w:val="44"/>
        </w:rPr>
        <w:t>ALETHEIA – The Workshop</w:t>
      </w:r>
    </w:p>
    <w:p w14:paraId="73B55339" w14:textId="3C2D8029" w:rsidR="00B000CA" w:rsidRDefault="00B000CA">
      <w:r>
        <w:t>2026-04-</w:t>
      </w:r>
      <w:r w:rsidR="00AF1333">
        <w:t>0</w:t>
      </w:r>
      <w:r>
        <w:t>4</w:t>
      </w:r>
    </w:p>
    <w:p w14:paraId="790828C1" w14:textId="35A27495" w:rsidR="0042792F" w:rsidRDefault="0042792F">
      <w:r>
        <w:t>Find this and other discussions – code repositories in GITHUB at:</w:t>
      </w:r>
    </w:p>
    <w:p w14:paraId="473FA8B2" w14:textId="6C621C6D" w:rsidR="0042792F" w:rsidRDefault="0042792F" w:rsidP="0042792F">
      <w:pPr>
        <w:pStyle w:val="ListParagraph"/>
        <w:numPr>
          <w:ilvl w:val="0"/>
          <w:numId w:val="18"/>
        </w:numPr>
        <w:spacing w:after="0"/>
        <w:ind w:left="450" w:hanging="270"/>
      </w:pPr>
      <w:r>
        <w:t xml:space="preserve">ALETHEIA Specifications - </w:t>
      </w:r>
      <w:hyperlink r:id="rId5" w:history="1">
        <w:r w:rsidRPr="00137F52">
          <w:rPr>
            <w:rStyle w:val="Hyperlink"/>
          </w:rPr>
          <w:t>https://github.com/eci-repos/Aletheia.Specifications</w:t>
        </w:r>
      </w:hyperlink>
    </w:p>
    <w:p w14:paraId="18AC966E" w14:textId="64EB73FD" w:rsidR="0042792F" w:rsidRDefault="0042792F" w:rsidP="0042792F">
      <w:pPr>
        <w:pStyle w:val="ListParagraph"/>
        <w:numPr>
          <w:ilvl w:val="0"/>
          <w:numId w:val="18"/>
        </w:numPr>
        <w:ind w:left="450" w:hanging="270"/>
      </w:pPr>
      <w:r>
        <w:t xml:space="preserve">ALETHEIA Engine - </w:t>
      </w:r>
      <w:hyperlink r:id="rId6" w:history="1">
        <w:r w:rsidRPr="00137F52">
          <w:rPr>
            <w:rStyle w:val="Hyperlink"/>
          </w:rPr>
          <w:t>https://github.com/eci-repos/Aletheia.Engine</w:t>
        </w:r>
      </w:hyperlink>
      <w:r>
        <w:t xml:space="preserve"> </w:t>
      </w:r>
    </w:p>
    <w:p w14:paraId="49149A8A" w14:textId="7B8AFE3A" w:rsidR="0042792F" w:rsidRDefault="0042792F">
      <w:r>
        <w:t>Find “</w:t>
      </w:r>
      <w:proofErr w:type="spellStart"/>
      <w:r>
        <w:t>eci</w:t>
      </w:r>
      <w:proofErr w:type="spellEnd"/>
      <w:r>
        <w:t>-repos” in GITHUB for other efforts.</w:t>
      </w:r>
    </w:p>
    <w:p w14:paraId="3E4B24FA" w14:textId="594E0D72" w:rsidR="00642EB3" w:rsidRPr="00642EB3" w:rsidRDefault="00642EB3" w:rsidP="00931F62">
      <w:pPr>
        <w:pStyle w:val="Heading1"/>
      </w:pPr>
      <w:r w:rsidRPr="00642EB3">
        <w:t>Equipping the Autonomous Engineering Workshop</w:t>
      </w:r>
    </w:p>
    <w:p w14:paraId="63D65645" w14:textId="77777777" w:rsidR="00642EB3" w:rsidRPr="00642EB3" w:rsidRDefault="00642EB3" w:rsidP="00642EB3">
      <w:pPr>
        <w:spacing w:before="120" w:after="12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 xml:space="preserve">The ALETHEIA platform fundamentally shifts software development from manual coding to an orchestrated construction project. However, while the AI reasoning agents act as the capable "workforce," they rely entirely on a fully equipped, pre-configured "engineering workshop" to deterministically assemble and verify their work. </w:t>
      </w:r>
      <w:r w:rsidRPr="00642EB3">
        <w:rPr>
          <w:rFonts w:ascii="Times New Roman" w:eastAsia="Times New Roman" w:hAnsi="Times New Roman" w:cs="Times New Roman"/>
          <w:b/>
          <w:bCs/>
          <w:kern w:val="0"/>
          <w14:ligatures w14:val="none"/>
        </w:rPr>
        <w:t>The platform cannot build this workshop; it can only use it</w:t>
      </w:r>
      <w:r w:rsidRPr="00642EB3">
        <w:rPr>
          <w:rFonts w:ascii="Times New Roman" w:eastAsia="Times New Roman" w:hAnsi="Times New Roman" w:cs="Times New Roman"/>
          <w:kern w:val="0"/>
          <w14:ligatures w14:val="none"/>
        </w:rPr>
        <w:t>.</w:t>
      </w:r>
    </w:p>
    <w:p w14:paraId="30B891E6" w14:textId="77777777" w:rsidR="00642EB3" w:rsidRPr="00642EB3" w:rsidRDefault="00642EB3" w:rsidP="00642EB3">
      <w:pPr>
        <w:spacing w:before="120" w:after="12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This guide outlines the critical prerequisites and operational workflows required to establish this workshop for the Minimal Autonomous Construction System (MACS) Proof-of-Concept. The following seven sections provide a complete, end-to-end operational roadmap, covering:</w:t>
      </w:r>
    </w:p>
    <w:p w14:paraId="33C1EF8F"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The exact external infrastructure, IAM, and tool configurations human engineers must prepare before execution (</w:t>
      </w:r>
      <w:r w:rsidRPr="00642EB3">
        <w:rPr>
          <w:rFonts w:ascii="Times New Roman" w:eastAsia="Times New Roman" w:hAnsi="Times New Roman" w:cs="Times New Roman"/>
          <w:b/>
          <w:bCs/>
          <w:kern w:val="0"/>
          <w14:ligatures w14:val="none"/>
        </w:rPr>
        <w:t>The Pre-Flight Checklist</w:t>
      </w:r>
      <w:r w:rsidRPr="00642EB3">
        <w:rPr>
          <w:rFonts w:ascii="Times New Roman" w:eastAsia="Times New Roman" w:hAnsi="Times New Roman" w:cs="Times New Roman"/>
          <w:kern w:val="0"/>
          <w14:ligatures w14:val="none"/>
        </w:rPr>
        <w:t>).</w:t>
      </w:r>
    </w:p>
    <w:p w14:paraId="321013F9"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How the platform formally communicates with these external tools (</w:t>
      </w:r>
      <w:r w:rsidRPr="00642EB3">
        <w:rPr>
          <w:rFonts w:ascii="Times New Roman" w:eastAsia="Times New Roman" w:hAnsi="Times New Roman" w:cs="Times New Roman"/>
          <w:b/>
          <w:bCs/>
          <w:kern w:val="0"/>
          <w14:ligatures w14:val="none"/>
        </w:rPr>
        <w:t>Adapter Patterns</w:t>
      </w:r>
      <w:r w:rsidRPr="00642EB3">
        <w:rPr>
          <w:rFonts w:ascii="Times New Roman" w:eastAsia="Times New Roman" w:hAnsi="Times New Roman" w:cs="Times New Roman"/>
          <w:kern w:val="0"/>
          <w14:ligatures w14:val="none"/>
        </w:rPr>
        <w:t>) to continuously diagnose and fix its own code (</w:t>
      </w:r>
      <w:r w:rsidRPr="00642EB3">
        <w:rPr>
          <w:rFonts w:ascii="Times New Roman" w:eastAsia="Times New Roman" w:hAnsi="Times New Roman" w:cs="Times New Roman"/>
          <w:b/>
          <w:bCs/>
          <w:kern w:val="0"/>
          <w14:ligatures w14:val="none"/>
        </w:rPr>
        <w:t>Automated Feedback Loop</w:t>
      </w:r>
      <w:r w:rsidRPr="00642EB3">
        <w:rPr>
          <w:rFonts w:ascii="Times New Roman" w:eastAsia="Times New Roman" w:hAnsi="Times New Roman" w:cs="Times New Roman"/>
          <w:kern w:val="0"/>
          <w14:ligatures w14:val="none"/>
        </w:rPr>
        <w:t>).</w:t>
      </w:r>
    </w:p>
    <w:p w14:paraId="2DDAF4D3"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The strict, formal protocols triggered when the machine cannot resolve a structural conflict and requires human intervention (</w:t>
      </w:r>
      <w:r w:rsidRPr="00642EB3">
        <w:rPr>
          <w:rFonts w:ascii="Times New Roman" w:eastAsia="Times New Roman" w:hAnsi="Times New Roman" w:cs="Times New Roman"/>
          <w:b/>
          <w:bCs/>
          <w:kern w:val="0"/>
          <w14:ligatures w14:val="none"/>
        </w:rPr>
        <w:t>The Escalation Pathway</w:t>
      </w:r>
      <w:r w:rsidRPr="00642EB3">
        <w:rPr>
          <w:rFonts w:ascii="Times New Roman" w:eastAsia="Times New Roman" w:hAnsi="Times New Roman" w:cs="Times New Roman"/>
          <w:kern w:val="0"/>
          <w14:ligatures w14:val="none"/>
        </w:rPr>
        <w:t>).</w:t>
      </w:r>
    </w:p>
    <w:p w14:paraId="43EF136D"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proofErr w:type="gramStart"/>
      <w:r w:rsidRPr="00642EB3">
        <w:rPr>
          <w:rFonts w:ascii="Times New Roman" w:eastAsia="Times New Roman" w:hAnsi="Times New Roman" w:cs="Times New Roman"/>
          <w:kern w:val="0"/>
          <w14:ligatures w14:val="none"/>
        </w:rPr>
        <w:t>How</w:t>
      </w:r>
      <w:proofErr w:type="gramEnd"/>
      <w:r w:rsidRPr="00642EB3">
        <w:rPr>
          <w:rFonts w:ascii="Times New Roman" w:eastAsia="Times New Roman" w:hAnsi="Times New Roman" w:cs="Times New Roman"/>
          <w:kern w:val="0"/>
          <w14:ligatures w14:val="none"/>
        </w:rPr>
        <w:t xml:space="preserve"> Human Governance Roles actively supervise the telemetry of the autonomous build (</w:t>
      </w:r>
      <w:r w:rsidRPr="00642EB3">
        <w:rPr>
          <w:rFonts w:ascii="Times New Roman" w:eastAsia="Times New Roman" w:hAnsi="Times New Roman" w:cs="Times New Roman"/>
          <w:b/>
          <w:bCs/>
          <w:kern w:val="0"/>
          <w14:ligatures w14:val="none"/>
        </w:rPr>
        <w:t>The "Watchtower" Dashboard</w:t>
      </w:r>
      <w:r w:rsidRPr="00642EB3">
        <w:rPr>
          <w:rFonts w:ascii="Times New Roman" w:eastAsia="Times New Roman" w:hAnsi="Times New Roman" w:cs="Times New Roman"/>
          <w:kern w:val="0"/>
          <w14:ligatures w14:val="none"/>
        </w:rPr>
        <w:t>).</w:t>
      </w:r>
    </w:p>
    <w:p w14:paraId="45C90F18" w14:textId="77777777" w:rsidR="00642EB3" w:rsidRPr="00642EB3" w:rsidRDefault="00642EB3" w:rsidP="00642EB3">
      <w:pPr>
        <w:numPr>
          <w:ilvl w:val="0"/>
          <w:numId w:val="17"/>
        </w:numPr>
        <w:spacing w:after="0" w:line="240" w:lineRule="auto"/>
        <w:rPr>
          <w:rFonts w:ascii="Times New Roman" w:eastAsia="Times New Roman" w:hAnsi="Times New Roman" w:cs="Times New Roman"/>
          <w:kern w:val="0"/>
          <w14:ligatures w14:val="none"/>
        </w:rPr>
      </w:pPr>
      <w:r w:rsidRPr="00642EB3">
        <w:rPr>
          <w:rFonts w:ascii="Times New Roman" w:eastAsia="Times New Roman" w:hAnsi="Times New Roman" w:cs="Times New Roman"/>
          <w:kern w:val="0"/>
          <w14:ligatures w14:val="none"/>
        </w:rPr>
        <w:t>The final integration and packaging of the verified system for operational use (</w:t>
      </w:r>
      <w:r w:rsidRPr="00642EB3">
        <w:rPr>
          <w:rFonts w:ascii="Times New Roman" w:eastAsia="Times New Roman" w:hAnsi="Times New Roman" w:cs="Times New Roman"/>
          <w:b/>
          <w:bCs/>
          <w:kern w:val="0"/>
          <w14:ligatures w14:val="none"/>
        </w:rPr>
        <w:t>Deployment Readiness</w:t>
      </w:r>
      <w:r w:rsidRPr="00642EB3">
        <w:rPr>
          <w:rFonts w:ascii="Times New Roman" w:eastAsia="Times New Roman" w:hAnsi="Times New Roman" w:cs="Times New Roman"/>
          <w:kern w:val="0"/>
          <w14:ligatures w14:val="none"/>
        </w:rPr>
        <w:t>).</w:t>
      </w:r>
    </w:p>
    <w:p w14:paraId="07ABD451" w14:textId="7EFEBB75" w:rsidR="00931F62" w:rsidRPr="00931F62" w:rsidRDefault="00931F62" w:rsidP="00931F62">
      <w:pPr>
        <w:pStyle w:val="Heading1"/>
      </w:pPr>
      <w:r w:rsidRPr="00931F62">
        <w:t>The Engineering Workshop Areas</w:t>
      </w:r>
    </w:p>
    <w:p w14:paraId="30EF6ED8" w14:textId="253F47A2" w:rsidR="00642EB3" w:rsidRPr="00931F62" w:rsidRDefault="00931F62" w:rsidP="00931F62">
      <w:pPr>
        <w:spacing w:after="120"/>
      </w:pPr>
      <w:r w:rsidRPr="00931F62">
        <w:t>The following sections detail each critical area of the engineering workshop:</w:t>
      </w:r>
    </w:p>
    <w:p w14:paraId="79C30495" w14:textId="2E208733" w:rsidR="00AD6CB9" w:rsidRPr="00AD6CB9" w:rsidRDefault="00AD6CB9" w:rsidP="0069348D">
      <w:pPr>
        <w:pStyle w:val="Heading2"/>
      </w:pPr>
      <w:r w:rsidRPr="00AD6CB9">
        <w:t>1. Configuring the Workshop: The Metaphor</w:t>
      </w:r>
    </w:p>
    <w:p w14:paraId="4993C76F"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External environmental configurations and tool dependencies are the most critical points of failure for the autonomous construction pipeline. Within the ALETHEIA architectural metaphor, the AI reasoning agents act as the "workforce," but the deterministic tools and infrastructure act as the "engineering workshop". </w:t>
      </w:r>
      <w:r w:rsidRPr="00AD6CB9">
        <w:rPr>
          <w:rFonts w:ascii="Times New Roman" w:eastAsia="Times New Roman" w:hAnsi="Times New Roman" w:cs="Times New Roman"/>
          <w:b/>
          <w:bCs/>
          <w:kern w:val="0"/>
          <w14:ligatures w14:val="none"/>
        </w:rPr>
        <w:t>The platform cannot build the workshop; it can only use it</w:t>
      </w:r>
      <w:r w:rsidRPr="00AD6CB9">
        <w:rPr>
          <w:rFonts w:ascii="Times New Roman" w:eastAsia="Times New Roman" w:hAnsi="Times New Roman" w:cs="Times New Roman"/>
          <w:kern w:val="0"/>
          <w14:ligatures w14:val="none"/>
        </w:rPr>
        <w:t>. If the external workshop is not properly configured by human engineers beforehand, the Execution Runtime will instantly halt and block the autonomous repair cycle rather than writing code.</w:t>
      </w:r>
    </w:p>
    <w:p w14:paraId="4556B82D" w14:textId="77777777" w:rsidR="00AD6CB9" w:rsidRPr="00AD6CB9" w:rsidRDefault="00AD6CB9" w:rsidP="0069348D">
      <w:pPr>
        <w:pStyle w:val="Heading2"/>
      </w:pPr>
      <w:r w:rsidRPr="00AD6CB9">
        <w:lastRenderedPageBreak/>
        <w:t>2. The Consolidated Pre-Flight Infrastructure Checklist</w:t>
      </w:r>
    </w:p>
    <w:p w14:paraId="2AE481CC"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Before initiating the autonomous build, human engineers must prepare the following configurations to ensure the runtime can execute and deterministically validate the MACS Proof-of-Concept:</w:t>
      </w:r>
    </w:p>
    <w:p w14:paraId="1B5434B8" w14:textId="77777777" w:rsidR="00AD6CB9" w:rsidRP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Identity and Access Management (IAM) Configurations:</w:t>
      </w:r>
      <w:r w:rsidRPr="00AD6CB9">
        <w:rPr>
          <w:rFonts w:ascii="Times New Roman" w:eastAsia="Times New Roman" w:hAnsi="Times New Roman" w:cs="Times New Roman"/>
          <w:kern w:val="0"/>
          <w14:ligatures w14:val="none"/>
        </w:rPr>
        <w:t xml:space="preserve"> The external identity environments must be manually established to support the platform's NIST 800-53 Zero Trust Access policy (</w:t>
      </w:r>
      <w:r w:rsidRPr="00AD6CB9">
        <w:rPr>
          <w:rFonts w:ascii="Courier New" w:eastAsia="Times New Roman" w:hAnsi="Courier New" w:cs="Courier New"/>
          <w:kern w:val="0"/>
          <w:sz w:val="20"/>
          <w:szCs w:val="20"/>
          <w14:ligatures w14:val="none"/>
        </w:rPr>
        <w:t>POL-NIST-001</w:t>
      </w:r>
      <w:r w:rsidRPr="00AD6CB9">
        <w:rPr>
          <w:rFonts w:ascii="Times New Roman" w:eastAsia="Times New Roman" w:hAnsi="Times New Roman" w:cs="Times New Roman"/>
          <w:kern w:val="0"/>
          <w14:ligatures w14:val="none"/>
        </w:rPr>
        <w:t xml:space="preserve">). Engineers must configure </w:t>
      </w:r>
      <w:r w:rsidRPr="00AD6CB9">
        <w:rPr>
          <w:rFonts w:ascii="Times New Roman" w:eastAsia="Times New Roman" w:hAnsi="Times New Roman" w:cs="Times New Roman"/>
          <w:b/>
          <w:bCs/>
          <w:kern w:val="0"/>
          <w14:ligatures w14:val="none"/>
        </w:rPr>
        <w:t>OAuth with Entra ID</w:t>
      </w:r>
      <w:r w:rsidRPr="00AD6CB9">
        <w:rPr>
          <w:rFonts w:ascii="Times New Roman" w:eastAsia="Times New Roman" w:hAnsi="Times New Roman" w:cs="Times New Roman"/>
          <w:kern w:val="0"/>
          <w14:ligatures w14:val="none"/>
        </w:rPr>
        <w:t>, including the external tenant, app registrations, and test user roles. Without this, the deterministic Identity Provider Testing Plugin (</w:t>
      </w:r>
      <w:r w:rsidRPr="00AD6CB9">
        <w:rPr>
          <w:rFonts w:ascii="Courier New" w:eastAsia="Times New Roman" w:hAnsi="Courier New" w:cs="Courier New"/>
          <w:kern w:val="0"/>
          <w:sz w:val="20"/>
          <w:szCs w:val="20"/>
          <w14:ligatures w14:val="none"/>
        </w:rPr>
        <w:t>VAL-003</w:t>
      </w:r>
      <w:r w:rsidRPr="00AD6CB9">
        <w:rPr>
          <w:rFonts w:ascii="Times New Roman" w:eastAsia="Times New Roman" w:hAnsi="Times New Roman" w:cs="Times New Roman"/>
          <w:kern w:val="0"/>
          <w14:ligatures w14:val="none"/>
        </w:rPr>
        <w:t>) will permanently fail to authenticate the Case Submission API (</w:t>
      </w:r>
      <w:r w:rsidRPr="00AD6CB9">
        <w:rPr>
          <w:rFonts w:ascii="Courier New" w:eastAsia="Times New Roman" w:hAnsi="Courier New" w:cs="Courier New"/>
          <w:kern w:val="0"/>
          <w:sz w:val="20"/>
          <w:szCs w:val="20"/>
          <w14:ligatures w14:val="none"/>
        </w:rPr>
        <w:t>INT-001</w:t>
      </w:r>
      <w:r w:rsidRPr="00AD6CB9">
        <w:rPr>
          <w:rFonts w:ascii="Times New Roman" w:eastAsia="Times New Roman" w:hAnsi="Times New Roman" w:cs="Times New Roman"/>
          <w:kern w:val="0"/>
          <w14:ligatures w14:val="none"/>
        </w:rPr>
        <w:t>).</w:t>
      </w:r>
    </w:p>
    <w:p w14:paraId="087746DF" w14:textId="77777777" w:rsidR="00AD6CB9" w:rsidRP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Tool Plugin Integration and Registration:</w:t>
      </w:r>
      <w:r w:rsidRPr="00AD6CB9">
        <w:rPr>
          <w:rFonts w:ascii="Times New Roman" w:eastAsia="Times New Roman" w:hAnsi="Times New Roman" w:cs="Times New Roman"/>
          <w:kern w:val="0"/>
          <w14:ligatures w14:val="none"/>
        </w:rPr>
        <w:t xml:space="preserve"> The platform does not natively compile or scan code; it relies on a Tool Abstraction Layer that uses plugins acting as adapters to translate runtime requests into external tool commands. Engineers must install, register, and configure the invocation interfaces (environment paths, execution options) for four core MACS plugins: </w:t>
      </w:r>
    </w:p>
    <w:p w14:paraId="62E68C30" w14:textId="77777777" w:rsidR="00AD6CB9" w:rsidRPr="00AD6CB9" w:rsidRDefault="00AD6CB9" w:rsidP="00642EB3">
      <w:pPr>
        <w:numPr>
          <w:ilvl w:val="1"/>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Schema Validation Plugin (</w:t>
      </w:r>
      <w:r w:rsidRPr="00AD6CB9">
        <w:rPr>
          <w:rFonts w:ascii="Courier New" w:eastAsia="Times New Roman" w:hAnsi="Courier New" w:cs="Courier New"/>
          <w:b/>
          <w:bCs/>
          <w:kern w:val="0"/>
          <w:sz w:val="20"/>
          <w:szCs w:val="20"/>
          <w14:ligatures w14:val="none"/>
        </w:rPr>
        <w:t>VAL-001</w:t>
      </w:r>
      <w:r w:rsidRPr="00AD6CB9">
        <w:rPr>
          <w:rFonts w:ascii="Times New Roman" w:eastAsia="Times New Roman" w:hAnsi="Times New Roman" w:cs="Times New Roman"/>
          <w:b/>
          <w:bCs/>
          <w:kern w:val="0"/>
          <w14:ligatures w14:val="none"/>
        </w:rPr>
        <w:t>)</w:t>
      </w:r>
      <w:r w:rsidRPr="00AD6CB9">
        <w:rPr>
          <w:rFonts w:ascii="Times New Roman" w:eastAsia="Times New Roman" w:hAnsi="Times New Roman" w:cs="Times New Roman"/>
          <w:kern w:val="0"/>
          <w14:ligatures w14:val="none"/>
        </w:rPr>
        <w:t>.</w:t>
      </w:r>
    </w:p>
    <w:p w14:paraId="419CE999" w14:textId="77777777" w:rsidR="00AD6CB9" w:rsidRPr="00AD6CB9" w:rsidRDefault="00AD6CB9" w:rsidP="00642EB3">
      <w:pPr>
        <w:numPr>
          <w:ilvl w:val="1"/>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Static Analysis Security Scanner (</w:t>
      </w:r>
      <w:r w:rsidRPr="00AD6CB9">
        <w:rPr>
          <w:rFonts w:ascii="Courier New" w:eastAsia="Times New Roman" w:hAnsi="Courier New" w:cs="Courier New"/>
          <w:b/>
          <w:bCs/>
          <w:kern w:val="0"/>
          <w:sz w:val="20"/>
          <w:szCs w:val="20"/>
          <w14:ligatures w14:val="none"/>
        </w:rPr>
        <w:t>VAL-002</w:t>
      </w:r>
      <w:r w:rsidRPr="00AD6CB9">
        <w:rPr>
          <w:rFonts w:ascii="Times New Roman" w:eastAsia="Times New Roman" w:hAnsi="Times New Roman" w:cs="Times New Roman"/>
          <w:b/>
          <w:bCs/>
          <w:kern w:val="0"/>
          <w14:ligatures w14:val="none"/>
        </w:rPr>
        <w:t>)</w:t>
      </w:r>
      <w:r w:rsidRPr="00AD6CB9">
        <w:rPr>
          <w:rFonts w:ascii="Times New Roman" w:eastAsia="Times New Roman" w:hAnsi="Times New Roman" w:cs="Times New Roman"/>
          <w:kern w:val="0"/>
          <w14:ligatures w14:val="none"/>
        </w:rPr>
        <w:t xml:space="preserve"> to verify CJIS encryption.</w:t>
      </w:r>
    </w:p>
    <w:p w14:paraId="3BBA7C75" w14:textId="77777777" w:rsidR="00AD6CB9" w:rsidRPr="00AD6CB9" w:rsidRDefault="00AD6CB9" w:rsidP="00642EB3">
      <w:pPr>
        <w:numPr>
          <w:ilvl w:val="1"/>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Identity Provider Testing Plugin (</w:t>
      </w:r>
      <w:r w:rsidRPr="00AD6CB9">
        <w:rPr>
          <w:rFonts w:ascii="Courier New" w:eastAsia="Times New Roman" w:hAnsi="Courier New" w:cs="Courier New"/>
          <w:b/>
          <w:bCs/>
          <w:kern w:val="0"/>
          <w:sz w:val="20"/>
          <w:szCs w:val="20"/>
          <w14:ligatures w14:val="none"/>
        </w:rPr>
        <w:t>VAL-003</w:t>
      </w:r>
      <w:r w:rsidRPr="00AD6CB9">
        <w:rPr>
          <w:rFonts w:ascii="Times New Roman" w:eastAsia="Times New Roman" w:hAnsi="Times New Roman" w:cs="Times New Roman"/>
          <w:b/>
          <w:bCs/>
          <w:kern w:val="0"/>
          <w14:ligatures w14:val="none"/>
        </w:rPr>
        <w:t>)</w:t>
      </w:r>
      <w:r w:rsidRPr="00AD6CB9">
        <w:rPr>
          <w:rFonts w:ascii="Times New Roman" w:eastAsia="Times New Roman" w:hAnsi="Times New Roman" w:cs="Times New Roman"/>
          <w:kern w:val="0"/>
          <w14:ligatures w14:val="none"/>
        </w:rPr>
        <w:t>.</w:t>
      </w:r>
    </w:p>
    <w:p w14:paraId="7C45613A" w14:textId="77777777" w:rsidR="00AD6CB9" w:rsidRPr="00AD6CB9" w:rsidRDefault="00AD6CB9" w:rsidP="00642EB3">
      <w:pPr>
        <w:numPr>
          <w:ilvl w:val="1"/>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PII Scanner Plugin (</w:t>
      </w:r>
      <w:r w:rsidRPr="00AD6CB9">
        <w:rPr>
          <w:rFonts w:ascii="Courier New" w:eastAsia="Times New Roman" w:hAnsi="Courier New" w:cs="Courier New"/>
          <w:b/>
          <w:bCs/>
          <w:kern w:val="0"/>
          <w:sz w:val="20"/>
          <w:szCs w:val="20"/>
          <w14:ligatures w14:val="none"/>
        </w:rPr>
        <w:t>VAL-004</w:t>
      </w:r>
      <w:r w:rsidRPr="00AD6CB9">
        <w:rPr>
          <w:rFonts w:ascii="Times New Roman" w:eastAsia="Times New Roman" w:hAnsi="Times New Roman" w:cs="Times New Roman"/>
          <w:b/>
          <w:bCs/>
          <w:kern w:val="0"/>
          <w14:ligatures w14:val="none"/>
        </w:rPr>
        <w:t>)</w:t>
      </w:r>
      <w:r w:rsidRPr="00AD6CB9">
        <w:rPr>
          <w:rFonts w:ascii="Times New Roman" w:eastAsia="Times New Roman" w:hAnsi="Times New Roman" w:cs="Times New Roman"/>
          <w:kern w:val="0"/>
          <w14:ligatures w14:val="none"/>
        </w:rPr>
        <w:t>.</w:t>
      </w:r>
    </w:p>
    <w:p w14:paraId="0CAFEE47" w14:textId="77777777" w:rsidR="00AD6CB9" w:rsidRP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Secure Execution Environments:</w:t>
      </w:r>
      <w:r w:rsidRPr="00AD6CB9">
        <w:rPr>
          <w:rFonts w:ascii="Times New Roman" w:eastAsia="Times New Roman" w:hAnsi="Times New Roman" w:cs="Times New Roman"/>
          <w:kern w:val="0"/>
          <w14:ligatures w14:val="none"/>
        </w:rPr>
        <w:t xml:space="preserve"> To protect the integrity of the broader platform, all plugins and generated code must execute within controlled, isolated boundaries. Host infrastructure (such as Docker or Kubernetes) must be configured with strict file system and network restrictions to support the containerized .NET MACS runtime environment (</w:t>
      </w:r>
      <w:r w:rsidRPr="00AD6CB9">
        <w:rPr>
          <w:rFonts w:ascii="Courier New" w:eastAsia="Times New Roman" w:hAnsi="Courier New" w:cs="Courier New"/>
          <w:kern w:val="0"/>
          <w:sz w:val="20"/>
          <w:szCs w:val="20"/>
          <w14:ligatures w14:val="none"/>
        </w:rPr>
        <w:t>INF-001</w:t>
      </w:r>
      <w:r w:rsidRPr="00AD6CB9">
        <w:rPr>
          <w:rFonts w:ascii="Times New Roman" w:eastAsia="Times New Roman" w:hAnsi="Times New Roman" w:cs="Times New Roman"/>
          <w:kern w:val="0"/>
          <w14:ligatures w14:val="none"/>
        </w:rPr>
        <w:t>).</w:t>
      </w:r>
    </w:p>
    <w:p w14:paraId="5454C52D" w14:textId="77777777" w:rsidR="00AD6CB9" w:rsidRP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External Database and Schema Dependencies:</w:t>
      </w:r>
      <w:r w:rsidRPr="00AD6CB9">
        <w:rPr>
          <w:rFonts w:ascii="Times New Roman" w:eastAsia="Times New Roman" w:hAnsi="Times New Roman" w:cs="Times New Roman"/>
          <w:kern w:val="0"/>
          <w14:ligatures w14:val="none"/>
        </w:rPr>
        <w:t xml:space="preserve"> Because the MACS blueprint demands strict interoperability (</w:t>
      </w:r>
      <w:r w:rsidRPr="00AD6CB9">
        <w:rPr>
          <w:rFonts w:ascii="Courier New" w:eastAsia="Times New Roman" w:hAnsi="Courier New" w:cs="Courier New"/>
          <w:kern w:val="0"/>
          <w:sz w:val="20"/>
          <w:szCs w:val="20"/>
          <w14:ligatures w14:val="none"/>
        </w:rPr>
        <w:t>CAP-002</w:t>
      </w:r>
      <w:r w:rsidRPr="00AD6CB9">
        <w:rPr>
          <w:rFonts w:ascii="Times New Roman" w:eastAsia="Times New Roman" w:hAnsi="Times New Roman" w:cs="Times New Roman"/>
          <w:kern w:val="0"/>
          <w14:ligatures w14:val="none"/>
        </w:rPr>
        <w:t xml:space="preserve">), external database connections or mock databases must be provisioned to mirror the exact </w:t>
      </w:r>
      <w:r w:rsidRPr="00AD6CB9">
        <w:rPr>
          <w:rFonts w:ascii="Times New Roman" w:eastAsia="Times New Roman" w:hAnsi="Times New Roman" w:cs="Times New Roman"/>
          <w:b/>
          <w:bCs/>
          <w:kern w:val="0"/>
          <w14:ligatures w14:val="none"/>
        </w:rPr>
        <w:t xml:space="preserve">NCSC </w:t>
      </w:r>
      <w:proofErr w:type="spellStart"/>
      <w:r w:rsidRPr="00AD6CB9">
        <w:rPr>
          <w:rFonts w:ascii="Courier New" w:eastAsia="Times New Roman" w:hAnsi="Courier New" w:cs="Courier New"/>
          <w:b/>
          <w:bCs/>
          <w:kern w:val="0"/>
          <w:sz w:val="20"/>
          <w:szCs w:val="20"/>
          <w14:ligatures w14:val="none"/>
        </w:rPr>
        <w:t>Psj_Court_Canonical</w:t>
      </w:r>
      <w:proofErr w:type="spellEnd"/>
      <w:r w:rsidRPr="00AD6CB9">
        <w:rPr>
          <w:rFonts w:ascii="Times New Roman" w:eastAsia="Times New Roman" w:hAnsi="Times New Roman" w:cs="Times New Roman"/>
          <w:b/>
          <w:bCs/>
          <w:kern w:val="0"/>
          <w14:ligatures w14:val="none"/>
        </w:rPr>
        <w:t xml:space="preserve"> relational schema</w:t>
      </w:r>
      <w:r w:rsidRPr="00AD6CB9">
        <w:rPr>
          <w:rFonts w:ascii="Times New Roman" w:eastAsia="Times New Roman" w:hAnsi="Times New Roman" w:cs="Times New Roman"/>
          <w:kern w:val="0"/>
          <w14:ligatures w14:val="none"/>
        </w:rPr>
        <w:t xml:space="preserve">. This ensures the Schema Validation Plugin can verify that structured JSON payloads align with tables like </w:t>
      </w:r>
      <w:proofErr w:type="spellStart"/>
      <w:r w:rsidRPr="00AD6CB9">
        <w:rPr>
          <w:rFonts w:ascii="Courier New" w:eastAsia="Times New Roman" w:hAnsi="Courier New" w:cs="Courier New"/>
          <w:kern w:val="0"/>
          <w:sz w:val="20"/>
          <w:szCs w:val="20"/>
          <w14:ligatures w14:val="none"/>
        </w:rPr>
        <w:t>CaseDetail</w:t>
      </w:r>
      <w:proofErr w:type="spellEnd"/>
      <w:r w:rsidRPr="00AD6CB9">
        <w:rPr>
          <w:rFonts w:ascii="Times New Roman" w:eastAsia="Times New Roman" w:hAnsi="Times New Roman" w:cs="Times New Roman"/>
          <w:kern w:val="0"/>
          <w14:ligatures w14:val="none"/>
        </w:rPr>
        <w:t xml:space="preserve">, </w:t>
      </w:r>
      <w:proofErr w:type="spellStart"/>
      <w:r w:rsidRPr="00AD6CB9">
        <w:rPr>
          <w:rFonts w:ascii="Courier New" w:eastAsia="Times New Roman" w:hAnsi="Courier New" w:cs="Courier New"/>
          <w:kern w:val="0"/>
          <w:sz w:val="20"/>
          <w:szCs w:val="20"/>
          <w14:ligatures w14:val="none"/>
        </w:rPr>
        <w:t>PartyDetail</w:t>
      </w:r>
      <w:proofErr w:type="spellEnd"/>
      <w:r w:rsidRPr="00AD6CB9">
        <w:rPr>
          <w:rFonts w:ascii="Times New Roman" w:eastAsia="Times New Roman" w:hAnsi="Times New Roman" w:cs="Times New Roman"/>
          <w:kern w:val="0"/>
          <w14:ligatures w14:val="none"/>
        </w:rPr>
        <w:t xml:space="preserve">, and </w:t>
      </w:r>
      <w:proofErr w:type="spellStart"/>
      <w:r w:rsidRPr="00AD6CB9">
        <w:rPr>
          <w:rFonts w:ascii="Courier New" w:eastAsia="Times New Roman" w:hAnsi="Courier New" w:cs="Courier New"/>
          <w:kern w:val="0"/>
          <w:sz w:val="20"/>
          <w:szCs w:val="20"/>
          <w14:ligatures w14:val="none"/>
        </w:rPr>
        <w:t>ChargeDetail</w:t>
      </w:r>
      <w:proofErr w:type="spellEnd"/>
      <w:r w:rsidRPr="00AD6CB9">
        <w:rPr>
          <w:rFonts w:ascii="Times New Roman" w:eastAsia="Times New Roman" w:hAnsi="Times New Roman" w:cs="Times New Roman"/>
          <w:kern w:val="0"/>
          <w14:ligatures w14:val="none"/>
        </w:rPr>
        <w:t>.</w:t>
      </w:r>
    </w:p>
    <w:p w14:paraId="531D2FB4" w14:textId="77777777" w:rsidR="00AD6CB9" w:rsidRDefault="00AD6CB9" w:rsidP="00642EB3">
      <w:pPr>
        <w:numPr>
          <w:ilvl w:val="0"/>
          <w:numId w:val="10"/>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Governance Pathways and Telemetry:</w:t>
      </w:r>
      <w:r w:rsidRPr="00AD6CB9">
        <w:rPr>
          <w:rFonts w:ascii="Times New Roman" w:eastAsia="Times New Roman" w:hAnsi="Times New Roman" w:cs="Times New Roman"/>
          <w:kern w:val="0"/>
          <w14:ligatures w14:val="none"/>
        </w:rPr>
        <w:t xml:space="preserve"> Alerting endpoints (e.g., SMTP servers) must be configured to support the PII Data Protection policy (</w:t>
      </w:r>
      <w:r w:rsidRPr="00AD6CB9">
        <w:rPr>
          <w:rFonts w:ascii="Courier New" w:eastAsia="Times New Roman" w:hAnsi="Courier New" w:cs="Courier New"/>
          <w:kern w:val="0"/>
          <w:sz w:val="20"/>
          <w:szCs w:val="20"/>
          <w14:ligatures w14:val="none"/>
        </w:rPr>
        <w:t>POL-PII-001</w:t>
      </w:r>
      <w:r w:rsidRPr="00AD6CB9">
        <w:rPr>
          <w:rFonts w:ascii="Times New Roman" w:eastAsia="Times New Roman" w:hAnsi="Times New Roman" w:cs="Times New Roman"/>
          <w:kern w:val="0"/>
          <w14:ligatures w14:val="none"/>
        </w:rPr>
        <w:t>), which requires immediate notifications for the soft deletion of flagged PII. Additionally, tools must be hooked into the observability framework to emit operational telemetry and traceability records.</w:t>
      </w:r>
    </w:p>
    <w:p w14:paraId="6674A67F" w14:textId="2BD15951" w:rsidR="00134B36" w:rsidRPr="00AD6CB9" w:rsidRDefault="00134B36" w:rsidP="00134B36">
      <w:pPr>
        <w:spacing w:before="120" w:after="120" w:line="240" w:lineRule="auto"/>
        <w:rPr>
          <w:rFonts w:ascii="Times New Roman" w:eastAsia="Times New Roman" w:hAnsi="Times New Roman" w:cs="Times New Roman"/>
          <w:kern w:val="0"/>
          <w14:ligatures w14:val="none"/>
        </w:rPr>
      </w:pPr>
      <w:r>
        <w:rPr>
          <w:rStyle w:val="ng-star-inserted"/>
          <w:rFonts w:ascii="Google Sans Text" w:hAnsi="Google Sans Text"/>
          <w:color w:val="303030"/>
          <w:shd w:val="clear" w:color="auto" w:fill="FFFFFF"/>
        </w:rPr>
        <w:t xml:space="preserve">Completing the Pre-Flight Checklist is a prerequisite for passing the </w:t>
      </w:r>
      <w:r>
        <w:rPr>
          <w:rFonts w:ascii="Google Sans Text" w:hAnsi="Google Sans Text"/>
          <w:b/>
          <w:bCs/>
          <w:color w:val="303030"/>
          <w:shd w:val="clear" w:color="auto" w:fill="FFFFFF"/>
        </w:rPr>
        <w:t>Approval Gates</w:t>
      </w:r>
      <w:r>
        <w:rPr>
          <w:rStyle w:val="ng-star-inserted"/>
          <w:rFonts w:ascii="Google Sans Text" w:hAnsi="Google Sans Text"/>
          <w:color w:val="303030"/>
          <w:shd w:val="clear" w:color="auto" w:fill="FFFFFF"/>
        </w:rPr>
        <w:t xml:space="preserve"> defined in the Governance and Control Model (ISL v1.7). The workshop infrastructure (like Entra ID for the Identity Provider Testing Plugin or the NCSC </w:t>
      </w:r>
      <w:proofErr w:type="spellStart"/>
      <w:r>
        <w:rPr>
          <w:rStyle w:val="HTMLCode"/>
          <w:rFonts w:ascii="Google Sans Code" w:eastAsiaTheme="majorEastAsia" w:hAnsi="Google Sans Code"/>
          <w:color w:val="303030"/>
        </w:rPr>
        <w:t>Psj_Court_Canonical</w:t>
      </w:r>
      <w:proofErr w:type="spellEnd"/>
      <w:r>
        <w:rPr>
          <w:rStyle w:val="ng-star-inserted"/>
          <w:rFonts w:ascii="Google Sans Text" w:hAnsi="Google Sans Text"/>
          <w:color w:val="303030"/>
          <w:shd w:val="clear" w:color="auto" w:fill="FFFFFF"/>
        </w:rPr>
        <w:t xml:space="preserve"> database for the Schema Validation Plugin) must be active so that Human Governance Roles (IT Architects, Security Validators) can confidently sign off on the specification and transition it to the </w:t>
      </w:r>
      <w:r>
        <w:rPr>
          <w:rFonts w:ascii="Google Sans Text" w:hAnsi="Google Sans Text"/>
          <w:b/>
          <w:bCs/>
          <w:color w:val="303030"/>
          <w:shd w:val="clear" w:color="auto" w:fill="FFFFFF"/>
        </w:rPr>
        <w:t>Autonomous-Ready Level</w:t>
      </w:r>
      <w:r>
        <w:rPr>
          <w:rStyle w:val="ng-star-inserted"/>
          <w:rFonts w:ascii="Google Sans Text" w:hAnsi="Google Sans Text"/>
          <w:color w:val="303030"/>
          <w:shd w:val="clear" w:color="auto" w:fill="FFFFFF"/>
        </w:rPr>
        <w:t>.</w:t>
      </w:r>
    </w:p>
    <w:p w14:paraId="631564B9" w14:textId="0F12C8BB" w:rsidR="00642EB3" w:rsidRPr="00642EB3" w:rsidRDefault="00642EB3" w:rsidP="0069348D">
      <w:pPr>
        <w:pStyle w:val="Heading2"/>
      </w:pPr>
      <w:r w:rsidRPr="00642EB3">
        <w:lastRenderedPageBreak/>
        <w:t>3. The Adapter Pattern and Structured Output Contracts</w:t>
      </w:r>
    </w:p>
    <w:p w14:paraId="6565D3BC" w14:textId="55D279F5" w:rsidR="00134B36" w:rsidRDefault="00134B36" w:rsidP="00642EB3">
      <w:pPr>
        <w:pStyle w:val="NormalWeb"/>
        <w:spacing w:before="120" w:beforeAutospacing="0" w:after="120" w:afterAutospacing="0"/>
      </w:pPr>
      <w:r>
        <w:rPr>
          <w:rStyle w:val="ng-star-inserted"/>
          <w:rFonts w:ascii="Google Sans Text" w:eastAsiaTheme="majorEastAsia" w:hAnsi="Google Sans Text"/>
          <w:color w:val="303030"/>
          <w:shd w:val="clear" w:color="auto" w:fill="FFFFFF"/>
        </w:rPr>
        <w:t xml:space="preserve">Tool Plugin Architecture requires these tools to execute within </w:t>
      </w:r>
      <w:r>
        <w:rPr>
          <w:rFonts w:ascii="Google Sans Text" w:hAnsi="Google Sans Text"/>
          <w:b/>
          <w:bCs/>
          <w:color w:val="303030"/>
          <w:shd w:val="clear" w:color="auto" w:fill="FFFFFF"/>
        </w:rPr>
        <w:t>controlled, isolated security boundaries</w:t>
      </w:r>
      <w:r>
        <w:rPr>
          <w:rStyle w:val="ng-star-inserted"/>
          <w:rFonts w:ascii="Google Sans Text" w:eastAsiaTheme="majorEastAsia" w:hAnsi="Google Sans Text"/>
          <w:color w:val="303030"/>
          <w:shd w:val="clear" w:color="auto" w:fill="FFFFFF"/>
        </w:rPr>
        <w:t xml:space="preserve"> (such as sandboxed processes or containerized environments). Because external tools interact with system resources, this isolation ensures that a malfunctioning compiler or a failed security scan cannot compromise the stability or security of the core ALETHEIA orchestrator.</w:t>
      </w:r>
    </w:p>
    <w:p w14:paraId="46C5F907" w14:textId="6B959AF0" w:rsidR="00642EB3" w:rsidRDefault="00642EB3" w:rsidP="00642EB3">
      <w:pPr>
        <w:pStyle w:val="NormalWeb"/>
        <w:spacing w:before="120" w:beforeAutospacing="0" w:after="120" w:afterAutospacing="0"/>
      </w:pPr>
      <w:r>
        <w:t xml:space="preserve">To maintain its capability as a universal construction engine, the ALETHEIA platform cannot rely on hardcoded, custom integrations for every external engineering tool. Instead, it interacts with the "engineering workshop" entirely through a </w:t>
      </w:r>
      <w:r>
        <w:rPr>
          <w:rStyle w:val="Strong"/>
          <w:rFonts w:eastAsiaTheme="majorEastAsia"/>
        </w:rPr>
        <w:t>Tool Abstraction Layer</w:t>
      </w:r>
      <w:r>
        <w:t xml:space="preserve"> utilizing the adapter pattern.</w:t>
      </w:r>
    </w:p>
    <w:p w14:paraId="33EF69FE" w14:textId="77777777" w:rsidR="00642EB3" w:rsidRDefault="00642EB3" w:rsidP="00642EB3">
      <w:pPr>
        <w:pStyle w:val="NormalWeb"/>
        <w:spacing w:before="120" w:beforeAutospacing="0" w:after="120" w:afterAutospacing="0"/>
      </w:pPr>
      <w:r>
        <w:t>Each external tool—whether it is a .NET compiler, an Entra ID authentication tester, or a CJIS security scanner—connects to the platform via a registered plugin that acts as an adapter. When the runtime orchestrator invokes a tool, this adapter translates the platform's standardized requests into the exact execution commands that the specific external tool understands.</w:t>
      </w:r>
    </w:p>
    <w:p w14:paraId="02C2170F" w14:textId="77777777" w:rsidR="00642EB3" w:rsidRDefault="00642EB3" w:rsidP="00642EB3">
      <w:pPr>
        <w:pStyle w:val="NormalWeb"/>
        <w:spacing w:before="120" w:beforeAutospacing="0" w:after="120" w:afterAutospacing="0"/>
      </w:pPr>
      <w:r>
        <w:t xml:space="preserve">Crucially, external engineering tools frequently produce messy, unstructured text, such as raw compiler logs or verbose security scan results. The platform cannot feed unstructured console text to its reasoning agents and expect deterministic results. Therefore, the plugin adapters enforce strict </w:t>
      </w:r>
      <w:r>
        <w:rPr>
          <w:rStyle w:val="Strong"/>
          <w:rFonts w:eastAsiaTheme="majorEastAsia"/>
        </w:rPr>
        <w:t>Structured Output Contracts</w:t>
      </w:r>
      <w:r>
        <w:t>. The adapter is required to translate the raw results of the external tool into strictly defined, machine-</w:t>
      </w:r>
      <w:proofErr w:type="spellStart"/>
      <w:r>
        <w:t>parseable</w:t>
      </w:r>
      <w:proofErr w:type="spellEnd"/>
      <w:r>
        <w:t xml:space="preserve"> schemas before returning them to the platform. These structured outputs explicitly break down the results into success indicators, specific compilation errors, security findings, and execution metadata.</w:t>
      </w:r>
    </w:p>
    <w:p w14:paraId="6AFB4F7F" w14:textId="77777777" w:rsidR="00642EB3" w:rsidRDefault="00642EB3" w:rsidP="00642EB3">
      <w:pPr>
        <w:pStyle w:val="NormalWeb"/>
        <w:spacing w:before="120" w:beforeAutospacing="0" w:after="120" w:afterAutospacing="0"/>
      </w:pPr>
      <w:r>
        <w:t>This structured output is what makes the autonomous pipeline possible. If an external tool flags a validation error, the Execution Runtime captures this precise, machine-</w:t>
      </w:r>
      <w:proofErr w:type="spellStart"/>
      <w:r>
        <w:t>parseable</w:t>
      </w:r>
      <w:proofErr w:type="spellEnd"/>
      <w:r>
        <w:t xml:space="preserve"> output and routes it directly to the </w:t>
      </w:r>
      <w:r>
        <w:rPr>
          <w:rStyle w:val="Strong"/>
          <w:rFonts w:eastAsiaTheme="majorEastAsia"/>
        </w:rPr>
        <w:t>Repair Analyst agent</w:t>
      </w:r>
      <w:r>
        <w:t>. Because the error is cleanly structured, the Repair Analyst can accurately diagnose the failure context without guessing, allowing it to instruct the Implementation Generator to apply the exact necessary fix in a continuous, automated repair loop.</w:t>
      </w:r>
    </w:p>
    <w:p w14:paraId="21BBFCDC" w14:textId="6ACE4B1B" w:rsidR="00AD6CB9" w:rsidRPr="00AD6CB9" w:rsidRDefault="00642EB3" w:rsidP="0069348D">
      <w:pPr>
        <w:pStyle w:val="Heading2"/>
      </w:pPr>
      <w:r>
        <w:t>4</w:t>
      </w:r>
      <w:r w:rsidR="00AD6CB9" w:rsidRPr="00AD6CB9">
        <w:t>. The Automated Feedback and Repair Loop</w:t>
      </w:r>
    </w:p>
    <w:p w14:paraId="43E0500D"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i/>
          <w:iCs/>
          <w:kern w:val="0"/>
          <w14:ligatures w14:val="none"/>
        </w:rPr>
        <w:t>(Consolidating "Abstraction Layer Integration" and "Error Reporting")</w:t>
      </w:r>
    </w:p>
    <w:p w14:paraId="0F6BCB2E"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Once the workshop is configured, the runtime orchestrator dynamically invokes the registered tool plugins. These plugins do not return unstructured text; they translate external tool results into </w:t>
      </w:r>
      <w:r w:rsidRPr="00AD6CB9">
        <w:rPr>
          <w:rFonts w:ascii="Times New Roman" w:eastAsia="Times New Roman" w:hAnsi="Times New Roman" w:cs="Times New Roman"/>
          <w:b/>
          <w:bCs/>
          <w:kern w:val="0"/>
          <w14:ligatures w14:val="none"/>
        </w:rPr>
        <w:t>structured output formats</w:t>
      </w:r>
      <w:r w:rsidRPr="00AD6CB9">
        <w:rPr>
          <w:rFonts w:ascii="Times New Roman" w:eastAsia="Times New Roman" w:hAnsi="Times New Roman" w:cs="Times New Roman"/>
          <w:kern w:val="0"/>
          <w14:ligatures w14:val="none"/>
        </w:rPr>
        <w:t xml:space="preserve"> (e.g., compilation errors, security findings) that the ALETHEIA platform can parse.</w:t>
      </w:r>
    </w:p>
    <w:p w14:paraId="355E6FFD" w14:textId="77777777" w:rsid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If a tool plugin flags a validation error, the Execution Runtime captures this structured output and routes it directly to the </w:t>
      </w:r>
      <w:r w:rsidRPr="00AD6CB9">
        <w:rPr>
          <w:rFonts w:ascii="Times New Roman" w:eastAsia="Times New Roman" w:hAnsi="Times New Roman" w:cs="Times New Roman"/>
          <w:b/>
          <w:bCs/>
          <w:kern w:val="0"/>
          <w14:ligatures w14:val="none"/>
        </w:rPr>
        <w:t>Repair Analyst agent</w:t>
      </w:r>
      <w:r w:rsidRPr="00AD6CB9">
        <w:rPr>
          <w:rFonts w:ascii="Times New Roman" w:eastAsia="Times New Roman" w:hAnsi="Times New Roman" w:cs="Times New Roman"/>
          <w:kern w:val="0"/>
          <w14:ligatures w14:val="none"/>
        </w:rPr>
        <w:t>. The Repair Analyst diagnoses the failure context and instructs the Implementation Generator to apply a fix, creating a continuous, automated repair loop driven entirely by deterministic tool feedback.</w:t>
      </w:r>
    </w:p>
    <w:p w14:paraId="1116FB75" w14:textId="1E652D31" w:rsidR="0043405D" w:rsidRPr="00AD6CB9" w:rsidRDefault="0043405D" w:rsidP="00642EB3">
      <w:pPr>
        <w:spacing w:before="120" w:after="120" w:line="240" w:lineRule="auto"/>
        <w:rPr>
          <w:rFonts w:ascii="Times New Roman" w:eastAsia="Times New Roman" w:hAnsi="Times New Roman" w:cs="Times New Roman"/>
          <w:kern w:val="0"/>
          <w14:ligatures w14:val="none"/>
        </w:rPr>
      </w:pPr>
      <w:r>
        <w:rPr>
          <w:rStyle w:val="ng-star-inserted"/>
          <w:rFonts w:ascii="Google Sans Text" w:hAnsi="Google Sans Text"/>
          <w:color w:val="303030"/>
          <w:shd w:val="clear" w:color="auto" w:fill="FFFFFF"/>
        </w:rPr>
        <w:t xml:space="preserve">Escalation is a feature of the </w:t>
      </w:r>
      <w:r>
        <w:rPr>
          <w:rFonts w:ascii="Google Sans Text" w:hAnsi="Google Sans Text"/>
          <w:b/>
          <w:bCs/>
          <w:color w:val="303030"/>
          <w:shd w:val="clear" w:color="auto" w:fill="FFFFFF"/>
        </w:rPr>
        <w:t>Zero-Trust and Security Enforcement Directive</w:t>
      </w:r>
      <w:r>
        <w:rPr>
          <w:rStyle w:val="ng-star-inserted"/>
          <w:rFonts w:ascii="Google Sans Text" w:hAnsi="Google Sans Text"/>
          <w:color w:val="303030"/>
          <w:shd w:val="clear" w:color="auto" w:fill="FFFFFF"/>
        </w:rPr>
        <w:t xml:space="preserve">. The platform assumes no generated code is inherently safe. If the deterministic tools (like the Static Analysis Security Scanner) repeatedly reject an artifact and the Repair Analyst cannot achieve convergence, the system halts because it operates on a zero-trust model. It refuses </w:t>
      </w:r>
      <w:r>
        <w:rPr>
          <w:rStyle w:val="ng-star-inserted"/>
          <w:rFonts w:ascii="Google Sans Text" w:hAnsi="Google Sans Text"/>
          <w:color w:val="303030"/>
          <w:shd w:val="clear" w:color="auto" w:fill="FFFFFF"/>
        </w:rPr>
        <w:lastRenderedPageBreak/>
        <w:t>to guess or bypass security policies, forcing the escalation to human architects to resolve the conflict at the blueprint level.</w:t>
      </w:r>
    </w:p>
    <w:p w14:paraId="0F1D9781" w14:textId="1CE56A69" w:rsidR="00AD6CB9" w:rsidRPr="00642EB3" w:rsidRDefault="00642EB3" w:rsidP="0069348D">
      <w:pPr>
        <w:pStyle w:val="Heading2"/>
      </w:pPr>
      <w:r w:rsidRPr="00642EB3">
        <w:t xml:space="preserve">5. </w:t>
      </w:r>
      <w:r w:rsidR="00AD6CB9" w:rsidRPr="00642EB3">
        <w:t>The Human-Machine Escalation Pathway (The "Andon Cord")</w:t>
      </w:r>
    </w:p>
    <w:p w14:paraId="7D49F83E"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In the ALETHEIA architecture, the Execution Runtime continuously loops through validation and automated repair cycles. However, an enterprise-grade autonomous pipeline cannot assume infinite convergence. If the Repair Analyst agent exhausts its repair cycles without resolving an issue—such as a fundamental conflict between a generated component and a mandatory security policy—the platform will not silently fail or indefinitely guess. Instead, it triggers a formal </w:t>
      </w:r>
      <w:r w:rsidRPr="00AD6CB9">
        <w:rPr>
          <w:rFonts w:ascii="Times New Roman" w:eastAsia="Times New Roman" w:hAnsi="Times New Roman" w:cs="Times New Roman"/>
          <w:b/>
          <w:bCs/>
          <w:kern w:val="0"/>
          <w14:ligatures w14:val="none"/>
        </w:rPr>
        <w:t>Human-Machine Escalation</w:t>
      </w:r>
      <w:r w:rsidRPr="00AD6CB9">
        <w:rPr>
          <w:rFonts w:ascii="Times New Roman" w:eastAsia="Times New Roman" w:hAnsi="Times New Roman" w:cs="Times New Roman"/>
          <w:kern w:val="0"/>
          <w14:ligatures w14:val="none"/>
        </w:rPr>
        <w:t>.</w:t>
      </w:r>
    </w:p>
    <w:p w14:paraId="19C54E33"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At this point, the Execution Runtime halts the blocked branch of the construction task graph and generates a formal </w:t>
      </w:r>
      <w:r w:rsidRPr="00AD6CB9">
        <w:rPr>
          <w:rFonts w:ascii="Times New Roman" w:eastAsia="Times New Roman" w:hAnsi="Times New Roman" w:cs="Times New Roman"/>
          <w:b/>
          <w:bCs/>
          <w:kern w:val="0"/>
          <w14:ligatures w14:val="none"/>
        </w:rPr>
        <w:t>Escalation Payload</w:t>
      </w:r>
      <w:r w:rsidRPr="00AD6CB9">
        <w:rPr>
          <w:rFonts w:ascii="Times New Roman" w:eastAsia="Times New Roman" w:hAnsi="Times New Roman" w:cs="Times New Roman"/>
          <w:kern w:val="0"/>
          <w14:ligatures w14:val="none"/>
        </w:rPr>
        <w:t xml:space="preserve">, acting as the ultimate digital </w:t>
      </w:r>
      <w:r w:rsidRPr="00AD6CB9">
        <w:rPr>
          <w:rFonts w:ascii="Times New Roman" w:eastAsia="Times New Roman" w:hAnsi="Times New Roman" w:cs="Times New Roman"/>
          <w:b/>
          <w:bCs/>
          <w:kern w:val="0"/>
          <w14:ligatures w14:val="none"/>
        </w:rPr>
        <w:t>"Andon Cord"</w:t>
      </w:r>
      <w:r w:rsidRPr="00AD6CB9">
        <w:rPr>
          <w:rFonts w:ascii="Times New Roman" w:eastAsia="Times New Roman" w:hAnsi="Times New Roman" w:cs="Times New Roman"/>
          <w:kern w:val="0"/>
          <w14:ligatures w14:val="none"/>
        </w:rPr>
        <w:t xml:space="preserve"> to formally pause autonomous execution and request human intervention. This payload routes directly to the designated Human Governance Roles and provides a highly technical, machine-assembled context drop, which includes:</w:t>
      </w:r>
    </w:p>
    <w:p w14:paraId="4155AEC1" w14:textId="77777777" w:rsidR="00AD6CB9" w:rsidRPr="00AD6CB9" w:rsidRDefault="00AD6CB9" w:rsidP="00642EB3">
      <w:pPr>
        <w:numPr>
          <w:ilvl w:val="0"/>
          <w:numId w:val="14"/>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The Failure Context:</w:t>
      </w:r>
      <w:r w:rsidRPr="00AD6CB9">
        <w:rPr>
          <w:rFonts w:ascii="Times New Roman" w:eastAsia="Times New Roman" w:hAnsi="Times New Roman" w:cs="Times New Roman"/>
          <w:kern w:val="0"/>
          <w14:ligatures w14:val="none"/>
        </w:rPr>
        <w:t xml:space="preserve"> A structured log of the failed deterministic validation, such as exact output from a security scanner.</w:t>
      </w:r>
    </w:p>
    <w:p w14:paraId="0F1DECBF" w14:textId="77777777" w:rsidR="00AD6CB9" w:rsidRPr="00AD6CB9" w:rsidRDefault="00AD6CB9" w:rsidP="00642EB3">
      <w:pPr>
        <w:numPr>
          <w:ilvl w:val="0"/>
          <w:numId w:val="14"/>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The Traceability Path:</w:t>
      </w:r>
      <w:r w:rsidRPr="00AD6CB9">
        <w:rPr>
          <w:rFonts w:ascii="Times New Roman" w:eastAsia="Times New Roman" w:hAnsi="Times New Roman" w:cs="Times New Roman"/>
          <w:kern w:val="0"/>
          <w14:ligatures w14:val="none"/>
        </w:rPr>
        <w:t xml:space="preserve"> The exact bidirectional graph link mapping the compilation failure back to the original specification, enabling automated impact analysis.</w:t>
      </w:r>
    </w:p>
    <w:p w14:paraId="0A100B92" w14:textId="77777777" w:rsidR="00AD6CB9" w:rsidRPr="00AD6CB9" w:rsidRDefault="00AD6CB9" w:rsidP="00642EB3">
      <w:pPr>
        <w:numPr>
          <w:ilvl w:val="0"/>
          <w:numId w:val="14"/>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The Repair History:</w:t>
      </w:r>
      <w:r w:rsidRPr="00AD6CB9">
        <w:rPr>
          <w:rFonts w:ascii="Times New Roman" w:eastAsia="Times New Roman" w:hAnsi="Times New Roman" w:cs="Times New Roman"/>
          <w:kern w:val="0"/>
          <w14:ligatures w14:val="none"/>
        </w:rPr>
        <w:t xml:space="preserve"> The full memory of the attempted reasoning and artifact generation steps performed prior to the escalation.</w:t>
      </w:r>
    </w:p>
    <w:p w14:paraId="24988BA6"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Crucially, because ALETHEIA enforces strict architectural boundaries, </w:t>
      </w:r>
      <w:r w:rsidRPr="00AD6CB9">
        <w:rPr>
          <w:rFonts w:ascii="Times New Roman" w:eastAsia="Times New Roman" w:hAnsi="Times New Roman" w:cs="Times New Roman"/>
          <w:b/>
          <w:bCs/>
          <w:kern w:val="0"/>
          <w14:ligatures w14:val="none"/>
        </w:rPr>
        <w:t>human engineers do not step in to "fix the code" manually</w:t>
      </w:r>
      <w:r w:rsidRPr="00AD6CB9">
        <w:rPr>
          <w:rFonts w:ascii="Times New Roman" w:eastAsia="Times New Roman" w:hAnsi="Times New Roman" w:cs="Times New Roman"/>
          <w:kern w:val="0"/>
          <w14:ligatures w14:val="none"/>
        </w:rPr>
        <w:t>. Instead, the human governance authority evaluates the Escalation Payload and responds strictly at the architectural level. The human must either adjust the active specification blueprint to accommodate the issue or formally log a policy exception.</w:t>
      </w:r>
    </w:p>
    <w:p w14:paraId="0B322E35"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Once the human signs off on this resolution, the platform logs the decision into its Governance State, records the action for strict enterprise auditability, unblocks the task graph, and the autonomous build resumes. This formal escalation pathway guarantees that even within a highly autonomous pipeline, human governance remains the active, authoritative steward of the construction process.</w:t>
      </w:r>
    </w:p>
    <w:p w14:paraId="5CE158EA" w14:textId="56340C09" w:rsidR="00AD6CB9" w:rsidRPr="00642EB3" w:rsidRDefault="00642EB3" w:rsidP="0069348D">
      <w:pPr>
        <w:pStyle w:val="Heading2"/>
      </w:pPr>
      <w:r w:rsidRPr="00642EB3">
        <w:t xml:space="preserve">6. </w:t>
      </w:r>
      <w:r w:rsidR="00AD6CB9" w:rsidRPr="00642EB3">
        <w:t>Observability and the "Watchtower" Dashboard</w:t>
      </w:r>
    </w:p>
    <w:p w14:paraId="4C1CEAF0"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Once the blueprint is committed and the autonomous build commences, human engineers do not monitor real-time lines of code being generated or converse with the AI. Instead, </w:t>
      </w:r>
      <w:r w:rsidRPr="00AD6CB9">
        <w:rPr>
          <w:rFonts w:ascii="Times New Roman" w:eastAsia="Times New Roman" w:hAnsi="Times New Roman" w:cs="Times New Roman"/>
          <w:b/>
          <w:bCs/>
          <w:kern w:val="0"/>
          <w14:ligatures w14:val="none"/>
        </w:rPr>
        <w:t>Human Governance Roles (such as IT Architects, Security Validators, and the Chief Data Officer) assume a supervisory position within the platform's Operational Dashboard, acting as the "Watchtower" overseeing the digital construction site</w:t>
      </w:r>
      <w:r w:rsidRPr="00AD6CB9">
        <w:rPr>
          <w:rFonts w:ascii="Times New Roman" w:eastAsia="Times New Roman" w:hAnsi="Times New Roman" w:cs="Times New Roman"/>
          <w:kern w:val="0"/>
          <w14:ligatures w14:val="none"/>
        </w:rPr>
        <w:t>.</w:t>
      </w:r>
    </w:p>
    <w:p w14:paraId="0C6DE28A"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Operating strictly under the Observability and Telemetry Model (ISL v2.6), the platform's Execution Monitor subsystem continuously streams structured data to provide total visibility into the automated workforce. The dashboard visualizes several distinct, highly technical telemetry streams:</w:t>
      </w:r>
    </w:p>
    <w:p w14:paraId="6E988A71" w14:textId="77777777" w:rsidR="00AD6CB9" w:rsidRPr="00AD6CB9" w:rsidRDefault="00AD6CB9" w:rsidP="00642EB3">
      <w:pPr>
        <w:numPr>
          <w:ilvl w:val="0"/>
          <w:numId w:val="15"/>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lastRenderedPageBreak/>
        <w:t>Execution Telemetry:</w:t>
      </w:r>
      <w:r w:rsidRPr="00AD6CB9">
        <w:rPr>
          <w:rFonts w:ascii="Times New Roman" w:eastAsia="Times New Roman" w:hAnsi="Times New Roman" w:cs="Times New Roman"/>
          <w:kern w:val="0"/>
          <w14:ligatures w14:val="none"/>
        </w:rPr>
        <w:t xml:space="preserve"> Tracks the real-time progression of the Construction Task Graph, allowing human operators to watch as the platform systematically advances through the build.</w:t>
      </w:r>
    </w:p>
    <w:p w14:paraId="6D0407BC" w14:textId="77777777" w:rsidR="00AD6CB9" w:rsidRPr="00AD6CB9" w:rsidRDefault="00AD6CB9" w:rsidP="00642EB3">
      <w:pPr>
        <w:numPr>
          <w:ilvl w:val="0"/>
          <w:numId w:val="15"/>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Agent Activity Telemetry:</w:t>
      </w:r>
      <w:r w:rsidRPr="00AD6CB9">
        <w:rPr>
          <w:rFonts w:ascii="Times New Roman" w:eastAsia="Times New Roman" w:hAnsi="Times New Roman" w:cs="Times New Roman"/>
          <w:kern w:val="0"/>
          <w14:ligatures w14:val="none"/>
        </w:rPr>
        <w:t xml:space="preserve"> Records the bounded reasoning activities of the specialized agents. Human overseers review structured metadata detailing which agent is active, the strict context it was provided, and the exact artifact it generated.</w:t>
      </w:r>
    </w:p>
    <w:p w14:paraId="4EA9ACB5" w14:textId="77777777" w:rsidR="00AD6CB9" w:rsidRPr="00AD6CB9" w:rsidRDefault="00AD6CB9" w:rsidP="00642EB3">
      <w:pPr>
        <w:numPr>
          <w:ilvl w:val="0"/>
          <w:numId w:val="15"/>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Tool Interaction Telemetry:</w:t>
      </w:r>
      <w:r w:rsidRPr="00AD6CB9">
        <w:rPr>
          <w:rFonts w:ascii="Times New Roman" w:eastAsia="Times New Roman" w:hAnsi="Times New Roman" w:cs="Times New Roman"/>
          <w:kern w:val="0"/>
          <w14:ligatures w14:val="none"/>
        </w:rPr>
        <w:t xml:space="preserve"> Streams the deterministic feedback directly from the Tool Plugin Architecture, allowing teams to monitor real-time outputs from the engineering workshop, such as identity testing plugins or static analysis security scanners executing validation checks.</w:t>
      </w:r>
    </w:p>
    <w:p w14:paraId="5E538DDE" w14:textId="77777777" w:rsidR="00AD6CB9" w:rsidRPr="00AD6CB9" w:rsidRDefault="00AD6CB9" w:rsidP="00642EB3">
      <w:pPr>
        <w:numPr>
          <w:ilvl w:val="0"/>
          <w:numId w:val="15"/>
        </w:numPr>
        <w:spacing w:after="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b/>
          <w:bCs/>
          <w:kern w:val="0"/>
          <w14:ligatures w14:val="none"/>
        </w:rPr>
        <w:t>Governance and Policy Telemetry:</w:t>
      </w:r>
      <w:r w:rsidRPr="00AD6CB9">
        <w:rPr>
          <w:rFonts w:ascii="Times New Roman" w:eastAsia="Times New Roman" w:hAnsi="Times New Roman" w:cs="Times New Roman"/>
          <w:kern w:val="0"/>
          <w14:ligatures w14:val="none"/>
        </w:rPr>
        <w:t xml:space="preserve"> Logs all real-time compliance checks, automated policy enforcement decisions, and approval gate status to maintain a continuous audit trail for Court Auditors.</w:t>
      </w:r>
    </w:p>
    <w:p w14:paraId="46766FFD"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Furthermore, this telemetry stream does not just provide a passive historical record; it powers </w:t>
      </w:r>
      <w:r w:rsidRPr="00AD6CB9">
        <w:rPr>
          <w:rFonts w:ascii="Times New Roman" w:eastAsia="Times New Roman" w:hAnsi="Times New Roman" w:cs="Times New Roman"/>
          <w:b/>
          <w:bCs/>
          <w:kern w:val="0"/>
          <w14:ligatures w14:val="none"/>
        </w:rPr>
        <w:t>Automated Monitoring and Proactive Alerting</w:t>
      </w:r>
      <w:r w:rsidRPr="00AD6CB9">
        <w:rPr>
          <w:rFonts w:ascii="Times New Roman" w:eastAsia="Times New Roman" w:hAnsi="Times New Roman" w:cs="Times New Roman"/>
          <w:kern w:val="0"/>
          <w14:ligatures w14:val="none"/>
        </w:rPr>
        <w:t>. If the platform observes operational anomalies—such as a PII scanning validation failing repeatedly and forcing the Execution Runtime into an excessive number of automated repair loops—the monitoring system actively flags this inefficiency on the dashboard.</w:t>
      </w:r>
    </w:p>
    <w:p w14:paraId="48B31DCB"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By transforming the "black box" of AI generation into a transparent, quantifiable stream of metrics, </w:t>
      </w:r>
      <w:r w:rsidRPr="00AD6CB9">
        <w:rPr>
          <w:rFonts w:ascii="Times New Roman" w:eastAsia="Times New Roman" w:hAnsi="Times New Roman" w:cs="Times New Roman"/>
          <w:b/>
          <w:bCs/>
          <w:kern w:val="0"/>
          <w14:ligatures w14:val="none"/>
        </w:rPr>
        <w:t>this structured observability fundamentally alters the enterprise Software Development Lifecycle (SDLC), guaranteeing that the autonomous construction process remains transparent, auditable, and firmly under the supervision of the human governance team</w:t>
      </w:r>
      <w:r w:rsidRPr="00AD6CB9">
        <w:rPr>
          <w:rFonts w:ascii="Times New Roman" w:eastAsia="Times New Roman" w:hAnsi="Times New Roman" w:cs="Times New Roman"/>
          <w:kern w:val="0"/>
          <w14:ligatures w14:val="none"/>
        </w:rPr>
        <w:t>.</w:t>
      </w:r>
    </w:p>
    <w:p w14:paraId="600E9C6D" w14:textId="7B49E862" w:rsidR="00AD6CB9" w:rsidRPr="00642EB3" w:rsidRDefault="00642EB3" w:rsidP="0069348D">
      <w:pPr>
        <w:pStyle w:val="Heading2"/>
      </w:pPr>
      <w:r w:rsidRPr="00642EB3">
        <w:t xml:space="preserve">7. </w:t>
      </w:r>
      <w:r w:rsidR="00AD6CB9" w:rsidRPr="00642EB3">
        <w:t>Deployment Target and CI/CD Readiness</w:t>
      </w:r>
    </w:p>
    <w:p w14:paraId="2B93DD76" w14:textId="67BD73FA" w:rsidR="00AD6CB9" w:rsidRPr="00AD6CB9" w:rsidRDefault="00134B36" w:rsidP="00642EB3">
      <w:pPr>
        <w:spacing w:before="12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AD6CB9" w:rsidRPr="00AD6CB9">
        <w:rPr>
          <w:rFonts w:ascii="Times New Roman" w:eastAsia="Times New Roman" w:hAnsi="Times New Roman" w:cs="Times New Roman"/>
          <w:kern w:val="0"/>
          <w14:ligatures w14:val="none"/>
        </w:rPr>
        <w:t>he final phase of the "engineering workshop" is packaging and deployment. While the execution runtime handles the generation and internal validation of code, the resulting software artifacts must ultimately be delivered to operational environments reliably and repeatedly. To achieve this, the workshop infrastructure must be pre-configured with Continuous Integration and Continuous Deployment (CI/CD) pipelines, which serve as the deterministic backbone for compiling, testing, packaging, and validating applications in a reproducible environment.</w:t>
      </w:r>
    </w:p>
    <w:p w14:paraId="62A3C5DE" w14:textId="77777777" w:rsidR="00AD6CB9" w:rsidRP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Before the autonomous build concludes, the external environment must be ready to receive the outputs from the </w:t>
      </w:r>
      <w:r w:rsidRPr="00AD6CB9">
        <w:rPr>
          <w:rFonts w:ascii="Times New Roman" w:eastAsia="Times New Roman" w:hAnsi="Times New Roman" w:cs="Times New Roman"/>
          <w:b/>
          <w:bCs/>
          <w:kern w:val="0"/>
          <w14:ligatures w14:val="none"/>
        </w:rPr>
        <w:t>Deployment Preparer</w:t>
      </w:r>
      <w:r w:rsidRPr="00AD6CB9">
        <w:rPr>
          <w:rFonts w:ascii="Times New Roman" w:eastAsia="Times New Roman" w:hAnsi="Times New Roman" w:cs="Times New Roman"/>
          <w:kern w:val="0"/>
          <w14:ligatures w14:val="none"/>
        </w:rPr>
        <w:t xml:space="preserve"> agent. This specialized agent is responsible for translating the completed, validated system into operationally deployable packages—such as </w:t>
      </w:r>
      <w:proofErr w:type="spellStart"/>
      <w:r w:rsidRPr="00AD6CB9">
        <w:rPr>
          <w:rFonts w:ascii="Times New Roman" w:eastAsia="Times New Roman" w:hAnsi="Times New Roman" w:cs="Times New Roman"/>
          <w:kern w:val="0"/>
          <w14:ligatures w14:val="none"/>
        </w:rPr>
        <w:t>Dockerfiles</w:t>
      </w:r>
      <w:proofErr w:type="spellEnd"/>
      <w:r w:rsidRPr="00AD6CB9">
        <w:rPr>
          <w:rFonts w:ascii="Times New Roman" w:eastAsia="Times New Roman" w:hAnsi="Times New Roman" w:cs="Times New Roman"/>
          <w:kern w:val="0"/>
          <w14:ligatures w14:val="none"/>
        </w:rPr>
        <w:t>, container manifests, and deployment descriptors—that align perfectly with the infrastructure and runtime expectations defined in the specification.</w:t>
      </w:r>
    </w:p>
    <w:p w14:paraId="3FEAB2DC" w14:textId="77777777" w:rsidR="00AD6CB9" w:rsidRDefault="00AD6CB9" w:rsidP="00642EB3">
      <w:pPr>
        <w:spacing w:before="120" w:after="120" w:line="240" w:lineRule="auto"/>
        <w:rPr>
          <w:rFonts w:ascii="Times New Roman" w:eastAsia="Times New Roman" w:hAnsi="Times New Roman" w:cs="Times New Roman"/>
          <w:kern w:val="0"/>
          <w14:ligatures w14:val="none"/>
        </w:rPr>
      </w:pPr>
      <w:r w:rsidRPr="00AD6CB9">
        <w:rPr>
          <w:rFonts w:ascii="Times New Roman" w:eastAsia="Times New Roman" w:hAnsi="Times New Roman" w:cs="Times New Roman"/>
          <w:kern w:val="0"/>
          <w14:ligatures w14:val="none"/>
        </w:rPr>
        <w:t xml:space="preserve">For the Minimal Autonomous Construction System (MACS) Proof-of-Concept, human engineers must configure the deployment automation workflows and verify that the target </w:t>
      </w:r>
      <w:r w:rsidRPr="00AD6CB9">
        <w:rPr>
          <w:rFonts w:ascii="Google Sans Code" w:eastAsia="Times New Roman" w:hAnsi="Google Sans Code" w:cs="Courier New"/>
          <w:color w:val="303030"/>
          <w:kern w:val="0"/>
          <w:sz w:val="20"/>
          <w:szCs w:val="20"/>
          <w14:ligatures w14:val="none"/>
        </w:rPr>
        <w:t>local-first, containerized .NET MACS runtime environment</w:t>
      </w:r>
      <w:r w:rsidRPr="00AD6CB9">
        <w:rPr>
          <w:rFonts w:ascii="Times New Roman" w:eastAsia="Times New Roman" w:hAnsi="Times New Roman" w:cs="Times New Roman"/>
          <w:kern w:val="0"/>
          <w14:ligatures w14:val="none"/>
        </w:rPr>
        <w:t xml:space="preserve"> (</w:t>
      </w:r>
      <w:r w:rsidRPr="00AD6CB9">
        <w:rPr>
          <w:rFonts w:ascii="Google Sans Code" w:eastAsia="Times New Roman" w:hAnsi="Google Sans Code" w:cs="Courier New"/>
          <w:color w:val="303030"/>
          <w:kern w:val="0"/>
          <w:sz w:val="20"/>
          <w:szCs w:val="20"/>
          <w14:ligatures w14:val="none"/>
        </w:rPr>
        <w:t>INF-001</w:t>
      </w:r>
      <w:r w:rsidRPr="00AD6CB9">
        <w:rPr>
          <w:rFonts w:ascii="Times New Roman" w:eastAsia="Times New Roman" w:hAnsi="Times New Roman" w:cs="Times New Roman"/>
          <w:kern w:val="0"/>
          <w14:ligatures w14:val="none"/>
        </w:rPr>
        <w:t>) is active and accessible. If this CI/CD integration and deployment target are not established beforehand, the Deployment Preparer cannot successfully hand off the finalized artifacts, preventing the system from completing its transition from autonomous construction to operational deployment.</w:t>
      </w:r>
    </w:p>
    <w:p w14:paraId="26F6C473" w14:textId="77777777" w:rsidR="00134B36" w:rsidRDefault="00134B36" w:rsidP="00134B36">
      <w:pPr>
        <w:spacing w:before="120" w:after="120" w:line="240" w:lineRule="auto"/>
        <w:rPr>
          <w:rStyle w:val="ng-star-inserted"/>
          <w:rFonts w:ascii="Google Sans Text" w:hAnsi="Google Sans Text" w:hint="eastAsia"/>
          <w:color w:val="303030"/>
          <w:shd w:val="clear" w:color="auto" w:fill="FFFFFF"/>
        </w:rPr>
      </w:pPr>
      <w:r>
        <w:rPr>
          <w:rStyle w:val="ng-star-inserted"/>
          <w:rFonts w:ascii="Google Sans Text" w:hAnsi="Google Sans Text"/>
          <w:color w:val="303030"/>
          <w:shd w:val="clear" w:color="auto" w:fill="FFFFFF"/>
        </w:rPr>
        <w:t xml:space="preserve">The </w:t>
      </w:r>
      <w:r>
        <w:rPr>
          <w:rFonts w:ascii="Google Sans Text" w:hAnsi="Google Sans Text"/>
          <w:b/>
          <w:bCs/>
          <w:color w:val="303030"/>
          <w:shd w:val="clear" w:color="auto" w:fill="FFFFFF"/>
        </w:rPr>
        <w:t>Continuous Evolution Directive ("Day 2" Operations)</w:t>
      </w:r>
      <w:r>
        <w:rPr>
          <w:rStyle w:val="ng-star-inserted"/>
          <w:rFonts w:ascii="Google Sans Text" w:hAnsi="Google Sans Text"/>
          <w:color w:val="303030"/>
          <w:shd w:val="clear" w:color="auto" w:fill="FFFFFF"/>
        </w:rPr>
        <w:t xml:space="preserve">. The workshop infrastructure and CI/CD pipelines must remain active permanently. When business requirements evolve </w:t>
      </w:r>
      <w:r>
        <w:rPr>
          <w:rStyle w:val="ng-star-inserted"/>
          <w:rFonts w:ascii="Google Sans Text" w:hAnsi="Google Sans Text"/>
          <w:color w:val="303030"/>
          <w:shd w:val="clear" w:color="auto" w:fill="FFFFFF"/>
        </w:rPr>
        <w:lastRenderedPageBreak/>
        <w:t xml:space="preserve">and humans update the specification blueprint, the platform uses its Traceability Graph to perform an automated Impact Analysis. The workshop tools are then automatically re-invoked to perform </w:t>
      </w:r>
      <w:r>
        <w:rPr>
          <w:rFonts w:ascii="Google Sans Text" w:hAnsi="Google Sans Text"/>
          <w:b/>
          <w:bCs/>
          <w:color w:val="303030"/>
          <w:shd w:val="clear" w:color="auto" w:fill="FFFFFF"/>
        </w:rPr>
        <w:t>targeted reconstruction</w:t>
      </w:r>
      <w:r>
        <w:rPr>
          <w:rStyle w:val="ng-star-inserted"/>
          <w:rFonts w:ascii="Google Sans Text" w:hAnsi="Google Sans Text"/>
          <w:color w:val="303030"/>
          <w:shd w:val="clear" w:color="auto" w:fill="FFFFFF"/>
        </w:rPr>
        <w:t xml:space="preserve"> of only the affected components, replacing traditional manual maintenance loops.</w:t>
      </w:r>
    </w:p>
    <w:p w14:paraId="59E450A6" w14:textId="77777777" w:rsidR="00134B36" w:rsidRPr="00AD6CB9" w:rsidRDefault="00134B36" w:rsidP="00642EB3">
      <w:pPr>
        <w:spacing w:before="120" w:after="120" w:line="240" w:lineRule="auto"/>
        <w:rPr>
          <w:rFonts w:ascii="Times New Roman" w:eastAsia="Times New Roman" w:hAnsi="Times New Roman" w:cs="Times New Roman"/>
          <w:kern w:val="0"/>
          <w14:ligatures w14:val="none"/>
        </w:rPr>
      </w:pPr>
    </w:p>
    <w:p w14:paraId="5E2451FC" w14:textId="77777777" w:rsidR="00AD6CB9" w:rsidRDefault="00AD6CB9" w:rsidP="00642EB3">
      <w:pPr>
        <w:pStyle w:val="NormalWeb"/>
        <w:spacing w:before="120" w:beforeAutospacing="0" w:after="120" w:afterAutospacing="0"/>
      </w:pPr>
    </w:p>
    <w:p w14:paraId="382401A1" w14:textId="77777777" w:rsidR="00AD6CB9" w:rsidRDefault="00AD6CB9" w:rsidP="00AD6CB9">
      <w:pPr>
        <w:pStyle w:val="NormalWeb"/>
      </w:pPr>
    </w:p>
    <w:p w14:paraId="1A0D4A11" w14:textId="77777777" w:rsidR="00AD6CB9" w:rsidRDefault="00AD6CB9" w:rsidP="006002FC">
      <w:pPr>
        <w:spacing w:before="100" w:beforeAutospacing="1" w:after="100" w:afterAutospacing="1" w:line="240" w:lineRule="auto"/>
        <w:rPr>
          <w:rFonts w:ascii="Times New Roman" w:eastAsia="Times New Roman" w:hAnsi="Times New Roman" w:cs="Times New Roman"/>
          <w:kern w:val="0"/>
          <w14:ligatures w14:val="none"/>
        </w:rPr>
      </w:pPr>
    </w:p>
    <w:p w14:paraId="7FCB4E78" w14:textId="77777777" w:rsidR="00AD6CB9" w:rsidRPr="006002FC" w:rsidRDefault="00AD6CB9" w:rsidP="006002FC">
      <w:pPr>
        <w:spacing w:before="100" w:beforeAutospacing="1" w:after="100" w:afterAutospacing="1" w:line="240" w:lineRule="auto"/>
        <w:rPr>
          <w:rFonts w:ascii="Times New Roman" w:eastAsia="Times New Roman" w:hAnsi="Times New Roman" w:cs="Times New Roman"/>
          <w:kern w:val="0"/>
          <w14:ligatures w14:val="none"/>
        </w:rPr>
      </w:pPr>
    </w:p>
    <w:p w14:paraId="0E69243B" w14:textId="77777777" w:rsidR="006002FC" w:rsidRDefault="006002FC" w:rsidP="006002FC"/>
    <w:p w14:paraId="51353B79" w14:textId="77777777" w:rsidR="006002FC" w:rsidRDefault="006002FC" w:rsidP="006002FC"/>
    <w:p w14:paraId="762CE7C1" w14:textId="77777777" w:rsidR="00AD6CB9" w:rsidRDefault="00AD6CB9" w:rsidP="006002FC"/>
    <w:p w14:paraId="77F4D51A" w14:textId="77777777" w:rsidR="00AD6CB9" w:rsidRDefault="00AD6CB9" w:rsidP="006002FC"/>
    <w:p w14:paraId="06877E4D" w14:textId="77777777" w:rsidR="00AD6CB9" w:rsidRDefault="00AD6CB9" w:rsidP="00AD6CB9">
      <w:pPr>
        <w:spacing w:after="0" w:line="240" w:lineRule="auto"/>
        <w:rPr>
          <w:rFonts w:ascii="Times New Roman" w:eastAsia="Times New Roman" w:hAnsi="Times New Roman" w:cs="Times New Roman"/>
          <w:b/>
          <w:bCs/>
          <w:kern w:val="0"/>
          <w14:ligatures w14:val="none"/>
        </w:rPr>
      </w:pPr>
    </w:p>
    <w:p w14:paraId="7DC07548" w14:textId="77777777" w:rsidR="00AD6CB9" w:rsidRDefault="00AD6CB9" w:rsidP="00AD6CB9">
      <w:pPr>
        <w:spacing w:after="0" w:line="240" w:lineRule="auto"/>
        <w:rPr>
          <w:rFonts w:ascii="Times New Roman" w:eastAsia="Times New Roman" w:hAnsi="Times New Roman" w:cs="Times New Roman"/>
          <w:b/>
          <w:bCs/>
          <w:kern w:val="0"/>
          <w14:ligatures w14:val="none"/>
        </w:rPr>
      </w:pPr>
    </w:p>
    <w:p w14:paraId="4D924253" w14:textId="77777777" w:rsidR="00AD6CB9" w:rsidRDefault="00AD6CB9" w:rsidP="006002FC">
      <w:pPr>
        <w:rPr>
          <w:rFonts w:ascii="Times New Roman" w:eastAsia="Times New Roman" w:hAnsi="Times New Roman" w:cs="Times New Roman"/>
          <w:b/>
          <w:bCs/>
          <w:kern w:val="0"/>
          <w14:ligatures w14:val="none"/>
        </w:rPr>
      </w:pPr>
    </w:p>
    <w:p w14:paraId="76671CB8" w14:textId="77777777" w:rsidR="00AD6CB9" w:rsidRPr="006002FC" w:rsidRDefault="00AD6CB9" w:rsidP="006002FC"/>
    <w:sectPr w:rsidR="00AD6CB9" w:rsidRPr="006002FC"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Text">
    <w:altName w:val="Cambria"/>
    <w:panose1 w:val="020B0604020202020204"/>
    <w:charset w:val="00"/>
    <w:family w:val="roman"/>
    <w:notTrueType/>
    <w:pitch w:val="default"/>
  </w:font>
  <w:font w:name="Google Sans 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56AB"/>
    <w:multiLevelType w:val="multilevel"/>
    <w:tmpl w:val="6066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97F75"/>
    <w:multiLevelType w:val="multilevel"/>
    <w:tmpl w:val="18D4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548D4"/>
    <w:multiLevelType w:val="multilevel"/>
    <w:tmpl w:val="483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F0CDD"/>
    <w:multiLevelType w:val="multilevel"/>
    <w:tmpl w:val="5BB4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F077C"/>
    <w:multiLevelType w:val="hybridMultilevel"/>
    <w:tmpl w:val="C316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3178D"/>
    <w:multiLevelType w:val="multilevel"/>
    <w:tmpl w:val="650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E09FB"/>
    <w:multiLevelType w:val="multilevel"/>
    <w:tmpl w:val="040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167D2"/>
    <w:multiLevelType w:val="multilevel"/>
    <w:tmpl w:val="579C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A134A"/>
    <w:multiLevelType w:val="multilevel"/>
    <w:tmpl w:val="67F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87B95"/>
    <w:multiLevelType w:val="multilevel"/>
    <w:tmpl w:val="9C0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03480"/>
    <w:multiLevelType w:val="multilevel"/>
    <w:tmpl w:val="BB3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A6D45"/>
    <w:multiLevelType w:val="multilevel"/>
    <w:tmpl w:val="A3D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51293"/>
    <w:multiLevelType w:val="multilevel"/>
    <w:tmpl w:val="98C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0414E"/>
    <w:multiLevelType w:val="multilevel"/>
    <w:tmpl w:val="F97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5178A"/>
    <w:multiLevelType w:val="multilevel"/>
    <w:tmpl w:val="900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47B86"/>
    <w:multiLevelType w:val="multilevel"/>
    <w:tmpl w:val="205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B1C15"/>
    <w:multiLevelType w:val="multilevel"/>
    <w:tmpl w:val="FE8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F04E0"/>
    <w:multiLevelType w:val="multilevel"/>
    <w:tmpl w:val="5CE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041723">
    <w:abstractNumId w:val="3"/>
  </w:num>
  <w:num w:numId="2" w16cid:durableId="908342845">
    <w:abstractNumId w:val="1"/>
  </w:num>
  <w:num w:numId="3" w16cid:durableId="1729180129">
    <w:abstractNumId w:val="6"/>
  </w:num>
  <w:num w:numId="4" w16cid:durableId="1669167708">
    <w:abstractNumId w:val="9"/>
  </w:num>
  <w:num w:numId="5" w16cid:durableId="2079278122">
    <w:abstractNumId w:val="16"/>
  </w:num>
  <w:num w:numId="6" w16cid:durableId="1400208633">
    <w:abstractNumId w:val="11"/>
  </w:num>
  <w:num w:numId="7" w16cid:durableId="325206690">
    <w:abstractNumId w:val="7"/>
  </w:num>
  <w:num w:numId="8" w16cid:durableId="1567839007">
    <w:abstractNumId w:val="8"/>
  </w:num>
  <w:num w:numId="9" w16cid:durableId="1883012702">
    <w:abstractNumId w:val="17"/>
  </w:num>
  <w:num w:numId="10" w16cid:durableId="1955136273">
    <w:abstractNumId w:val="0"/>
  </w:num>
  <w:num w:numId="11" w16cid:durableId="2086799268">
    <w:abstractNumId w:val="13"/>
  </w:num>
  <w:num w:numId="12" w16cid:durableId="1222131733">
    <w:abstractNumId w:val="12"/>
  </w:num>
  <w:num w:numId="13" w16cid:durableId="1377974930">
    <w:abstractNumId w:val="2"/>
  </w:num>
  <w:num w:numId="14" w16cid:durableId="1307927840">
    <w:abstractNumId w:val="10"/>
  </w:num>
  <w:num w:numId="15" w16cid:durableId="2057311542">
    <w:abstractNumId w:val="14"/>
  </w:num>
  <w:num w:numId="16" w16cid:durableId="359549464">
    <w:abstractNumId w:val="15"/>
  </w:num>
  <w:num w:numId="17" w16cid:durableId="1604612160">
    <w:abstractNumId w:val="5"/>
  </w:num>
  <w:num w:numId="18" w16cid:durableId="852184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0CA"/>
    <w:rsid w:val="00134B36"/>
    <w:rsid w:val="00223A5B"/>
    <w:rsid w:val="00377DED"/>
    <w:rsid w:val="0042792F"/>
    <w:rsid w:val="0043405D"/>
    <w:rsid w:val="005F714F"/>
    <w:rsid w:val="006002FC"/>
    <w:rsid w:val="00641EE8"/>
    <w:rsid w:val="00642EB3"/>
    <w:rsid w:val="0069348D"/>
    <w:rsid w:val="006A7C31"/>
    <w:rsid w:val="006F4208"/>
    <w:rsid w:val="00931F62"/>
    <w:rsid w:val="00984106"/>
    <w:rsid w:val="00997A3E"/>
    <w:rsid w:val="00A03F33"/>
    <w:rsid w:val="00AD6CB9"/>
    <w:rsid w:val="00AF1333"/>
    <w:rsid w:val="00B000CA"/>
    <w:rsid w:val="00C2250B"/>
    <w:rsid w:val="00CA38A3"/>
    <w:rsid w:val="00DA2044"/>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083091"/>
  <w15:chartTrackingRefBased/>
  <w15:docId w15:val="{09493368-14B5-384B-9276-6BBF64A9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0CA"/>
    <w:rPr>
      <w:rFonts w:eastAsiaTheme="majorEastAsia" w:cstheme="majorBidi"/>
      <w:color w:val="272727" w:themeColor="text1" w:themeTint="D8"/>
    </w:rPr>
  </w:style>
  <w:style w:type="paragraph" w:styleId="Title">
    <w:name w:val="Title"/>
    <w:basedOn w:val="Normal"/>
    <w:next w:val="Normal"/>
    <w:link w:val="TitleChar"/>
    <w:uiPriority w:val="10"/>
    <w:qFormat/>
    <w:rsid w:val="00B00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0CA"/>
    <w:pPr>
      <w:spacing w:before="160"/>
      <w:jc w:val="center"/>
    </w:pPr>
    <w:rPr>
      <w:i/>
      <w:iCs/>
      <w:color w:val="404040" w:themeColor="text1" w:themeTint="BF"/>
    </w:rPr>
  </w:style>
  <w:style w:type="character" w:customStyle="1" w:styleId="QuoteChar">
    <w:name w:val="Quote Char"/>
    <w:basedOn w:val="DefaultParagraphFont"/>
    <w:link w:val="Quote"/>
    <w:uiPriority w:val="29"/>
    <w:rsid w:val="00B000CA"/>
    <w:rPr>
      <w:i/>
      <w:iCs/>
      <w:color w:val="404040" w:themeColor="text1" w:themeTint="BF"/>
    </w:rPr>
  </w:style>
  <w:style w:type="paragraph" w:styleId="ListParagraph">
    <w:name w:val="List Paragraph"/>
    <w:basedOn w:val="Normal"/>
    <w:uiPriority w:val="34"/>
    <w:qFormat/>
    <w:rsid w:val="00B000CA"/>
    <w:pPr>
      <w:ind w:left="720"/>
      <w:contextualSpacing/>
    </w:pPr>
  </w:style>
  <w:style w:type="character" w:styleId="IntenseEmphasis">
    <w:name w:val="Intense Emphasis"/>
    <w:basedOn w:val="DefaultParagraphFont"/>
    <w:uiPriority w:val="21"/>
    <w:qFormat/>
    <w:rsid w:val="00B000CA"/>
    <w:rPr>
      <w:i/>
      <w:iCs/>
      <w:color w:val="0F4761" w:themeColor="accent1" w:themeShade="BF"/>
    </w:rPr>
  </w:style>
  <w:style w:type="paragraph" w:styleId="IntenseQuote">
    <w:name w:val="Intense Quote"/>
    <w:basedOn w:val="Normal"/>
    <w:next w:val="Normal"/>
    <w:link w:val="IntenseQuoteChar"/>
    <w:uiPriority w:val="30"/>
    <w:qFormat/>
    <w:rsid w:val="00B00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0CA"/>
    <w:rPr>
      <w:i/>
      <w:iCs/>
      <w:color w:val="0F4761" w:themeColor="accent1" w:themeShade="BF"/>
    </w:rPr>
  </w:style>
  <w:style w:type="character" w:styleId="IntenseReference">
    <w:name w:val="Intense Reference"/>
    <w:basedOn w:val="DefaultParagraphFont"/>
    <w:uiPriority w:val="32"/>
    <w:qFormat/>
    <w:rsid w:val="00B000CA"/>
    <w:rPr>
      <w:b/>
      <w:bCs/>
      <w:smallCaps/>
      <w:color w:val="0F4761" w:themeColor="accent1" w:themeShade="BF"/>
      <w:spacing w:val="5"/>
    </w:rPr>
  </w:style>
  <w:style w:type="paragraph" w:styleId="NormalWeb">
    <w:name w:val="Normal (Web)"/>
    <w:basedOn w:val="Normal"/>
    <w:uiPriority w:val="99"/>
    <w:semiHidden/>
    <w:unhideWhenUsed/>
    <w:rsid w:val="00B000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00CA"/>
    <w:rPr>
      <w:b/>
      <w:bCs/>
    </w:rPr>
  </w:style>
  <w:style w:type="character" w:styleId="Emphasis">
    <w:name w:val="Emphasis"/>
    <w:basedOn w:val="DefaultParagraphFont"/>
    <w:uiPriority w:val="20"/>
    <w:qFormat/>
    <w:rsid w:val="00B000CA"/>
    <w:rPr>
      <w:i/>
      <w:iCs/>
    </w:rPr>
  </w:style>
  <w:style w:type="character" w:styleId="HTMLCode">
    <w:name w:val="HTML Code"/>
    <w:basedOn w:val="DefaultParagraphFont"/>
    <w:uiPriority w:val="99"/>
    <w:semiHidden/>
    <w:unhideWhenUsed/>
    <w:rsid w:val="00B000CA"/>
    <w:rPr>
      <w:rFonts w:ascii="Courier New" w:eastAsia="Times New Roman" w:hAnsi="Courier New" w:cs="Courier New"/>
      <w:sz w:val="20"/>
      <w:szCs w:val="20"/>
    </w:rPr>
  </w:style>
  <w:style w:type="character" w:customStyle="1" w:styleId="ng-star-inserted">
    <w:name w:val="ng-star-inserted"/>
    <w:basedOn w:val="DefaultParagraphFont"/>
    <w:rsid w:val="00AD6CB9"/>
  </w:style>
  <w:style w:type="paragraph" w:customStyle="1" w:styleId="paragraph">
    <w:name w:val="paragraph"/>
    <w:basedOn w:val="Normal"/>
    <w:rsid w:val="00AD6C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Date">
    <w:name w:val="Date"/>
    <w:basedOn w:val="Normal"/>
    <w:next w:val="Normal"/>
    <w:link w:val="DateChar"/>
    <w:uiPriority w:val="99"/>
    <w:semiHidden/>
    <w:unhideWhenUsed/>
    <w:rsid w:val="0042792F"/>
  </w:style>
  <w:style w:type="character" w:customStyle="1" w:styleId="DateChar">
    <w:name w:val="Date Char"/>
    <w:basedOn w:val="DefaultParagraphFont"/>
    <w:link w:val="Date"/>
    <w:uiPriority w:val="99"/>
    <w:semiHidden/>
    <w:rsid w:val="0042792F"/>
  </w:style>
  <w:style w:type="character" w:styleId="Hyperlink">
    <w:name w:val="Hyperlink"/>
    <w:basedOn w:val="DefaultParagraphFont"/>
    <w:uiPriority w:val="99"/>
    <w:unhideWhenUsed/>
    <w:rsid w:val="0042792F"/>
    <w:rPr>
      <w:color w:val="467886" w:themeColor="hyperlink"/>
      <w:u w:val="single"/>
    </w:rPr>
  </w:style>
  <w:style w:type="character" w:styleId="UnresolvedMention">
    <w:name w:val="Unresolved Mention"/>
    <w:basedOn w:val="DefaultParagraphFont"/>
    <w:uiPriority w:val="99"/>
    <w:semiHidden/>
    <w:unhideWhenUsed/>
    <w:rsid w:val="0042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10</cp:revision>
  <dcterms:created xsi:type="dcterms:W3CDTF">2026-04-03T20:42:00Z</dcterms:created>
  <dcterms:modified xsi:type="dcterms:W3CDTF">2026-04-04T12:16:00Z</dcterms:modified>
</cp:coreProperties>
</file>