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5C56" w14:textId="77777777" w:rsidR="00CB1C75" w:rsidRPr="009F37F8" w:rsidRDefault="00CB1C75" w:rsidP="00CB1C75">
      <w:pPr>
        <w:pStyle w:val="Title"/>
        <w:rPr>
          <w:sz w:val="48"/>
          <w:szCs w:val="48"/>
        </w:rPr>
      </w:pPr>
      <w:r w:rsidRPr="009F37F8">
        <w:rPr>
          <w:sz w:val="48"/>
          <w:szCs w:val="48"/>
        </w:rPr>
        <w:t>ALETHEIA Architecture Overview</w:t>
      </w:r>
    </w:p>
    <w:p w14:paraId="1BD933F3" w14:textId="77777777" w:rsidR="00CB1C75" w:rsidRDefault="00CB1C75" w:rsidP="00CB1C75">
      <w:pPr>
        <w:pStyle w:val="Heading1"/>
        <w:spacing w:before="0" w:after="120"/>
      </w:pPr>
      <w:r>
        <w:t>Autonomous Specification-Driven Software Construction Platform</w:t>
      </w:r>
    </w:p>
    <w:p w14:paraId="76AAA98C" w14:textId="77777777" w:rsidR="00CB1C75" w:rsidRDefault="00CB1C75" w:rsidP="00CB1C75">
      <w:pPr>
        <w:pStyle w:val="Heading2"/>
        <w:spacing w:before="0" w:after="120"/>
      </w:pPr>
      <w:r>
        <w:t>1. Introduction</w:t>
      </w:r>
    </w:p>
    <w:p w14:paraId="0C374983" w14:textId="77777777" w:rsidR="00CB1C75" w:rsidRDefault="00CB1C75" w:rsidP="00CB1C75">
      <w:pPr>
        <w:pStyle w:val="NormalWeb"/>
        <w:spacing w:before="0" w:beforeAutospacing="0" w:after="120" w:afterAutospacing="0"/>
      </w:pPr>
      <w:r>
        <w:t xml:space="preserve">Project </w:t>
      </w:r>
      <w:r>
        <w:rPr>
          <w:rStyle w:val="Strong"/>
        </w:rPr>
        <w:t>ALETHEIA</w:t>
      </w:r>
      <w:r>
        <w:t xml:space="preserve"> is an architectural framework for autonomous software construction. The platform is designed to transform structured system specifications into working software systems through coordinated reasoning agents, deterministic engineering tools, and a runtime orchestration engine.</w:t>
      </w:r>
    </w:p>
    <w:p w14:paraId="400BDE90" w14:textId="77777777" w:rsidR="00CB1C75" w:rsidRDefault="00CB1C75" w:rsidP="00CB1C75">
      <w:pPr>
        <w:pStyle w:val="NormalWeb"/>
        <w:spacing w:before="0" w:beforeAutospacing="0" w:after="120" w:afterAutospacing="0"/>
      </w:pPr>
      <w:r>
        <w:t>Traditional software development relies on human teams performing a sequence of activities that translate requirements into implementation artifacts. ALETHEIA introduces an alternative paradigm in which many of these activities are executed autonomously by a platform that interprets formal specifications and constructs the system accordingly.</w:t>
      </w:r>
    </w:p>
    <w:p w14:paraId="22660817" w14:textId="77777777" w:rsidR="00CB1C75" w:rsidRDefault="00CB1C75" w:rsidP="00CB1C75">
      <w:pPr>
        <w:pStyle w:val="NormalWeb"/>
        <w:spacing w:before="0" w:beforeAutospacing="0" w:after="120" w:afterAutospacing="0"/>
      </w:pPr>
      <w:r>
        <w:t xml:space="preserve">The result is a development process centered around </w:t>
      </w:r>
      <w:r>
        <w:rPr>
          <w:rStyle w:val="Strong"/>
        </w:rPr>
        <w:t>architectural intent rather than manual code production</w:t>
      </w:r>
      <w:r>
        <w:t>.</w:t>
      </w:r>
    </w:p>
    <w:p w14:paraId="3F5122A9" w14:textId="77777777" w:rsidR="00CB1C75" w:rsidRDefault="00CB1C75" w:rsidP="00CB1C75">
      <w:pPr>
        <w:pStyle w:val="Heading2"/>
        <w:spacing w:before="0" w:after="120"/>
      </w:pPr>
      <w:r>
        <w:t>2. Architectural Philosophy</w:t>
      </w:r>
    </w:p>
    <w:p w14:paraId="26AB921A" w14:textId="77777777" w:rsidR="00CB1C75" w:rsidRDefault="00CB1C75" w:rsidP="00CB1C75">
      <w:pPr>
        <w:pStyle w:val="NormalWeb"/>
        <w:spacing w:before="0" w:beforeAutospacing="0" w:after="120" w:afterAutospacing="0"/>
      </w:pPr>
      <w:r>
        <w:t xml:space="preserve">ALETHEIA is built on the principle that software systems can be constructed in a manner </w:t>
      </w:r>
      <w:proofErr w:type="gramStart"/>
      <w:r>
        <w:t>similar to</w:t>
      </w:r>
      <w:proofErr w:type="gramEnd"/>
      <w:r>
        <w:t xml:space="preserve"> physical architecture. In traditional construction, architects define blueprints describing the structure of a building, planners organize the work required to realize the design, and skilled workers execute the construction tasks.</w:t>
      </w:r>
    </w:p>
    <w:p w14:paraId="1F10A7B8" w14:textId="77777777" w:rsidR="00CB1C75" w:rsidRDefault="00CB1C75" w:rsidP="00CB1C75">
      <w:pPr>
        <w:pStyle w:val="NormalWeb"/>
        <w:spacing w:before="0" w:beforeAutospacing="0" w:after="120" w:afterAutospacing="0"/>
      </w:pPr>
      <w:r>
        <w:t>In the ALETHEIA platform, specifications serve as the blueprint, the planning engine defines the construction workflow, reasoning agents perform generative and analytical tasks, and deterministic engineering tools validate the resulting artifacts.</w:t>
      </w:r>
    </w:p>
    <w:p w14:paraId="5CFF0121" w14:textId="77777777" w:rsidR="00CB1C75" w:rsidRDefault="00CB1C75" w:rsidP="00CB1C75">
      <w:pPr>
        <w:pStyle w:val="NormalWeb"/>
        <w:spacing w:before="0" w:beforeAutospacing="0" w:after="120" w:afterAutospacing="0"/>
      </w:pPr>
      <w:r>
        <w:t>This architectural metaphor guides the design of the entire platform.</w:t>
      </w:r>
    </w:p>
    <w:p w14:paraId="3DDB2D2C" w14:textId="77777777" w:rsidR="00CB1C75" w:rsidRDefault="00CB1C75" w:rsidP="00CB1C75">
      <w:pPr>
        <w:pStyle w:val="Heading2"/>
        <w:spacing w:before="0" w:after="120"/>
      </w:pPr>
      <w:r>
        <w:t>3. The Role of the ALETHEIA Specification Language</w:t>
      </w:r>
    </w:p>
    <w:p w14:paraId="1C60D730" w14:textId="77777777" w:rsidR="00CB1C75" w:rsidRDefault="00CB1C75" w:rsidP="00CB1C75">
      <w:pPr>
        <w:pStyle w:val="NormalWeb"/>
        <w:spacing w:before="0" w:beforeAutospacing="0" w:after="120" w:afterAutospacing="0"/>
      </w:pPr>
      <w:r>
        <w:t xml:space="preserve">At the center of the ALETHEIA architecture lies the </w:t>
      </w:r>
      <w:r>
        <w:rPr>
          <w:rStyle w:val="Strong"/>
        </w:rPr>
        <w:t>ALETHEIA Specification Language (ISL)</w:t>
      </w:r>
      <w:r>
        <w:t>. ISL provides a formal method for describing the structure, behavior, and constraints of a system.</w:t>
      </w:r>
    </w:p>
    <w:p w14:paraId="4A2C1CFC" w14:textId="77777777" w:rsidR="00CB1C75" w:rsidRDefault="00CB1C75" w:rsidP="00CB1C75">
      <w:pPr>
        <w:pStyle w:val="NormalWeb"/>
        <w:spacing w:before="0" w:beforeAutospacing="0" w:after="120" w:afterAutospacing="0"/>
      </w:pPr>
      <w:r>
        <w:t>Specifications written in ISL describe the intended capabilities of a system rather than its implementation details. These specifications are interpreted by the platform and transformed into a semantic model representing the architecture of the system.</w:t>
      </w:r>
    </w:p>
    <w:p w14:paraId="1960D381" w14:textId="77777777" w:rsidR="00CB1C75" w:rsidRDefault="00CB1C75" w:rsidP="00CB1C75">
      <w:pPr>
        <w:pStyle w:val="NormalWeb"/>
        <w:spacing w:before="0" w:beforeAutospacing="0" w:after="120" w:afterAutospacing="0"/>
      </w:pPr>
      <w:r>
        <w:t>The semantic model becomes the primary knowledge representation used by the planning and construction components of the platform.</w:t>
      </w:r>
    </w:p>
    <w:p w14:paraId="329EBB2E" w14:textId="77777777" w:rsidR="00CB1C75" w:rsidRDefault="00CB1C75" w:rsidP="00CB1C75">
      <w:pPr>
        <w:pStyle w:val="NormalWeb"/>
        <w:spacing w:before="0" w:beforeAutospacing="0" w:after="120" w:afterAutospacing="0"/>
      </w:pPr>
      <w:r>
        <w:t xml:space="preserve">Through ISL, the platform establishes a clear boundary between </w:t>
      </w:r>
      <w:r>
        <w:rPr>
          <w:rStyle w:val="Strong"/>
        </w:rPr>
        <w:t>design intent and implementation mechanics</w:t>
      </w:r>
      <w:r>
        <w:t>.</w:t>
      </w:r>
    </w:p>
    <w:p w14:paraId="0E7F99D9" w14:textId="77777777" w:rsidR="00CB1C75" w:rsidRDefault="00CB1C75" w:rsidP="00CB1C75">
      <w:pPr>
        <w:pStyle w:val="Heading2"/>
        <w:spacing w:before="0" w:after="120"/>
      </w:pPr>
      <w:r>
        <w:lastRenderedPageBreak/>
        <w:t>4. Platform Architecture Overview</w:t>
      </w:r>
    </w:p>
    <w:p w14:paraId="503DCDE8" w14:textId="77777777" w:rsidR="00CB1C75" w:rsidRDefault="00CB1C75" w:rsidP="00CB1C75">
      <w:pPr>
        <w:pStyle w:val="NormalWeb"/>
        <w:spacing w:before="0" w:beforeAutospacing="0" w:after="120" w:afterAutospacing="0"/>
      </w:pPr>
      <w:r>
        <w:t>The ALETHEIA platform is composed of several major subsystems that collaborate to transform specifications into working software systems.</w:t>
      </w:r>
    </w:p>
    <w:p w14:paraId="6E112055" w14:textId="77777777" w:rsidR="00CB1C75" w:rsidRDefault="00CB1C75" w:rsidP="00CB1C75">
      <w:pPr>
        <w:pStyle w:val="NormalWeb"/>
        <w:spacing w:before="0" w:beforeAutospacing="0" w:after="120" w:afterAutospacing="0"/>
      </w:pPr>
      <w:r>
        <w:t xml:space="preserve">The process begins when a specification is submitted to the </w:t>
      </w:r>
      <w:r>
        <w:rPr>
          <w:rStyle w:val="Strong"/>
        </w:rPr>
        <w:t>Specification Engine</w:t>
      </w:r>
      <w:r>
        <w:t>, which parses the document and converts it into a canonical semantic model. This model captures the architectural elements of the system in a structured form.</w:t>
      </w:r>
    </w:p>
    <w:p w14:paraId="22126207" w14:textId="77777777" w:rsidR="00CB1C75" w:rsidRDefault="00CB1C75" w:rsidP="00CB1C75">
      <w:pPr>
        <w:pStyle w:val="NormalWeb"/>
        <w:spacing w:before="0" w:beforeAutospacing="0" w:after="120" w:afterAutospacing="0"/>
      </w:pPr>
      <w:r>
        <w:t xml:space="preserve">The </w:t>
      </w:r>
      <w:r>
        <w:rPr>
          <w:rStyle w:val="Strong"/>
        </w:rPr>
        <w:t>Planning Engine</w:t>
      </w:r>
      <w:r>
        <w:t xml:space="preserve"> analyzes the semantic model and generates a task graph describing the steps required to construct the system. This task graph represents the operational blueprint for the construction process.</w:t>
      </w:r>
    </w:p>
    <w:p w14:paraId="364777D7" w14:textId="77777777" w:rsidR="00CB1C75" w:rsidRDefault="00CB1C75" w:rsidP="00CB1C75">
      <w:pPr>
        <w:pStyle w:val="NormalWeb"/>
        <w:spacing w:before="0" w:beforeAutospacing="0" w:after="120" w:afterAutospacing="0"/>
      </w:pPr>
      <w:r>
        <w:t xml:space="preserve">The </w:t>
      </w:r>
      <w:r>
        <w:rPr>
          <w:rStyle w:val="Strong"/>
        </w:rPr>
        <w:t>Runtime Orchestration System</w:t>
      </w:r>
      <w:r>
        <w:t xml:space="preserve"> executes the task graph by coordinating reasoning agents and deterministic engineering tools. Agents perform tasks that require interpretation or generation, while deterministic tools validate the resulting artifacts.</w:t>
      </w:r>
    </w:p>
    <w:p w14:paraId="6ECD5004" w14:textId="77777777" w:rsidR="00CB1C75" w:rsidRDefault="00CB1C75" w:rsidP="00CB1C75">
      <w:pPr>
        <w:pStyle w:val="NormalWeb"/>
        <w:spacing w:before="0" w:beforeAutospacing="0" w:after="120" w:afterAutospacing="0"/>
      </w:pPr>
      <w:r>
        <w:t>This architecture enables the platform to perform the activities traditionally associated with the software development lifecycle.</w:t>
      </w:r>
    </w:p>
    <w:p w14:paraId="55838C48" w14:textId="77777777" w:rsidR="00CB1C75" w:rsidRDefault="00CB1C75" w:rsidP="00CB1C75">
      <w:pPr>
        <w:pStyle w:val="Heading2"/>
        <w:spacing w:before="0" w:after="120"/>
      </w:pPr>
      <w:r>
        <w:t>5. Reasoning Agents</w:t>
      </w:r>
    </w:p>
    <w:p w14:paraId="32A9967A" w14:textId="77777777" w:rsidR="00CB1C75" w:rsidRDefault="00CB1C75" w:rsidP="00CB1C75">
      <w:pPr>
        <w:pStyle w:val="NormalWeb"/>
        <w:spacing w:before="0" w:beforeAutospacing="0" w:after="120" w:afterAutospacing="0"/>
      </w:pPr>
      <w:r>
        <w:t>Reasoning agents represent the cognitive workforce of the ALETHEIA platform. Each agent performs a specialized role within the construction process, such as interpreting specifications, generating code artifacts, analyzing validation failures, or reviewing generated implementations.</w:t>
      </w:r>
    </w:p>
    <w:p w14:paraId="2EFE8483" w14:textId="77777777" w:rsidR="00CB1C75" w:rsidRDefault="00CB1C75" w:rsidP="00CB1C75">
      <w:pPr>
        <w:pStyle w:val="NormalWeb"/>
        <w:spacing w:before="0" w:beforeAutospacing="0" w:after="120" w:afterAutospacing="0"/>
      </w:pPr>
      <w:r>
        <w:t>Agents operate using AI models accessed through a model abstraction layer. This layer allows the platform to interact with different model providers while maintaining a consistent interaction protocol.</w:t>
      </w:r>
    </w:p>
    <w:p w14:paraId="752E6649" w14:textId="77777777" w:rsidR="00CB1C75" w:rsidRDefault="00CB1C75" w:rsidP="00CB1C75">
      <w:pPr>
        <w:pStyle w:val="NormalWeb"/>
        <w:spacing w:before="0" w:beforeAutospacing="0" w:after="120" w:afterAutospacing="0"/>
      </w:pPr>
      <w:r>
        <w:t>By organizing reasoning activities into specialized agent roles, the platform maintains clarity and modularity in the autonomous construction process.</w:t>
      </w:r>
    </w:p>
    <w:p w14:paraId="1016F06A" w14:textId="77777777" w:rsidR="00CB1C75" w:rsidRDefault="00CB1C75" w:rsidP="00CB1C75">
      <w:pPr>
        <w:pStyle w:val="Heading2"/>
        <w:spacing w:before="0" w:after="120"/>
      </w:pPr>
      <w:r>
        <w:t>6. Deterministic Engineering Tools</w:t>
      </w:r>
    </w:p>
    <w:p w14:paraId="5B11C994" w14:textId="77777777" w:rsidR="00CB1C75" w:rsidRDefault="00CB1C75" w:rsidP="00CB1C75">
      <w:pPr>
        <w:pStyle w:val="NormalWeb"/>
        <w:spacing w:before="0" w:beforeAutospacing="0" w:after="120" w:afterAutospacing="0"/>
      </w:pPr>
      <w:r>
        <w:t>While reasoning agents provide interpretive and generative capabilities, deterministic engineering tools provide the verification mechanisms required to ensure correctness.</w:t>
      </w:r>
    </w:p>
    <w:p w14:paraId="546F2003" w14:textId="77777777" w:rsidR="00CB1C75" w:rsidRDefault="00CB1C75" w:rsidP="00CB1C75">
      <w:pPr>
        <w:pStyle w:val="NormalWeb"/>
        <w:spacing w:before="0" w:beforeAutospacing="0" w:after="120" w:afterAutospacing="0"/>
      </w:pPr>
      <w:r>
        <w:t>These tools include compilers, testing frameworks, static analysis systems, security scanners, and infrastructure management tools. They are integrated into the platform through a plugin-based architecture that allows tools to be invoked as part of the construction workflow.</w:t>
      </w:r>
    </w:p>
    <w:p w14:paraId="462BE67C" w14:textId="77777777" w:rsidR="00CB1C75" w:rsidRDefault="00CB1C75" w:rsidP="00CB1C75">
      <w:pPr>
        <w:pStyle w:val="NormalWeb"/>
        <w:spacing w:before="0" w:beforeAutospacing="0" w:after="120" w:afterAutospacing="0"/>
      </w:pPr>
      <w:r>
        <w:t>Deterministic validation ensures that artifacts generated by reasoning agents meet the standards required for production systems.</w:t>
      </w:r>
    </w:p>
    <w:p w14:paraId="1D360342" w14:textId="77777777" w:rsidR="00CB1C75" w:rsidRDefault="00CB1C75" w:rsidP="00CB1C75">
      <w:pPr>
        <w:pStyle w:val="Heading2"/>
        <w:spacing w:before="0" w:after="120"/>
      </w:pPr>
      <w:r>
        <w:t>7. Runtime Orchestration</w:t>
      </w:r>
    </w:p>
    <w:p w14:paraId="3C27B725" w14:textId="77777777" w:rsidR="00CB1C75" w:rsidRDefault="00CB1C75" w:rsidP="00CB1C75">
      <w:pPr>
        <w:pStyle w:val="NormalWeb"/>
        <w:spacing w:before="0" w:beforeAutospacing="0" w:after="120" w:afterAutospacing="0"/>
      </w:pPr>
      <w:r>
        <w:t>The runtime orchestration system coordinates all operational activities within the platform. It manages the execution of the task graph, schedules agent and tool invocations, and maintains the state of the construction workflow.</w:t>
      </w:r>
    </w:p>
    <w:p w14:paraId="5AA9DACF" w14:textId="77777777" w:rsidR="00CB1C75" w:rsidRDefault="00CB1C75" w:rsidP="00CB1C75">
      <w:pPr>
        <w:pStyle w:val="NormalWeb"/>
        <w:spacing w:before="0" w:beforeAutospacing="0" w:after="120" w:afterAutospacing="0"/>
      </w:pPr>
      <w:r>
        <w:t>The runtime also handles repair cycles when validation failures occur. In such cases, repair agents analyze the failure and generate revised artifacts that address the detected issues.</w:t>
      </w:r>
    </w:p>
    <w:p w14:paraId="413C2545" w14:textId="77777777" w:rsidR="00CB1C75" w:rsidRDefault="00CB1C75" w:rsidP="00CB1C75">
      <w:pPr>
        <w:pStyle w:val="NormalWeb"/>
        <w:spacing w:before="0" w:beforeAutospacing="0" w:after="120" w:afterAutospacing="0"/>
      </w:pPr>
      <w:r>
        <w:lastRenderedPageBreak/>
        <w:t>Through this orchestration system, the platform performs a continuous cycle of generation, validation, and refinement until the system converges toward a stable implementation.</w:t>
      </w:r>
    </w:p>
    <w:p w14:paraId="3B6E9B63" w14:textId="77777777" w:rsidR="00CB1C75" w:rsidRDefault="00CB1C75" w:rsidP="00CB1C75">
      <w:pPr>
        <w:pStyle w:val="Heading2"/>
        <w:spacing w:before="0" w:after="120"/>
      </w:pPr>
      <w:r>
        <w:t>8. The Autonomous Development Loop</w:t>
      </w:r>
    </w:p>
    <w:p w14:paraId="1D4BFE35" w14:textId="77777777" w:rsidR="00CB1C75" w:rsidRDefault="00CB1C75" w:rsidP="00CB1C75">
      <w:pPr>
        <w:pStyle w:val="NormalWeb"/>
        <w:spacing w:before="0" w:beforeAutospacing="0" w:after="120" w:afterAutospacing="0"/>
      </w:pPr>
      <w:r>
        <w:t>The ALETHEIA platform implements an autonomous development loop that mirrors the traditional phases of the software development lifecycle.</w:t>
      </w:r>
    </w:p>
    <w:p w14:paraId="0763F78C" w14:textId="77777777" w:rsidR="00CB1C75" w:rsidRDefault="00CB1C75" w:rsidP="00CB1C75">
      <w:pPr>
        <w:pStyle w:val="NormalWeb"/>
        <w:spacing w:before="0" w:beforeAutospacing="0" w:after="120" w:afterAutospacing="0"/>
      </w:pPr>
      <w:r>
        <w:t>The process begins with specification interpretation and planning. The platform then generates implementation artifacts and validates them using deterministic tools. When validation failures occur, repair cycles refine the artifacts until the system satisfies all constraints.</w:t>
      </w:r>
    </w:p>
    <w:p w14:paraId="211C637E" w14:textId="77777777" w:rsidR="00CB1C75" w:rsidRDefault="00CB1C75" w:rsidP="00CB1C75">
      <w:pPr>
        <w:pStyle w:val="NormalWeb"/>
        <w:spacing w:before="0" w:beforeAutospacing="0" w:after="120" w:afterAutospacing="0"/>
      </w:pPr>
      <w:r>
        <w:t>Once the system converges, the platform packages the artifacts and prepares them for deployment.</w:t>
      </w:r>
    </w:p>
    <w:p w14:paraId="5921A400" w14:textId="77777777" w:rsidR="00CB1C75" w:rsidRDefault="00CB1C75" w:rsidP="00CB1C75">
      <w:pPr>
        <w:pStyle w:val="NormalWeb"/>
        <w:spacing w:before="0" w:beforeAutospacing="0" w:after="120" w:afterAutospacing="0"/>
      </w:pPr>
      <w:r>
        <w:t>This continuous loop replaces the traditional sequence of manual development phases with an integrated autonomous process.</w:t>
      </w:r>
    </w:p>
    <w:p w14:paraId="7A9D7BEC" w14:textId="77777777" w:rsidR="00CB1C75" w:rsidRDefault="00CB1C75" w:rsidP="00CB1C75">
      <w:pPr>
        <w:pStyle w:val="Heading2"/>
        <w:spacing w:before="0" w:after="120"/>
      </w:pPr>
      <w:r>
        <w:t>9. Observability and Traceability</w:t>
      </w:r>
    </w:p>
    <w:p w14:paraId="06A80A78" w14:textId="77777777" w:rsidR="00CB1C75" w:rsidRDefault="00CB1C75" w:rsidP="00CB1C75">
      <w:pPr>
        <w:pStyle w:val="NormalWeb"/>
        <w:spacing w:before="0" w:beforeAutospacing="0" w:after="120" w:afterAutospacing="0"/>
      </w:pPr>
      <w:r>
        <w:t>Because the platform performs complex autonomous activities, transparency is essential. ALETHEIA includes observability and traceability mechanisms that record the actions performed during construction.</w:t>
      </w:r>
    </w:p>
    <w:p w14:paraId="77A64946" w14:textId="77777777" w:rsidR="00CB1C75" w:rsidRDefault="00CB1C75" w:rsidP="00CB1C75">
      <w:pPr>
        <w:pStyle w:val="NormalWeb"/>
        <w:spacing w:before="0" w:beforeAutospacing="0" w:after="120" w:afterAutospacing="0"/>
      </w:pPr>
      <w:r>
        <w:t>Telemetry provides insight into task execution, agent activity, tool performance, and validation outcomes. Traceability mechanisms link generated artifacts back to the specification elements that motivated their creation.</w:t>
      </w:r>
    </w:p>
    <w:p w14:paraId="4155FEA9" w14:textId="77777777" w:rsidR="00CB1C75" w:rsidRDefault="00CB1C75" w:rsidP="00CB1C75">
      <w:pPr>
        <w:pStyle w:val="NormalWeb"/>
        <w:spacing w:before="0" w:beforeAutospacing="0" w:after="120" w:afterAutospacing="0"/>
      </w:pPr>
      <w:r>
        <w:t>These mechanisms ensure that the autonomous development process remains transparent, auditable, and understandable.</w:t>
      </w:r>
    </w:p>
    <w:p w14:paraId="1B177988" w14:textId="77777777" w:rsidR="00CB1C75" w:rsidRDefault="00CB1C75" w:rsidP="00CB1C75">
      <w:pPr>
        <w:pStyle w:val="Heading2"/>
        <w:spacing w:before="0" w:after="120"/>
      </w:pPr>
      <w:r>
        <w:t>10. Security and Governance</w:t>
      </w:r>
    </w:p>
    <w:p w14:paraId="6E9E0B9A" w14:textId="77777777" w:rsidR="00CB1C75" w:rsidRDefault="00CB1C75" w:rsidP="00CB1C75">
      <w:pPr>
        <w:pStyle w:val="NormalWeb"/>
        <w:spacing w:before="0" w:beforeAutospacing="0" w:after="120" w:afterAutospacing="0"/>
      </w:pPr>
      <w:r>
        <w:t>The ALETHEIA platform operates within a structured governance and security framework. Security controls ensure that model interactions, tool executions, and artifact generation activities occur within controlled environments.</w:t>
      </w:r>
    </w:p>
    <w:p w14:paraId="403011CD" w14:textId="77777777" w:rsidR="00CB1C75" w:rsidRDefault="00CB1C75" w:rsidP="00CB1C75">
      <w:pPr>
        <w:pStyle w:val="NormalWeb"/>
        <w:spacing w:before="0" w:beforeAutospacing="0" w:after="120" w:afterAutospacing="0"/>
      </w:pPr>
      <w:r>
        <w:t>Governance policies regulate how specifications are interpreted, which models and tools may be used, and how generated artifacts are validated before deployment.</w:t>
      </w:r>
    </w:p>
    <w:p w14:paraId="0F27ACE2" w14:textId="77777777" w:rsidR="00CB1C75" w:rsidRDefault="00CB1C75" w:rsidP="00CB1C75">
      <w:pPr>
        <w:pStyle w:val="NormalWeb"/>
        <w:spacing w:before="0" w:beforeAutospacing="0" w:after="120" w:afterAutospacing="0"/>
      </w:pPr>
      <w:r>
        <w:t>These mechanisms allow organizations to adopt autonomous development practices without compromising compliance or operational integrity.</w:t>
      </w:r>
    </w:p>
    <w:p w14:paraId="0020118D" w14:textId="77777777" w:rsidR="00CB1C75" w:rsidRDefault="00CB1C75" w:rsidP="00CB1C75">
      <w:pPr>
        <w:pStyle w:val="Heading2"/>
        <w:spacing w:before="0" w:after="120"/>
      </w:pPr>
      <w:r>
        <w:t>11. Deployment and Scalability</w:t>
      </w:r>
    </w:p>
    <w:p w14:paraId="694E1195" w14:textId="77777777" w:rsidR="00CB1C75" w:rsidRDefault="00CB1C75" w:rsidP="00CB1C75">
      <w:pPr>
        <w:pStyle w:val="NormalWeb"/>
        <w:spacing w:before="0" w:beforeAutospacing="0" w:after="120" w:afterAutospacing="0"/>
      </w:pPr>
      <w:r>
        <w:t>The ALETHEIA architecture supports deployment across a range of environments. The platform can operate on a single workstation using locally hosted models, within enterprise datacenters, or in distributed infrastructure environments.</w:t>
      </w:r>
    </w:p>
    <w:p w14:paraId="73056648" w14:textId="77777777" w:rsidR="00CB1C75" w:rsidRDefault="00CB1C75" w:rsidP="00CB1C75">
      <w:pPr>
        <w:pStyle w:val="NormalWeb"/>
        <w:spacing w:before="0" w:beforeAutospacing="0" w:after="120" w:afterAutospacing="0"/>
      </w:pPr>
      <w:r>
        <w:t>Its modular architecture allows individual components such as the runtime engine, model gateway, and tool integrations to scale independently as system complexity increases.</w:t>
      </w:r>
    </w:p>
    <w:p w14:paraId="3131C8A0" w14:textId="77777777" w:rsidR="00CB1C75" w:rsidRDefault="00CB1C75" w:rsidP="00CB1C75">
      <w:pPr>
        <w:pStyle w:val="NormalWeb"/>
        <w:spacing w:before="0" w:beforeAutospacing="0" w:after="120" w:afterAutospacing="0"/>
      </w:pPr>
      <w:r>
        <w:t>This flexibility ensures that the platform can evolve alongside the systems it constructs.</w:t>
      </w:r>
    </w:p>
    <w:p w14:paraId="5DEA6E53" w14:textId="77777777" w:rsidR="00CB1C75" w:rsidRDefault="00CB1C75" w:rsidP="00CB1C75">
      <w:pPr>
        <w:pStyle w:val="Heading2"/>
        <w:spacing w:before="0" w:after="120"/>
      </w:pPr>
      <w:r>
        <w:lastRenderedPageBreak/>
        <w:t>12. The ALETHEIA Ecosystem</w:t>
      </w:r>
    </w:p>
    <w:p w14:paraId="05975BF2" w14:textId="77777777" w:rsidR="00CB1C75" w:rsidRDefault="00CB1C75" w:rsidP="00CB1C75">
      <w:pPr>
        <w:pStyle w:val="NormalWeb"/>
        <w:spacing w:before="0" w:beforeAutospacing="0" w:after="120" w:afterAutospacing="0"/>
      </w:pPr>
      <w:r>
        <w:t>Beyond the core platform, ALETHEIA is intended to support a broader ecosystem of specifications, agents, tools, and domain-specific extensions. Organizations may develop specialized specification templates, integrate custom engineering tools, or extend the reasoning capabilities of the platform.</w:t>
      </w:r>
    </w:p>
    <w:p w14:paraId="1AAEF4B6" w14:textId="77777777" w:rsidR="00CB1C75" w:rsidRDefault="00CB1C75" w:rsidP="00CB1C75">
      <w:pPr>
        <w:pStyle w:val="NormalWeb"/>
        <w:spacing w:before="0" w:beforeAutospacing="0" w:after="120" w:afterAutospacing="0"/>
      </w:pPr>
      <w:r>
        <w:t>Through open collaboration, the ecosystem may grow to support a wide range of software engineering domains.</w:t>
      </w:r>
    </w:p>
    <w:p w14:paraId="44EE9A85" w14:textId="77777777" w:rsidR="00CB1C75" w:rsidRDefault="00CB1C75" w:rsidP="00CB1C75">
      <w:pPr>
        <w:pStyle w:val="NormalWeb"/>
        <w:spacing w:before="0" w:beforeAutospacing="0" w:after="120" w:afterAutospacing="0"/>
      </w:pPr>
      <w:r>
        <w:t>This ecosystem model encourages innovation while maintaining architectural coherence.</w:t>
      </w:r>
    </w:p>
    <w:p w14:paraId="10AAC732" w14:textId="77777777" w:rsidR="00CB1C75" w:rsidRDefault="00CB1C75" w:rsidP="00CB1C75">
      <w:pPr>
        <w:pStyle w:val="Heading2"/>
        <w:spacing w:before="0" w:after="120"/>
      </w:pPr>
      <w:r>
        <w:t>13. The Vision of Autonomous Construction</w:t>
      </w:r>
    </w:p>
    <w:p w14:paraId="02A88BB4" w14:textId="77777777" w:rsidR="00CB1C75" w:rsidRDefault="00CB1C75" w:rsidP="00CB1C75">
      <w:pPr>
        <w:pStyle w:val="NormalWeb"/>
        <w:spacing w:before="0" w:beforeAutospacing="0" w:after="120" w:afterAutospacing="0"/>
      </w:pPr>
      <w:r>
        <w:t>Project ALETHEIA represents an effort to redefine the relationship between human expertise and software construction. Rather than writing every line of code manually, engineers describe the architecture and intent of a system through formal specifications.</w:t>
      </w:r>
    </w:p>
    <w:p w14:paraId="17043742" w14:textId="77777777" w:rsidR="00CB1C75" w:rsidRDefault="00CB1C75" w:rsidP="00CB1C75">
      <w:pPr>
        <w:pStyle w:val="NormalWeb"/>
        <w:spacing w:before="0" w:beforeAutospacing="0" w:after="120" w:afterAutospacing="0"/>
      </w:pPr>
      <w:r>
        <w:t>The platform then performs the mechanical activities required to realize that design.</w:t>
      </w:r>
    </w:p>
    <w:p w14:paraId="17C8A1AB" w14:textId="77777777" w:rsidR="00CB1C75" w:rsidRDefault="00CB1C75" w:rsidP="00CB1C75">
      <w:pPr>
        <w:pStyle w:val="NormalWeb"/>
        <w:spacing w:before="0" w:beforeAutospacing="0" w:after="120" w:afterAutospacing="0"/>
      </w:pPr>
      <w:r>
        <w:t>In this vision, software engineering becomes increasingly focused on architecture, design, and governance, while autonomous systems perform the repetitive and error-prone aspects of development.</w:t>
      </w:r>
    </w:p>
    <w:p w14:paraId="06EEDA91" w14:textId="77777777" w:rsidR="00CB1C75" w:rsidRDefault="00CB1C75" w:rsidP="00CB1C75">
      <w:pPr>
        <w:pStyle w:val="Heading2"/>
        <w:spacing w:before="0" w:after="120"/>
      </w:pPr>
      <w:r>
        <w:t>14. Conclusion</w:t>
      </w:r>
    </w:p>
    <w:p w14:paraId="14439E0E" w14:textId="77777777" w:rsidR="00CB1C75" w:rsidRDefault="00CB1C75" w:rsidP="00CB1C75">
      <w:pPr>
        <w:pStyle w:val="NormalWeb"/>
        <w:spacing w:before="0" w:beforeAutospacing="0" w:after="120" w:afterAutospacing="0"/>
      </w:pPr>
      <w:r>
        <w:t>The ALETHEIA architecture provides a framework for specification-driven autonomous software construction. Through its specification language, planning engine, reasoning agents, deterministic tool integrations, and runtime orchestration system, the platform transforms architectural intent into functioning software systems.</w:t>
      </w:r>
    </w:p>
    <w:p w14:paraId="01134D77" w14:textId="77777777" w:rsidR="00CB1C75" w:rsidRDefault="00CB1C75" w:rsidP="00CB1C75">
      <w:pPr>
        <w:pStyle w:val="NormalWeb"/>
        <w:spacing w:before="0" w:beforeAutospacing="0" w:after="120" w:afterAutospacing="0"/>
      </w:pPr>
      <w:r>
        <w:t>This approach offers the potential to accelerate development, improve consistency, and enable new forms of collaboration between human designers and autonomous engineering systems.</w:t>
      </w:r>
    </w:p>
    <w:p w14:paraId="5C8F818E" w14:textId="77777777" w:rsidR="00CB1C75" w:rsidRDefault="00CB1C75" w:rsidP="00CB1C75">
      <w:pPr>
        <w:pStyle w:val="NormalWeb"/>
        <w:spacing w:before="0" w:beforeAutospacing="0" w:after="120" w:afterAutospacing="0"/>
      </w:pPr>
      <w:r>
        <w:t>ALETHEIA therefore represents an architectural step toward the future of software engineering.</w:t>
      </w:r>
    </w:p>
    <w:p w14:paraId="0DE6FEDE" w14:textId="460F542E" w:rsidR="006A7C31" w:rsidRPr="001438EF" w:rsidRDefault="006A7C31">
      <w:pPr>
        <w:rPr>
          <w:rFonts w:ascii="Arial" w:eastAsia="Times New Roman" w:hAnsi="Arial" w:cs="Arial"/>
          <w:kern w:val="0"/>
          <w14:ligatures w14:val="none"/>
        </w:rPr>
      </w:pPr>
    </w:p>
    <w:sectPr w:rsidR="006A7C31" w:rsidRPr="001438EF"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75"/>
    <w:rsid w:val="000F2FD1"/>
    <w:rsid w:val="001438EF"/>
    <w:rsid w:val="00223A5B"/>
    <w:rsid w:val="002E0B44"/>
    <w:rsid w:val="005F714F"/>
    <w:rsid w:val="00616405"/>
    <w:rsid w:val="006532EB"/>
    <w:rsid w:val="006A7C31"/>
    <w:rsid w:val="006F4208"/>
    <w:rsid w:val="00984106"/>
    <w:rsid w:val="00997A3E"/>
    <w:rsid w:val="00C2250B"/>
    <w:rsid w:val="00CA38A3"/>
    <w:rsid w:val="00CB1C75"/>
    <w:rsid w:val="00CF673E"/>
    <w:rsid w:val="00D31C5A"/>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F1606B"/>
  <w15:chartTrackingRefBased/>
  <w15:docId w15:val="{1577F247-2173-F34A-80AD-EC61BB6D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1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C75"/>
    <w:rPr>
      <w:rFonts w:eastAsiaTheme="majorEastAsia" w:cstheme="majorBidi"/>
      <w:color w:val="272727" w:themeColor="text1" w:themeTint="D8"/>
    </w:rPr>
  </w:style>
  <w:style w:type="paragraph" w:styleId="Title">
    <w:name w:val="Title"/>
    <w:basedOn w:val="Normal"/>
    <w:next w:val="Normal"/>
    <w:link w:val="TitleChar"/>
    <w:uiPriority w:val="10"/>
    <w:qFormat/>
    <w:rsid w:val="00CB1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C75"/>
    <w:pPr>
      <w:spacing w:before="160"/>
      <w:jc w:val="center"/>
    </w:pPr>
    <w:rPr>
      <w:i/>
      <w:iCs/>
      <w:color w:val="404040" w:themeColor="text1" w:themeTint="BF"/>
    </w:rPr>
  </w:style>
  <w:style w:type="character" w:customStyle="1" w:styleId="QuoteChar">
    <w:name w:val="Quote Char"/>
    <w:basedOn w:val="DefaultParagraphFont"/>
    <w:link w:val="Quote"/>
    <w:uiPriority w:val="29"/>
    <w:rsid w:val="00CB1C75"/>
    <w:rPr>
      <w:i/>
      <w:iCs/>
      <w:color w:val="404040" w:themeColor="text1" w:themeTint="BF"/>
    </w:rPr>
  </w:style>
  <w:style w:type="paragraph" w:styleId="ListParagraph">
    <w:name w:val="List Paragraph"/>
    <w:basedOn w:val="Normal"/>
    <w:uiPriority w:val="34"/>
    <w:qFormat/>
    <w:rsid w:val="00CB1C75"/>
    <w:pPr>
      <w:ind w:left="720"/>
      <w:contextualSpacing/>
    </w:pPr>
  </w:style>
  <w:style w:type="character" w:styleId="IntenseEmphasis">
    <w:name w:val="Intense Emphasis"/>
    <w:basedOn w:val="DefaultParagraphFont"/>
    <w:uiPriority w:val="21"/>
    <w:qFormat/>
    <w:rsid w:val="00CB1C75"/>
    <w:rPr>
      <w:i/>
      <w:iCs/>
      <w:color w:val="0F4761" w:themeColor="accent1" w:themeShade="BF"/>
    </w:rPr>
  </w:style>
  <w:style w:type="paragraph" w:styleId="IntenseQuote">
    <w:name w:val="Intense Quote"/>
    <w:basedOn w:val="Normal"/>
    <w:next w:val="Normal"/>
    <w:link w:val="IntenseQuoteChar"/>
    <w:uiPriority w:val="30"/>
    <w:qFormat/>
    <w:rsid w:val="00CB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C75"/>
    <w:rPr>
      <w:i/>
      <w:iCs/>
      <w:color w:val="0F4761" w:themeColor="accent1" w:themeShade="BF"/>
    </w:rPr>
  </w:style>
  <w:style w:type="character" w:styleId="IntenseReference">
    <w:name w:val="Intense Reference"/>
    <w:basedOn w:val="DefaultParagraphFont"/>
    <w:uiPriority w:val="32"/>
    <w:qFormat/>
    <w:rsid w:val="00CB1C75"/>
    <w:rPr>
      <w:b/>
      <w:bCs/>
      <w:smallCaps/>
      <w:color w:val="0F4761" w:themeColor="accent1" w:themeShade="BF"/>
      <w:spacing w:val="5"/>
    </w:rPr>
  </w:style>
  <w:style w:type="paragraph" w:styleId="NormalWeb">
    <w:name w:val="Normal (Web)"/>
    <w:basedOn w:val="Normal"/>
    <w:uiPriority w:val="99"/>
    <w:semiHidden/>
    <w:unhideWhenUsed/>
    <w:rsid w:val="00CB1C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1C75"/>
    <w:rPr>
      <w:b/>
      <w:bCs/>
    </w:rPr>
  </w:style>
  <w:style w:type="paragraph" w:styleId="HTMLPreformatted">
    <w:name w:val="HTML Preformatted"/>
    <w:basedOn w:val="Normal"/>
    <w:link w:val="HTMLPreformattedChar"/>
    <w:uiPriority w:val="99"/>
    <w:semiHidden/>
    <w:unhideWhenUsed/>
    <w:rsid w:val="00653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532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532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5</cp:revision>
  <dcterms:created xsi:type="dcterms:W3CDTF">2026-03-18T20:14:00Z</dcterms:created>
  <dcterms:modified xsi:type="dcterms:W3CDTF">2026-03-21T11:39:00Z</dcterms:modified>
</cp:coreProperties>
</file>