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8936" w14:textId="78857D6E" w:rsidR="00344501" w:rsidRPr="00344501" w:rsidRDefault="00344501" w:rsidP="00344501">
      <w:pPr>
        <w:pStyle w:val="Heading1"/>
      </w:pPr>
      <w:r w:rsidRPr="00344501">
        <w:t>Summary (</w:t>
      </w:r>
      <w:r w:rsidR="00D07FD4">
        <w:t xml:space="preserve">Enterprise </w:t>
      </w:r>
      <w:r w:rsidRPr="00344501">
        <w:t>ISL &amp; Autonomous Construction Alignment</w:t>
      </w:r>
      <w:r w:rsidR="00B81B2C">
        <w:t xml:space="preserve"> – MACS Optimized</w:t>
      </w:r>
      <w:r w:rsidRPr="00344501">
        <w:t>)</w:t>
      </w:r>
    </w:p>
    <w:p w14:paraId="50D6EE8B"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The initiation of Project ALETHEIA is framed as a </w:t>
      </w:r>
      <w:r w:rsidRPr="00B46547">
        <w:rPr>
          <w:rFonts w:ascii="Calibri" w:eastAsia="Times New Roman" w:hAnsi="Calibri" w:cs="Calibri"/>
          <w:b/>
          <w:bCs/>
          <w:kern w:val="0"/>
          <w14:ligatures w14:val="none"/>
        </w:rPr>
        <w:t>Structured Reasoning Transaction</w:t>
      </w:r>
      <w:r w:rsidRPr="00B46547">
        <w:rPr>
          <w:rFonts w:ascii="Calibri" w:eastAsia="Times New Roman" w:hAnsi="Calibri" w:cs="Calibri"/>
          <w:kern w:val="0"/>
          <w14:ligatures w14:val="none"/>
        </w:rPr>
        <w:t xml:space="preserve"> designed to create an executable ISL Blueprint governed by a </w:t>
      </w:r>
      <w:r w:rsidRPr="00B46547">
        <w:rPr>
          <w:rFonts w:ascii="Calibri" w:eastAsia="Times New Roman" w:hAnsi="Calibri" w:cs="Calibri"/>
          <w:b/>
          <w:bCs/>
          <w:kern w:val="0"/>
          <w14:ligatures w14:val="none"/>
        </w:rPr>
        <w:t>strict Output Contract</w:t>
      </w:r>
      <w:r w:rsidRPr="00B46547">
        <w:rPr>
          <w:rFonts w:ascii="Calibri" w:eastAsia="Times New Roman" w:hAnsi="Calibri" w:cs="Calibri"/>
          <w:kern w:val="0"/>
          <w14:ligatures w14:val="none"/>
        </w:rPr>
        <w:t xml:space="preserve">. While enforcing rigorous alignment with recognized justice, interoperability, and security standards (NCSC, NIEM, CJIS, NIST), the scope is intentionally bounded to a Proof-of-Concept (POC) targeting a </w:t>
      </w:r>
      <w:r w:rsidRPr="00B46547">
        <w:rPr>
          <w:rFonts w:ascii="Calibri" w:eastAsia="Times New Roman" w:hAnsi="Calibri" w:cs="Calibri"/>
          <w:b/>
          <w:bCs/>
          <w:kern w:val="0"/>
          <w14:ligatures w14:val="none"/>
        </w:rPr>
        <w:t>local-first, containerized .NET REST service</w:t>
      </w:r>
      <w:r w:rsidRPr="00B46547">
        <w:rPr>
          <w:rFonts w:ascii="Calibri" w:eastAsia="Times New Roman" w:hAnsi="Calibri" w:cs="Calibri"/>
          <w:kern w:val="0"/>
          <w14:ligatures w14:val="none"/>
        </w:rPr>
        <w:t>. This ensures the resulting architecture perfectly matches ALETHEIA's Minimal Autonomous Construction System (MACS) reference implementation.</w:t>
      </w:r>
    </w:p>
    <w:p w14:paraId="608A351E"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To guarantee the resulting specification can be autonomously parsed into the semantic graph by the platform, the interaction completely abandons traditional prose prompting. Instead, it utilizes a formal metadata payload (including </w:t>
      </w:r>
      <w:r w:rsidRPr="00B46547">
        <w:rPr>
          <w:rFonts w:ascii="Calibri" w:eastAsia="Times New Roman" w:hAnsi="Calibri" w:cs="Calibri"/>
          <w:b/>
          <w:bCs/>
          <w:kern w:val="0"/>
          <w14:ligatures w14:val="none"/>
        </w:rPr>
        <w:t>Task Identifiers</w:t>
      </w:r>
      <w:r w:rsidRPr="00B46547">
        <w:rPr>
          <w:rFonts w:ascii="Calibri" w:eastAsia="Times New Roman" w:hAnsi="Calibri" w:cs="Calibri"/>
          <w:kern w:val="0"/>
          <w14:ligatures w14:val="none"/>
        </w:rPr>
        <w:t xml:space="preserve">, context assembly, and constraints) that maps directly to the ISL Canonical Semantic Model using the </w:t>
      </w:r>
      <w:r w:rsidRPr="00B46547">
        <w:rPr>
          <w:rFonts w:ascii="Calibri" w:eastAsia="Times New Roman" w:hAnsi="Calibri" w:cs="Calibri"/>
          <w:b/>
          <w:bCs/>
          <w:kern w:val="0"/>
          <w14:ligatures w14:val="none"/>
        </w:rPr>
        <w:t>13 exact, singular canonical entity names</w:t>
      </w:r>
      <w:r w:rsidRPr="00B46547">
        <w:rPr>
          <w:rFonts w:ascii="Calibri" w:eastAsia="Times New Roman" w:hAnsi="Calibri" w:cs="Calibri"/>
          <w:kern w:val="0"/>
          <w14:ligatures w14:val="none"/>
        </w:rPr>
        <w:t xml:space="preserve"> (e.g., </w:t>
      </w:r>
      <w:proofErr w:type="spellStart"/>
      <w:r w:rsidRPr="00B46547">
        <w:rPr>
          <w:rFonts w:ascii="Calibri" w:eastAsia="Times New Roman" w:hAnsi="Calibri" w:cs="Calibri"/>
          <w:color w:val="303030"/>
          <w:kern w:val="0"/>
          <w:sz w:val="20"/>
          <w:szCs w:val="20"/>
          <w14:ligatures w14:val="none"/>
        </w:rPr>
        <w:t>DataEntity</w:t>
      </w:r>
      <w:proofErr w:type="spellEnd"/>
      <w:r w:rsidRPr="00B46547">
        <w:rPr>
          <w:rFonts w:ascii="Calibri" w:eastAsia="Times New Roman" w:hAnsi="Calibri" w:cs="Calibri"/>
          <w:kern w:val="0"/>
          <w14:ligatures w14:val="none"/>
        </w:rPr>
        <w:t xml:space="preserve">, </w:t>
      </w:r>
      <w:r w:rsidRPr="00B46547">
        <w:rPr>
          <w:rFonts w:ascii="Calibri" w:eastAsia="Times New Roman" w:hAnsi="Calibri" w:cs="Calibri"/>
          <w:color w:val="303030"/>
          <w:kern w:val="0"/>
          <w:sz w:val="20"/>
          <w:szCs w:val="20"/>
          <w14:ligatures w14:val="none"/>
        </w:rPr>
        <w:t>Stakeholder</w:t>
      </w:r>
      <w:r w:rsidRPr="00B46547">
        <w:rPr>
          <w:rFonts w:ascii="Calibri" w:eastAsia="Times New Roman" w:hAnsi="Calibri" w:cs="Calibri"/>
          <w:kern w:val="0"/>
          <w14:ligatures w14:val="none"/>
        </w:rPr>
        <w:t xml:space="preserve">) and </w:t>
      </w:r>
      <w:r w:rsidRPr="00B46547">
        <w:rPr>
          <w:rFonts w:ascii="Calibri" w:eastAsia="Times New Roman" w:hAnsi="Calibri" w:cs="Calibri"/>
          <w:b/>
          <w:bCs/>
          <w:kern w:val="0"/>
          <w14:ligatures w14:val="none"/>
        </w:rPr>
        <w:t>strict entity demarcation</w:t>
      </w:r>
      <w:r w:rsidRPr="00B46547">
        <w:rPr>
          <w:rFonts w:ascii="Calibri" w:eastAsia="Times New Roman" w:hAnsi="Calibri" w:cs="Calibri"/>
          <w:kern w:val="0"/>
          <w14:ligatures w14:val="none"/>
        </w:rPr>
        <w:t xml:space="preserve">. This structure strictly requires the active generation of a bidirectional </w:t>
      </w:r>
      <w:r w:rsidRPr="00B46547">
        <w:rPr>
          <w:rFonts w:ascii="Calibri" w:eastAsia="Times New Roman" w:hAnsi="Calibri" w:cs="Calibri"/>
          <w:b/>
          <w:bCs/>
          <w:kern w:val="0"/>
          <w14:ligatures w14:val="none"/>
        </w:rPr>
        <w:t>Traceability Graph</w:t>
      </w:r>
      <w:r w:rsidRPr="00B46547">
        <w:rPr>
          <w:rFonts w:ascii="Calibri" w:eastAsia="Times New Roman" w:hAnsi="Calibri" w:cs="Calibri"/>
          <w:kern w:val="0"/>
          <w14:ligatures w14:val="none"/>
        </w:rPr>
        <w:t xml:space="preserve"> (assigning unique identifiers and cross-referencing every entity) to enable impact analysis, and </w:t>
      </w:r>
      <w:r w:rsidRPr="00B46547">
        <w:rPr>
          <w:rFonts w:ascii="Calibri" w:eastAsia="Times New Roman" w:hAnsi="Calibri" w:cs="Calibri"/>
          <w:b/>
          <w:bCs/>
          <w:kern w:val="0"/>
          <w14:ligatures w14:val="none"/>
        </w:rPr>
        <w:t>Tool-Mapped Deterministic Validation Criteria</w:t>
      </w:r>
      <w:r w:rsidRPr="00B46547">
        <w:rPr>
          <w:rFonts w:ascii="Calibri" w:eastAsia="Times New Roman" w:hAnsi="Calibri" w:cs="Calibri"/>
          <w:kern w:val="0"/>
          <w14:ligatures w14:val="none"/>
        </w:rPr>
        <w:t>, which the ALETHEIA runtime needs to test and repair generated code.</w:t>
      </w:r>
    </w:p>
    <w:p w14:paraId="3124ABF2"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kern w:val="0"/>
          <w14:ligatures w14:val="none"/>
        </w:rPr>
        <w:t xml:space="preserve">Rather than relying on informal chats or a generic AI assistant, the interaction payload formally invokes a coordinated roster of agents—specifically the platform's </w:t>
      </w:r>
      <w:r w:rsidRPr="00B46547">
        <w:rPr>
          <w:rFonts w:ascii="Calibri" w:eastAsia="Times New Roman" w:hAnsi="Calibri" w:cs="Calibri"/>
          <w:b/>
          <w:bCs/>
          <w:kern w:val="0"/>
          <w14:ligatures w14:val="none"/>
        </w:rPr>
        <w:t>Specification Interpreter</w:t>
      </w:r>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Architecture Planner</w:t>
      </w:r>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Security Validator</w:t>
      </w:r>
      <w:r w:rsidRPr="00B46547">
        <w:rPr>
          <w:rFonts w:ascii="Calibri" w:eastAsia="Times New Roman" w:hAnsi="Calibri" w:cs="Calibri"/>
          <w:kern w:val="0"/>
          <w14:ligatures w14:val="none"/>
        </w:rPr>
        <w:t xml:space="preserve">, and </w:t>
      </w:r>
      <w:r w:rsidRPr="00B46547">
        <w:rPr>
          <w:rFonts w:ascii="Calibri" w:eastAsia="Times New Roman" w:hAnsi="Calibri" w:cs="Calibri"/>
          <w:b/>
          <w:bCs/>
          <w:kern w:val="0"/>
          <w14:ligatures w14:val="none"/>
        </w:rPr>
        <w:t>Test Generator</w:t>
      </w:r>
      <w:r w:rsidRPr="00B46547">
        <w:rPr>
          <w:rFonts w:ascii="Calibri" w:eastAsia="Times New Roman" w:hAnsi="Calibri" w:cs="Calibri"/>
          <w:kern w:val="0"/>
          <w14:ligatures w14:val="none"/>
        </w:rPr>
        <w:t xml:space="preserve">. By enforcing proper </w:t>
      </w:r>
      <w:r w:rsidRPr="00B46547">
        <w:rPr>
          <w:rFonts w:ascii="Calibri" w:eastAsia="Times New Roman" w:hAnsi="Calibri" w:cs="Calibri"/>
          <w:b/>
          <w:bCs/>
          <w:kern w:val="0"/>
          <w14:ligatures w14:val="none"/>
        </w:rPr>
        <w:t>Context Assembly</w:t>
      </w:r>
      <w:r w:rsidRPr="00B46547">
        <w:rPr>
          <w:rFonts w:ascii="Calibri" w:eastAsia="Times New Roman" w:hAnsi="Calibri" w:cs="Calibri"/>
          <w:kern w:val="0"/>
          <w14:ligatures w14:val="none"/>
        </w:rPr>
        <w:t xml:space="preserve"> prior to execution and restricting agent inquiries to strictly formatted, machine-</w:t>
      </w:r>
      <w:proofErr w:type="spellStart"/>
      <w:r w:rsidRPr="00B46547">
        <w:rPr>
          <w:rFonts w:ascii="Calibri" w:eastAsia="Times New Roman" w:hAnsi="Calibri" w:cs="Calibri"/>
          <w:kern w:val="0"/>
          <w14:ligatures w14:val="none"/>
        </w:rPr>
        <w:t>parseable</w:t>
      </w:r>
      <w:proofErr w:type="spellEnd"/>
      <w:r w:rsidRPr="00B46547">
        <w:rPr>
          <w:rFonts w:ascii="Calibri" w:eastAsia="Times New Roman" w:hAnsi="Calibri" w:cs="Calibri"/>
          <w:kern w:val="0"/>
          <w14:ligatures w14:val="none"/>
        </w:rPr>
        <w:t xml:space="preserve"> </w:t>
      </w:r>
      <w:r w:rsidRPr="00B46547">
        <w:rPr>
          <w:rFonts w:ascii="Calibri" w:eastAsia="Times New Roman" w:hAnsi="Calibri" w:cs="Calibri"/>
          <w:b/>
          <w:bCs/>
          <w:kern w:val="0"/>
          <w14:ligatures w14:val="none"/>
        </w:rPr>
        <w:t>Clarification Blocks</w:t>
      </w:r>
      <w:r w:rsidRPr="00B46547">
        <w:rPr>
          <w:rFonts w:ascii="Calibri" w:eastAsia="Times New Roman" w:hAnsi="Calibri" w:cs="Calibri"/>
          <w:kern w:val="0"/>
          <w14:ligatures w14:val="none"/>
        </w:rPr>
        <w:t xml:space="preserve">, the process ensures the agents operate on grounded data without breaking the Specification Engine's parser. Ultimately, this disciplined approach matures the blueprint through formal Specification Readiness Levels and human Approval Gates, culminating in committing the parsed specification to a </w:t>
      </w:r>
      <w:r w:rsidRPr="00B46547">
        <w:rPr>
          <w:rFonts w:ascii="Calibri" w:eastAsia="Times New Roman" w:hAnsi="Calibri" w:cs="Calibri"/>
          <w:b/>
          <w:bCs/>
          <w:kern w:val="0"/>
          <w14:ligatures w14:val="none"/>
        </w:rPr>
        <w:t>version-controlled Artifact Repository</w:t>
      </w:r>
      <w:r w:rsidRPr="00B46547">
        <w:rPr>
          <w:rFonts w:ascii="Calibri" w:eastAsia="Times New Roman" w:hAnsi="Calibri" w:cs="Calibri"/>
          <w:kern w:val="0"/>
          <w14:ligatures w14:val="none"/>
        </w:rPr>
        <w:t xml:space="preserve">. This establishes the authoritative baseline before the ALETHEIA Planning Engine and Agent Orchestrator are authorized to autonomously begin construction, execute </w:t>
      </w:r>
      <w:r w:rsidRPr="00B46547">
        <w:rPr>
          <w:rFonts w:ascii="Calibri" w:eastAsia="Times New Roman" w:hAnsi="Calibri" w:cs="Calibri"/>
          <w:b/>
          <w:bCs/>
          <w:kern w:val="0"/>
          <w14:ligatures w14:val="none"/>
        </w:rPr>
        <w:t>automated repair cycles</w:t>
      </w:r>
      <w:r w:rsidRPr="00B46547">
        <w:rPr>
          <w:rFonts w:ascii="Calibri" w:eastAsia="Times New Roman" w:hAnsi="Calibri" w:cs="Calibri"/>
          <w:kern w:val="0"/>
          <w14:ligatures w14:val="none"/>
        </w:rPr>
        <w:t xml:space="preserve">, and preserve all historical reasoning and execution context within the platform's </w:t>
      </w:r>
      <w:r w:rsidRPr="00B46547">
        <w:rPr>
          <w:rFonts w:ascii="Calibri" w:eastAsia="Times New Roman" w:hAnsi="Calibri" w:cs="Calibri"/>
          <w:b/>
          <w:bCs/>
          <w:kern w:val="0"/>
          <w14:ligatures w14:val="none"/>
        </w:rPr>
        <w:t>State and Memory Model</w:t>
      </w:r>
      <w:r w:rsidRPr="00B46547">
        <w:rPr>
          <w:rFonts w:ascii="Calibri" w:eastAsia="Times New Roman" w:hAnsi="Calibri" w:cs="Calibri"/>
          <w:kern w:val="0"/>
          <w14:ligatures w14:val="none"/>
        </w:rPr>
        <w:t xml:space="preserve"> to ensure continuous evolution and long-term maintainability.</w:t>
      </w:r>
    </w:p>
    <w:p w14:paraId="253B4ABA" w14:textId="6F83DCF8" w:rsidR="003E544C" w:rsidRPr="00792E3E" w:rsidRDefault="003E544C" w:rsidP="00A6058E">
      <w:pPr>
        <w:pStyle w:val="Heading2"/>
        <w:pBdr>
          <w:top w:val="single" w:sz="4" w:space="1" w:color="auto"/>
        </w:pBdr>
        <w:rPr>
          <w:rFonts w:ascii="Calibri" w:hAnsi="Calibri" w:cs="Calibri"/>
        </w:rPr>
      </w:pPr>
      <w:r w:rsidRPr="00792E3E">
        <w:rPr>
          <w:rFonts w:ascii="Calibri" w:hAnsi="Calibri" w:cs="Calibri"/>
        </w:rPr>
        <w:t>1. Refined Instruction Objectives (</w:t>
      </w:r>
      <w:r w:rsidR="00AC770D">
        <w:rPr>
          <w:rFonts w:ascii="Calibri" w:hAnsi="Calibri" w:cs="Calibri"/>
        </w:rPr>
        <w:t>ISL Authoring &amp; Output Contract</w:t>
      </w:r>
      <w:r w:rsidRPr="00792E3E">
        <w:rPr>
          <w:rFonts w:ascii="Calibri" w:hAnsi="Calibri" w:cs="Calibri"/>
        </w:rPr>
        <w:t>)</w:t>
      </w:r>
    </w:p>
    <w:p w14:paraId="694E52E9" w14:textId="77777777" w:rsidR="00AC770D" w:rsidRPr="00EB1524" w:rsidRDefault="00AC770D" w:rsidP="00AC770D">
      <w:pPr>
        <w:spacing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t>System-Level Instructions:</w:t>
      </w:r>
    </w:p>
    <w:p w14:paraId="7CCF948D" w14:textId="77777777" w:rsidR="00AC770D" w:rsidRPr="00EB1524" w:rsidRDefault="00AC770D" w:rsidP="00AC770D">
      <w:pPr>
        <w:numPr>
          <w:ilvl w:val="0"/>
          <w:numId w:val="16"/>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Purpose:</w:t>
      </w:r>
      <w:r w:rsidRPr="00EB1524">
        <w:rPr>
          <w:rFonts w:ascii="Calibri" w:eastAsia="Times New Roman" w:hAnsi="Calibri" w:cs="Calibri"/>
          <w:color w:val="303030"/>
          <w:kern w:val="0"/>
          <w:sz w:val="21"/>
          <w:szCs w:val="21"/>
          <w14:ligatures w14:val="none"/>
        </w:rPr>
        <w:t xml:space="preserve"> Act as an ALETHEIA ISL Specification Author operating under a strict Output Contract. Generate a formal, machine-interpretable ALETHEIA Specification Language (ISL) blueprint for a bounded subsystem (e.g., Court Case Intake REST Service) to align with the Minimal Autonomous Construction System (MACS) operational milestone.</w:t>
      </w:r>
    </w:p>
    <w:p w14:paraId="4282D23E" w14:textId="77777777" w:rsidR="00AC770D" w:rsidRPr="00EB1524" w:rsidRDefault="00AC770D" w:rsidP="00AC770D">
      <w:pPr>
        <w:numPr>
          <w:ilvl w:val="0"/>
          <w:numId w:val="16"/>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lastRenderedPageBreak/>
        <w:t>Target Audience (Dual-Purpose):</w:t>
      </w:r>
      <w:r w:rsidRPr="00EB1524">
        <w:rPr>
          <w:rFonts w:ascii="Calibri" w:eastAsia="Times New Roman" w:hAnsi="Calibri" w:cs="Calibri"/>
          <w:color w:val="303030"/>
          <w:kern w:val="0"/>
          <w:sz w:val="21"/>
          <w:szCs w:val="21"/>
          <w14:ligatures w14:val="none"/>
        </w:rPr>
        <w:t xml:space="preserve"> The output must serve a dual audience. It must be readable by </w:t>
      </w:r>
      <w:r w:rsidRPr="00EB1524">
        <w:rPr>
          <w:rFonts w:ascii="Calibri" w:eastAsia="Times New Roman" w:hAnsi="Calibri" w:cs="Calibri"/>
          <w:b/>
          <w:bCs/>
          <w:color w:val="303030"/>
          <w:kern w:val="0"/>
          <w:sz w:val="21"/>
          <w:szCs w:val="21"/>
          <w14:ligatures w14:val="none"/>
        </w:rPr>
        <w:t>Human Governance Roles</w:t>
      </w:r>
      <w:r w:rsidRPr="00EB1524">
        <w:rPr>
          <w:rFonts w:ascii="Calibri" w:eastAsia="Times New Roman" w:hAnsi="Calibri" w:cs="Calibri"/>
          <w:color w:val="303030"/>
          <w:kern w:val="0"/>
          <w:sz w:val="21"/>
          <w:szCs w:val="21"/>
          <w14:ligatures w14:val="none"/>
        </w:rPr>
        <w:t xml:space="preserve"> (IT Architects, Security Validators, Court Auditors) for Approval Gates, AND it must be strictly formatted for programmatic parsing by the </w:t>
      </w:r>
      <w:r w:rsidRPr="00EB1524">
        <w:rPr>
          <w:rFonts w:ascii="Calibri" w:eastAsia="Times New Roman" w:hAnsi="Calibri" w:cs="Calibri"/>
          <w:b/>
          <w:bCs/>
          <w:color w:val="303030"/>
          <w:kern w:val="0"/>
          <w:sz w:val="21"/>
          <w:szCs w:val="21"/>
          <w14:ligatures w14:val="none"/>
        </w:rPr>
        <w:t>ALETHEIA Specification Engine</w:t>
      </w:r>
      <w:r w:rsidRPr="00EB1524">
        <w:rPr>
          <w:rFonts w:ascii="Calibri" w:eastAsia="Times New Roman" w:hAnsi="Calibri" w:cs="Calibri"/>
          <w:color w:val="303030"/>
          <w:kern w:val="0"/>
          <w:sz w:val="21"/>
          <w:szCs w:val="21"/>
          <w14:ligatures w14:val="none"/>
        </w:rPr>
        <w:t>.</w:t>
      </w:r>
    </w:p>
    <w:p w14:paraId="2FC87974" w14:textId="77777777" w:rsidR="00AC770D" w:rsidRPr="00EB1524" w:rsidRDefault="00AC770D" w:rsidP="00AC770D">
      <w:pPr>
        <w:spacing w:before="120"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t>Guiding Principles:</w:t>
      </w:r>
    </w:p>
    <w:p w14:paraId="38E82451"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Architecture &amp; Standards-First:</w:t>
      </w:r>
      <w:r w:rsidRPr="00EB1524">
        <w:rPr>
          <w:rFonts w:ascii="Calibri" w:eastAsia="Times New Roman" w:hAnsi="Calibri" w:cs="Calibri"/>
          <w:color w:val="303030"/>
          <w:kern w:val="0"/>
          <w:sz w:val="21"/>
          <w:szCs w:val="21"/>
          <w14:ligatures w14:val="none"/>
        </w:rPr>
        <w:t xml:space="preserve"> Focus purely on structural intent, applying mandatory justice standards (NCSC, NIEM, CJIS/NIST), rather than implementation mechanics.</w:t>
      </w:r>
    </w:p>
    <w:p w14:paraId="3CC614B6"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Output Contract Enforcement:</w:t>
      </w:r>
      <w:r w:rsidRPr="00EB1524">
        <w:rPr>
          <w:rFonts w:ascii="Calibri" w:eastAsia="Times New Roman" w:hAnsi="Calibri" w:cs="Calibri"/>
          <w:color w:val="303030"/>
          <w:kern w:val="0"/>
          <w:sz w:val="21"/>
          <w:szCs w:val="21"/>
          <w14:ligatures w14:val="none"/>
        </w:rPr>
        <w:t xml:space="preserve"> You are bound by an ISL Output Contract. Prefer strictly formatted Markdown and YAML outputs over narrative. Exclude all conversational filler or preamble so the output is immediately </w:t>
      </w:r>
      <w:proofErr w:type="gramStart"/>
      <w:r w:rsidRPr="00EB1524">
        <w:rPr>
          <w:rFonts w:ascii="Calibri" w:eastAsia="Times New Roman" w:hAnsi="Calibri" w:cs="Calibri"/>
          <w:color w:val="303030"/>
          <w:kern w:val="0"/>
          <w:sz w:val="21"/>
          <w:szCs w:val="21"/>
          <w14:ligatures w14:val="none"/>
        </w:rPr>
        <w:t>machine-</w:t>
      </w:r>
      <w:proofErr w:type="spellStart"/>
      <w:r w:rsidRPr="00EB1524">
        <w:rPr>
          <w:rFonts w:ascii="Calibri" w:eastAsia="Times New Roman" w:hAnsi="Calibri" w:cs="Calibri"/>
          <w:color w:val="303030"/>
          <w:kern w:val="0"/>
          <w:sz w:val="21"/>
          <w:szCs w:val="21"/>
          <w14:ligatures w14:val="none"/>
        </w:rPr>
        <w:t>parseable</w:t>
      </w:r>
      <w:proofErr w:type="spellEnd"/>
      <w:proofErr w:type="gramEnd"/>
      <w:r w:rsidRPr="00EB1524">
        <w:rPr>
          <w:rFonts w:ascii="Calibri" w:eastAsia="Times New Roman" w:hAnsi="Calibri" w:cs="Calibri"/>
          <w:color w:val="303030"/>
          <w:kern w:val="0"/>
          <w:sz w:val="21"/>
          <w:szCs w:val="21"/>
          <w14:ligatures w14:val="none"/>
        </w:rPr>
        <w:t>.</w:t>
      </w:r>
    </w:p>
    <w:p w14:paraId="1615696E"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Canonical Mapping:</w:t>
      </w:r>
      <w:r w:rsidRPr="00EB1524">
        <w:rPr>
          <w:rFonts w:ascii="Calibri" w:eastAsia="Times New Roman" w:hAnsi="Calibri" w:cs="Calibri"/>
          <w:color w:val="303030"/>
          <w:kern w:val="0"/>
          <w:sz w:val="21"/>
          <w:szCs w:val="21"/>
          <w14:ligatures w14:val="none"/>
        </w:rPr>
        <w:t xml:space="preserve"> Ensure all generated language maps directly to the ISL Canonical Semantic Model (e.g., separating Actors, Services, Policies, and Data Entities).</w:t>
      </w:r>
    </w:p>
    <w:p w14:paraId="4E7A563C"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Deterministic Focus:</w:t>
      </w:r>
      <w:r w:rsidRPr="00EB1524">
        <w:rPr>
          <w:rFonts w:ascii="Calibri" w:eastAsia="Times New Roman" w:hAnsi="Calibri" w:cs="Calibri"/>
          <w:color w:val="303030"/>
          <w:kern w:val="0"/>
          <w:sz w:val="21"/>
          <w:szCs w:val="21"/>
          <w14:ligatures w14:val="none"/>
        </w:rPr>
        <w:t xml:space="preserve"> Prioritize objective, tool-mapped validation criteria over subjective behavioral descriptions.</w:t>
      </w:r>
    </w:p>
    <w:p w14:paraId="464B1B41" w14:textId="77777777" w:rsidR="00AC770D" w:rsidRPr="00EB1524" w:rsidRDefault="00AC770D" w:rsidP="00AC770D">
      <w:pPr>
        <w:numPr>
          <w:ilvl w:val="0"/>
          <w:numId w:val="17"/>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Advisory Collaboration:</w:t>
      </w:r>
      <w:r w:rsidRPr="00EB1524">
        <w:rPr>
          <w:rFonts w:ascii="Calibri" w:eastAsia="Times New Roman" w:hAnsi="Calibri" w:cs="Calibri"/>
          <w:color w:val="303030"/>
          <w:kern w:val="0"/>
          <w:sz w:val="21"/>
          <w:szCs w:val="21"/>
          <w14:ligatures w14:val="none"/>
        </w:rPr>
        <w:t xml:space="preserve"> Minimize back-and-forth; ask targeted questions </w:t>
      </w:r>
      <w:r w:rsidRPr="00EB1524">
        <w:rPr>
          <w:rFonts w:ascii="Calibri" w:eastAsia="Times New Roman" w:hAnsi="Calibri" w:cs="Calibri"/>
          <w:i/>
          <w:iCs/>
          <w:color w:val="303030"/>
          <w:kern w:val="0"/>
          <w:sz w:val="21"/>
          <w:szCs w:val="21"/>
          <w14:ligatures w14:val="none"/>
        </w:rPr>
        <w:t>only</w:t>
      </w:r>
      <w:r w:rsidRPr="00EB1524">
        <w:rPr>
          <w:rFonts w:ascii="Calibri" w:eastAsia="Times New Roman" w:hAnsi="Calibri" w:cs="Calibri"/>
          <w:color w:val="303030"/>
          <w:kern w:val="0"/>
          <w:sz w:val="21"/>
          <w:szCs w:val="21"/>
          <w14:ligatures w14:val="none"/>
        </w:rPr>
        <w:t xml:space="preserve"> when mandatory standards, jurisdictional boundaries, or deterministic validation rules are ambiguous.</w:t>
      </w:r>
    </w:p>
    <w:p w14:paraId="41DADB4D" w14:textId="1EEDD563" w:rsidR="00D0558F" w:rsidRPr="00792E3E" w:rsidRDefault="00D0558F" w:rsidP="00D0558F">
      <w:pPr>
        <w:pStyle w:val="Heading2"/>
        <w:rPr>
          <w:rFonts w:ascii="Calibri" w:hAnsi="Calibri" w:cs="Calibri"/>
        </w:rPr>
      </w:pPr>
      <w:r w:rsidRPr="00792E3E">
        <w:rPr>
          <w:rFonts w:ascii="Calibri" w:hAnsi="Calibri" w:cs="Calibri"/>
        </w:rPr>
        <w:t>2. Specification Scope Control (Executable Blueprint)</w:t>
      </w:r>
    </w:p>
    <w:p w14:paraId="26C51C9F" w14:textId="3FE8C711" w:rsidR="009C3DD6" w:rsidRPr="009C3DD6" w:rsidRDefault="009C3DD6" w:rsidP="00EB1524">
      <w:pPr>
        <w:spacing w:before="120" w:after="120" w:line="240" w:lineRule="auto"/>
        <w:rPr>
          <w:rStyle w:val="ng-star-inserted"/>
          <w:rFonts w:ascii="Calibri" w:hAnsi="Calibri" w:cs="Calibri"/>
          <w:color w:val="303030"/>
          <w:shd w:val="clear" w:color="auto" w:fill="FFFFFF"/>
        </w:rPr>
      </w:pPr>
      <w:r w:rsidRPr="009C3DD6">
        <w:rPr>
          <w:rStyle w:val="ng-star-inserted"/>
          <w:rFonts w:ascii="Calibri" w:hAnsi="Calibri" w:cs="Calibri"/>
          <w:color w:val="303030"/>
          <w:shd w:val="clear" w:color="auto" w:fill="FFFFFF"/>
        </w:rPr>
        <w:t xml:space="preserve">To prevent scope drift and align with ALETHEIA's autonomous capabilities, </w:t>
      </w:r>
      <w:r w:rsidRPr="009C3DD6">
        <w:rPr>
          <w:rFonts w:ascii="Calibri" w:hAnsi="Calibri" w:cs="Calibri"/>
          <w:b/>
          <w:bCs/>
          <w:color w:val="303030"/>
          <w:shd w:val="clear" w:color="auto" w:fill="FFFFFF"/>
        </w:rPr>
        <w:t>you, acting as the Specification Interpreter and Architecture Planner</w:t>
      </w:r>
      <w:r w:rsidRPr="009C3DD6">
        <w:rPr>
          <w:rStyle w:val="ng-star-inserted"/>
          <w:rFonts w:ascii="Calibri" w:hAnsi="Calibri" w:cs="Calibri"/>
          <w:color w:val="303030"/>
          <w:shd w:val="clear" w:color="auto" w:fill="FFFFFF"/>
        </w:rPr>
        <w:t>, must treat the output as an active, executable artifact for the ALETHEIA engine, not static documentation</w:t>
      </w:r>
      <w:r>
        <w:rPr>
          <w:rStyle w:val="ng-star-inserted"/>
          <w:rFonts w:ascii="Calibri" w:hAnsi="Calibri" w:cs="Calibri"/>
          <w:color w:val="303030"/>
          <w:shd w:val="clear" w:color="auto" w:fill="FFFFFF"/>
        </w:rPr>
        <w:t>.</w:t>
      </w:r>
    </w:p>
    <w:p w14:paraId="3CE07987" w14:textId="3CD73CD6" w:rsidR="00D0558F" w:rsidRPr="00792E3E" w:rsidRDefault="009C3DD6" w:rsidP="00EB1524">
      <w:pPr>
        <w:spacing w:before="120" w:after="120" w:line="240" w:lineRule="auto"/>
        <w:rPr>
          <w:rFonts w:ascii="Calibri" w:eastAsia="Times New Roman" w:hAnsi="Calibri" w:cs="Calibri"/>
          <w:kern w:val="0"/>
          <w14:ligatures w14:val="none"/>
        </w:rPr>
      </w:pPr>
      <w:r>
        <w:rPr>
          <w:rFonts w:ascii="Calibri" w:eastAsia="Times New Roman" w:hAnsi="Calibri" w:cs="Calibri"/>
          <w:b/>
          <w:bCs/>
          <w:kern w:val="0"/>
          <w14:ligatures w14:val="none"/>
        </w:rPr>
        <w:t>S</w:t>
      </w:r>
      <w:r w:rsidR="00D0558F" w:rsidRPr="00792E3E">
        <w:rPr>
          <w:rFonts w:ascii="Calibri" w:eastAsia="Times New Roman" w:hAnsi="Calibri" w:cs="Calibri"/>
          <w:b/>
          <w:bCs/>
          <w:kern w:val="0"/>
          <w14:ligatures w14:val="none"/>
        </w:rPr>
        <w:t>cope Rules:</w:t>
      </w:r>
    </w:p>
    <w:p w14:paraId="0AA2F38F"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Define Architectural Intent, Not Implementation:</w:t>
      </w:r>
      <w:r w:rsidRPr="00792E3E">
        <w:rPr>
          <w:rFonts w:ascii="Calibri" w:eastAsia="Times New Roman" w:hAnsi="Calibri" w:cs="Calibri"/>
          <w:kern w:val="0"/>
          <w14:ligatures w14:val="none"/>
        </w:rPr>
        <w:t xml:space="preserve"> Focus strictly on describing the structure, capabilities, and constraints of the system at an architectural level. Leave the implementation mechanics (the "how", such as code generation) to ALETHEIA's autonomous reasoning agents and deterministic tools.</w:t>
      </w:r>
    </w:p>
    <w:p w14:paraId="28665B50"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Map to Canonical Entities:</w:t>
      </w:r>
      <w:r w:rsidRPr="00792E3E">
        <w:rPr>
          <w:rFonts w:ascii="Calibri" w:eastAsia="Times New Roman" w:hAnsi="Calibri" w:cs="Calibri"/>
          <w:kern w:val="0"/>
          <w14:ligatures w14:val="none"/>
        </w:rPr>
        <w:t xml:space="preserve"> Ensure the defined scope explicitly structures its output around the entities required by the ALETHEIA Canonical Semantic Model, such as Actors, Requirements, Services, </w:t>
      </w:r>
      <w:proofErr w:type="spellStart"/>
      <w:r w:rsidRPr="00792E3E">
        <w:rPr>
          <w:rFonts w:ascii="Calibri" w:eastAsia="Times New Roman" w:hAnsi="Calibri" w:cs="Calibri"/>
          <w:kern w:val="0"/>
          <w14:ligatures w14:val="none"/>
        </w:rPr>
        <w:t>DataEntities</w:t>
      </w:r>
      <w:proofErr w:type="spellEnd"/>
      <w:r w:rsidRPr="00792E3E">
        <w:rPr>
          <w:rFonts w:ascii="Calibri" w:eastAsia="Times New Roman" w:hAnsi="Calibri" w:cs="Calibri"/>
          <w:kern w:val="0"/>
          <w14:ligatures w14:val="none"/>
        </w:rPr>
        <w:t>, Interfaces, Workflows, Policies, and Validation.</w:t>
      </w:r>
    </w:p>
    <w:p w14:paraId="79C9E5E6"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No Manual Code or Mockups:</w:t>
      </w:r>
      <w:r w:rsidRPr="00792E3E">
        <w:rPr>
          <w:rFonts w:ascii="Calibri" w:eastAsia="Times New Roman" w:hAnsi="Calibri" w:cs="Calibri"/>
          <w:kern w:val="0"/>
          <w14:ligatures w14:val="none"/>
        </w:rPr>
        <w:t xml:space="preserve"> Strictly prohibit the generation of UI mockups, manual code snippets, or vendor-specific solutions.</w:t>
      </w:r>
    </w:p>
    <w:p w14:paraId="5185A097"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Treat as an Executable Artifact:</w:t>
      </w:r>
      <w:r w:rsidRPr="00792E3E">
        <w:rPr>
          <w:rFonts w:ascii="Calibri" w:eastAsia="Times New Roman" w:hAnsi="Calibri" w:cs="Calibri"/>
          <w:kern w:val="0"/>
          <w14:ligatures w14:val="none"/>
        </w:rPr>
        <w:t xml:space="preserve"> Do not treat this as a traditional reference architecture or passive requirements document. It is the central, executable blueprint from which the platform's Planning Engine will autonomously derive a construction task graph.</w:t>
      </w:r>
    </w:p>
    <w:p w14:paraId="0E6E9A66" w14:textId="77777777" w:rsidR="00D0558F" w:rsidRPr="00792E3E" w:rsidRDefault="00D0558F" w:rsidP="00EB1524">
      <w:pPr>
        <w:numPr>
          <w:ilvl w:val="0"/>
          <w:numId w:val="9"/>
        </w:numPr>
        <w:spacing w:after="0" w:line="240" w:lineRule="auto"/>
        <w:rPr>
          <w:rFonts w:ascii="Calibri" w:eastAsia="Times New Roman" w:hAnsi="Calibri" w:cs="Calibri"/>
          <w:kern w:val="0"/>
          <w14:ligatures w14:val="none"/>
        </w:rPr>
      </w:pPr>
      <w:r w:rsidRPr="00792E3E">
        <w:rPr>
          <w:rFonts w:ascii="Calibri" w:eastAsia="Times New Roman" w:hAnsi="Calibri" w:cs="Calibri"/>
          <w:b/>
          <w:bCs/>
          <w:kern w:val="0"/>
          <w14:ligatures w14:val="none"/>
        </w:rPr>
        <w:t>Mandate Deterministic Validation:</w:t>
      </w:r>
      <w:r w:rsidRPr="00792E3E">
        <w:rPr>
          <w:rFonts w:ascii="Calibri" w:eastAsia="Times New Roman" w:hAnsi="Calibri" w:cs="Calibri"/>
          <w:kern w:val="0"/>
          <w14:ligatures w14:val="none"/>
        </w:rPr>
        <w:t xml:space="preserve"> Explicitly scope in acceptance and validation criteria. The platform's autonomous build and repair loops cannot function without objective, deterministic rules (like automated test scenarios and performance benchmarks) to verify the generated code.</w:t>
      </w:r>
    </w:p>
    <w:p w14:paraId="118FA933" w14:textId="77777777" w:rsidR="00EB1524" w:rsidRPr="00EB1524" w:rsidRDefault="00EB1524" w:rsidP="00EB1524">
      <w:pPr>
        <w:pStyle w:val="Heading2"/>
      </w:pPr>
      <w:r w:rsidRPr="00EB1524">
        <w:t>3. Standards Alignment &amp; Policy Mapping</w:t>
      </w:r>
    </w:p>
    <w:p w14:paraId="4F5AB163" w14:textId="54A251B7" w:rsidR="00EB1524" w:rsidRPr="009C3DD6" w:rsidRDefault="009C3DD6" w:rsidP="00EB1524">
      <w:pPr>
        <w:spacing w:after="120" w:line="240" w:lineRule="auto"/>
        <w:rPr>
          <w:rFonts w:ascii="Calibri" w:eastAsia="Times New Roman" w:hAnsi="Calibri" w:cs="Calibri"/>
          <w:kern w:val="0"/>
          <w14:ligatures w14:val="none"/>
        </w:rPr>
      </w:pPr>
      <w:r w:rsidRPr="009C3DD6">
        <w:rPr>
          <w:rStyle w:val="ng-star-inserted"/>
          <w:rFonts w:ascii="Calibri" w:hAnsi="Calibri" w:cs="Calibri"/>
          <w:color w:val="303030"/>
          <w:shd w:val="clear" w:color="auto" w:fill="FFFFFF"/>
        </w:rPr>
        <w:t xml:space="preserve">To ensure that industry standards are not merely treated as passive reference documentation, </w:t>
      </w:r>
      <w:r w:rsidRPr="009C3DD6">
        <w:rPr>
          <w:rFonts w:ascii="Calibri" w:hAnsi="Calibri" w:cs="Calibri"/>
          <w:b/>
          <w:bCs/>
          <w:color w:val="303030"/>
          <w:shd w:val="clear" w:color="auto" w:fill="FFFFFF"/>
        </w:rPr>
        <w:t>the Specification Interpreter agent</w:t>
      </w:r>
      <w:r w:rsidRPr="009C3DD6">
        <w:rPr>
          <w:rStyle w:val="ng-star-inserted"/>
          <w:rFonts w:ascii="Calibri" w:hAnsi="Calibri" w:cs="Calibri"/>
          <w:color w:val="303030"/>
          <w:shd w:val="clear" w:color="auto" w:fill="FFFFFF"/>
        </w:rPr>
        <w:t xml:space="preserve"> must actively embed them into the executable ISL blueprint. In the ALETHEIA architecture, standards must act as rigorous constraints that guide reasoning agents and are deterministically verifiable by the platform's engineering tools</w:t>
      </w:r>
      <w:r w:rsidR="00EB1524" w:rsidRPr="009C3DD6">
        <w:rPr>
          <w:rFonts w:ascii="Calibri" w:eastAsia="Times New Roman" w:hAnsi="Calibri" w:cs="Calibri"/>
          <w:kern w:val="0"/>
          <w14:ligatures w14:val="none"/>
        </w:rPr>
        <w:t>.</w:t>
      </w:r>
    </w:p>
    <w:p w14:paraId="65541514" w14:textId="77777777" w:rsidR="00EB1524" w:rsidRPr="00EB1524" w:rsidRDefault="00EB1524" w:rsidP="00EB1524">
      <w:pPr>
        <w:spacing w:after="120" w:line="240" w:lineRule="auto"/>
        <w:rPr>
          <w:rFonts w:ascii="Calibri" w:eastAsia="Times New Roman" w:hAnsi="Calibri" w:cs="Calibri"/>
          <w:kern w:val="0"/>
          <w14:ligatures w14:val="none"/>
        </w:rPr>
      </w:pPr>
      <w:r w:rsidRPr="00EB1524">
        <w:rPr>
          <w:rFonts w:ascii="Calibri" w:eastAsia="Times New Roman" w:hAnsi="Calibri" w:cs="Calibri"/>
          <w:b/>
          <w:bCs/>
          <w:kern w:val="0"/>
          <w14:ligatures w14:val="none"/>
        </w:rPr>
        <w:lastRenderedPageBreak/>
        <w:t>Standards Handling Rules:</w:t>
      </w:r>
    </w:p>
    <w:p w14:paraId="65B9929B"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Map Directly to Canonical Entities:</w:t>
      </w:r>
      <w:r w:rsidRPr="00EB1524">
        <w:rPr>
          <w:rFonts w:ascii="Calibri" w:eastAsia="Times New Roman" w:hAnsi="Calibri" w:cs="Calibri"/>
          <w:color w:val="303030"/>
          <w:kern w:val="0"/>
          <w:sz w:val="21"/>
          <w:szCs w:val="21"/>
          <w14:ligatures w14:val="none"/>
        </w:rPr>
        <w:t xml:space="preserve"> Do not simply list standards in narrative form.</w:t>
      </w:r>
    </w:p>
    <w:p w14:paraId="1B3A2532"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NCSC</w:t>
      </w:r>
      <w:r w:rsidRPr="00EB1524">
        <w:rPr>
          <w:rFonts w:ascii="Calibri" w:eastAsia="Times New Roman" w:hAnsi="Calibri" w:cs="Calibri"/>
          <w:color w:val="303030"/>
          <w:kern w:val="0"/>
          <w:sz w:val="21"/>
          <w:szCs w:val="21"/>
          <w14:ligatures w14:val="none"/>
        </w:rPr>
        <w:t xml:space="preserve"> principles directly to structured </w:t>
      </w:r>
      <w:r w:rsidRPr="00EB1524">
        <w:rPr>
          <w:rFonts w:ascii="Calibri" w:eastAsia="Times New Roman" w:hAnsi="Calibri" w:cs="Calibri"/>
          <w:color w:val="303030"/>
          <w:kern w:val="0"/>
          <w:sz w:val="20"/>
          <w:szCs w:val="20"/>
          <w14:ligatures w14:val="none"/>
        </w:rPr>
        <w:t>Workflow</w:t>
      </w:r>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color w:val="303030"/>
          <w:kern w:val="0"/>
          <w:sz w:val="20"/>
          <w:szCs w:val="20"/>
          <w14:ligatures w14:val="none"/>
        </w:rPr>
        <w:t>Requirement</w:t>
      </w:r>
      <w:r w:rsidRPr="00EB1524">
        <w:rPr>
          <w:rFonts w:ascii="Calibri" w:eastAsia="Times New Roman" w:hAnsi="Calibri" w:cs="Calibri"/>
          <w:color w:val="303030"/>
          <w:kern w:val="0"/>
          <w:sz w:val="21"/>
          <w:szCs w:val="21"/>
          <w14:ligatures w14:val="none"/>
        </w:rPr>
        <w:t xml:space="preserve"> entities.</w:t>
      </w:r>
    </w:p>
    <w:p w14:paraId="20B19D52"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NIEM</w:t>
      </w:r>
      <w:r w:rsidRPr="00EB1524">
        <w:rPr>
          <w:rFonts w:ascii="Calibri" w:eastAsia="Times New Roman" w:hAnsi="Calibri" w:cs="Calibri"/>
          <w:color w:val="303030"/>
          <w:kern w:val="0"/>
          <w:sz w:val="21"/>
          <w:szCs w:val="21"/>
          <w14:ligatures w14:val="none"/>
        </w:rPr>
        <w:t xml:space="preserve"> models directly to </w:t>
      </w:r>
      <w:proofErr w:type="spellStart"/>
      <w:r w:rsidRPr="00EB1524">
        <w:rPr>
          <w:rFonts w:ascii="Calibri" w:eastAsia="Times New Roman" w:hAnsi="Calibri" w:cs="Calibri"/>
          <w:color w:val="303030"/>
          <w:kern w:val="0"/>
          <w:sz w:val="20"/>
          <w:szCs w:val="20"/>
          <w14:ligatures w14:val="none"/>
        </w:rPr>
        <w:t>DataEntity</w:t>
      </w:r>
      <w:proofErr w:type="spellEnd"/>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color w:val="303030"/>
          <w:kern w:val="0"/>
          <w:sz w:val="20"/>
          <w:szCs w:val="20"/>
          <w14:ligatures w14:val="none"/>
        </w:rPr>
        <w:t>Interface</w:t>
      </w:r>
      <w:r w:rsidRPr="00EB1524">
        <w:rPr>
          <w:rFonts w:ascii="Calibri" w:eastAsia="Times New Roman" w:hAnsi="Calibri" w:cs="Calibri"/>
          <w:color w:val="303030"/>
          <w:kern w:val="0"/>
          <w:sz w:val="21"/>
          <w:szCs w:val="21"/>
          <w14:ligatures w14:val="none"/>
        </w:rPr>
        <w:t xml:space="preserve"> entities to ensure interoperability.</w:t>
      </w:r>
    </w:p>
    <w:p w14:paraId="58ED286E" w14:textId="77777777" w:rsidR="00EB1524" w:rsidRPr="00EB1524" w:rsidRDefault="00EB1524" w:rsidP="00EB1524">
      <w:pPr>
        <w:numPr>
          <w:ilvl w:val="1"/>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color w:val="303030"/>
          <w:kern w:val="0"/>
          <w:sz w:val="21"/>
          <w:szCs w:val="21"/>
          <w14:ligatures w14:val="none"/>
        </w:rPr>
        <w:t xml:space="preserve">Map </w:t>
      </w:r>
      <w:r w:rsidRPr="00EB1524">
        <w:rPr>
          <w:rFonts w:ascii="Calibri" w:eastAsia="Times New Roman" w:hAnsi="Calibri" w:cs="Calibri"/>
          <w:b/>
          <w:bCs/>
          <w:color w:val="303030"/>
          <w:kern w:val="0"/>
          <w:sz w:val="21"/>
          <w:szCs w:val="21"/>
          <w14:ligatures w14:val="none"/>
        </w:rPr>
        <w:t>CJIS Security Policy</w:t>
      </w:r>
      <w:r w:rsidRPr="00EB1524">
        <w:rPr>
          <w:rFonts w:ascii="Calibri" w:eastAsia="Times New Roman" w:hAnsi="Calibri" w:cs="Calibri"/>
          <w:color w:val="303030"/>
          <w:kern w:val="0"/>
          <w:sz w:val="21"/>
          <w:szCs w:val="21"/>
          <w14:ligatures w14:val="none"/>
        </w:rPr>
        <w:t xml:space="preserve">, </w:t>
      </w:r>
      <w:r w:rsidRPr="00EB1524">
        <w:rPr>
          <w:rFonts w:ascii="Calibri" w:eastAsia="Times New Roman" w:hAnsi="Calibri" w:cs="Calibri"/>
          <w:b/>
          <w:bCs/>
          <w:color w:val="303030"/>
          <w:kern w:val="0"/>
          <w:sz w:val="21"/>
          <w:szCs w:val="21"/>
          <w14:ligatures w14:val="none"/>
        </w:rPr>
        <w:t>NIST 800-53</w:t>
      </w:r>
      <w:r w:rsidRPr="00EB1524">
        <w:rPr>
          <w:rFonts w:ascii="Calibri" w:eastAsia="Times New Roman" w:hAnsi="Calibri" w:cs="Calibri"/>
          <w:color w:val="303030"/>
          <w:kern w:val="0"/>
          <w:sz w:val="21"/>
          <w:szCs w:val="21"/>
          <w14:ligatures w14:val="none"/>
        </w:rPr>
        <w:t xml:space="preserve">, and </w:t>
      </w:r>
      <w:r w:rsidRPr="00EB1524">
        <w:rPr>
          <w:rFonts w:ascii="Calibri" w:eastAsia="Times New Roman" w:hAnsi="Calibri" w:cs="Calibri"/>
          <w:b/>
          <w:bCs/>
          <w:color w:val="303030"/>
          <w:kern w:val="0"/>
          <w:sz w:val="21"/>
          <w:szCs w:val="21"/>
          <w14:ligatures w14:val="none"/>
        </w:rPr>
        <w:t>Zero Trust</w:t>
      </w:r>
      <w:r w:rsidRPr="00EB1524">
        <w:rPr>
          <w:rFonts w:ascii="Calibri" w:eastAsia="Times New Roman" w:hAnsi="Calibri" w:cs="Calibri"/>
          <w:color w:val="303030"/>
          <w:kern w:val="0"/>
          <w:sz w:val="21"/>
          <w:szCs w:val="21"/>
          <w14:ligatures w14:val="none"/>
        </w:rPr>
        <w:t xml:space="preserve"> concepts directly to </w:t>
      </w:r>
      <w:r w:rsidRPr="00EB1524">
        <w:rPr>
          <w:rFonts w:ascii="Calibri" w:eastAsia="Times New Roman" w:hAnsi="Calibri" w:cs="Calibri"/>
          <w:color w:val="303030"/>
          <w:kern w:val="0"/>
          <w:sz w:val="20"/>
          <w:szCs w:val="20"/>
          <w14:ligatures w14:val="none"/>
        </w:rPr>
        <w:t>Policy</w:t>
      </w:r>
      <w:r w:rsidRPr="00EB1524">
        <w:rPr>
          <w:rFonts w:ascii="Calibri" w:eastAsia="Times New Roman" w:hAnsi="Calibri" w:cs="Calibri"/>
          <w:color w:val="303030"/>
          <w:kern w:val="0"/>
          <w:sz w:val="21"/>
          <w:szCs w:val="21"/>
          <w14:ligatures w14:val="none"/>
        </w:rPr>
        <w:t xml:space="preserve"> entities.</w:t>
      </w:r>
    </w:p>
    <w:p w14:paraId="1D34F568"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Enforce Traceability Identifiers:</w:t>
      </w:r>
      <w:r w:rsidRPr="00EB1524">
        <w:rPr>
          <w:rFonts w:ascii="Calibri" w:eastAsia="Times New Roman" w:hAnsi="Calibri" w:cs="Calibri"/>
          <w:color w:val="303030"/>
          <w:kern w:val="0"/>
          <w:sz w:val="21"/>
          <w:szCs w:val="21"/>
          <w14:ligatures w14:val="none"/>
        </w:rPr>
        <w:t xml:space="preserve"> Assign a unique, persistent Traceability Identifier to every applied standard or policy constraint (e.g., </w:t>
      </w:r>
      <w:r w:rsidRPr="00EB1524">
        <w:rPr>
          <w:rFonts w:ascii="Calibri" w:eastAsia="Times New Roman" w:hAnsi="Calibri" w:cs="Calibri"/>
          <w:color w:val="303030"/>
          <w:kern w:val="0"/>
          <w:sz w:val="20"/>
          <w:szCs w:val="20"/>
          <w14:ligatures w14:val="none"/>
        </w:rPr>
        <w:t>POL-CJIS-001</w:t>
      </w:r>
      <w:r w:rsidRPr="00EB1524">
        <w:rPr>
          <w:rFonts w:ascii="Calibri" w:eastAsia="Times New Roman" w:hAnsi="Calibri" w:cs="Calibri"/>
          <w:color w:val="303030"/>
          <w:kern w:val="0"/>
          <w:sz w:val="21"/>
          <w:szCs w:val="21"/>
          <w14:ligatures w14:val="none"/>
        </w:rPr>
        <w:t xml:space="preserve">, </w:t>
      </w:r>
      <w:r w:rsidRPr="00EB1524">
        <w:rPr>
          <w:rFonts w:ascii="Calibri" w:eastAsia="Times New Roman" w:hAnsi="Calibri" w:cs="Calibri"/>
          <w:color w:val="303030"/>
          <w:kern w:val="0"/>
          <w:sz w:val="20"/>
          <w:szCs w:val="20"/>
          <w14:ligatures w14:val="none"/>
        </w:rPr>
        <w:t>ENT-NIEM-01</w:t>
      </w:r>
      <w:r w:rsidRPr="00EB1524">
        <w:rPr>
          <w:rFonts w:ascii="Calibri" w:eastAsia="Times New Roman" w:hAnsi="Calibri" w:cs="Calibri"/>
          <w:color w:val="303030"/>
          <w:kern w:val="0"/>
          <w:sz w:val="21"/>
          <w:szCs w:val="21"/>
          <w14:ligatures w14:val="none"/>
        </w:rPr>
        <w:t>). This allows the platform's Security Validator agent and Traceability Engine to link the generated source code directly back to the regulatory requirement.</w:t>
      </w:r>
    </w:p>
    <w:p w14:paraId="13B74A69"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Tool-Mapped Compliance (Validation):</w:t>
      </w:r>
      <w:r w:rsidRPr="00EB1524">
        <w:rPr>
          <w:rFonts w:ascii="Calibri" w:eastAsia="Times New Roman" w:hAnsi="Calibri" w:cs="Calibri"/>
          <w:color w:val="303030"/>
          <w:kern w:val="0"/>
          <w:sz w:val="21"/>
          <w:szCs w:val="21"/>
          <w14:ligatures w14:val="none"/>
        </w:rPr>
        <w:t xml:space="preserve"> Every mandatory standard must be paired with a deterministic Validation rule. Explicitly state </w:t>
      </w:r>
      <w:r w:rsidRPr="00EB1524">
        <w:rPr>
          <w:rFonts w:ascii="Calibri" w:eastAsia="Times New Roman" w:hAnsi="Calibri" w:cs="Calibri"/>
          <w:i/>
          <w:iCs/>
          <w:color w:val="303030"/>
          <w:kern w:val="0"/>
          <w:sz w:val="21"/>
          <w:szCs w:val="21"/>
          <w14:ligatures w14:val="none"/>
        </w:rPr>
        <w:t>how</w:t>
      </w:r>
      <w:r w:rsidRPr="00EB1524">
        <w:rPr>
          <w:rFonts w:ascii="Calibri" w:eastAsia="Times New Roman" w:hAnsi="Calibri" w:cs="Calibri"/>
          <w:color w:val="303030"/>
          <w:kern w:val="0"/>
          <w:sz w:val="21"/>
          <w:szCs w:val="21"/>
          <w14:ligatures w14:val="none"/>
        </w:rPr>
        <w:t xml:space="preserve"> the platform will verify compliance using the Tool Abstraction Layer (e.g., "NIEM compliance verified via Schema Validation Plugin," or "CJIS data encryption verified via Static Analysis Security Scanner").</w:t>
      </w:r>
    </w:p>
    <w:p w14:paraId="79AE5763"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Conflict Escalation as an Approval Gate:</w:t>
      </w:r>
      <w:r w:rsidRPr="00EB1524">
        <w:rPr>
          <w:rFonts w:ascii="Calibri" w:eastAsia="Times New Roman" w:hAnsi="Calibri" w:cs="Calibri"/>
          <w:color w:val="303030"/>
          <w:kern w:val="0"/>
          <w:sz w:val="21"/>
          <w:szCs w:val="21"/>
          <w14:ligatures w14:val="none"/>
        </w:rPr>
        <w:t xml:space="preserve"> If standards conflict, document the conflict and explicitly flag it as an exception requiring human escalation. This creates a mandatory </w:t>
      </w:r>
      <w:r w:rsidRPr="00EB1524">
        <w:rPr>
          <w:rFonts w:ascii="Calibri" w:eastAsia="Times New Roman" w:hAnsi="Calibri" w:cs="Calibri"/>
          <w:b/>
          <w:bCs/>
          <w:color w:val="303030"/>
          <w:kern w:val="0"/>
          <w:sz w:val="21"/>
          <w:szCs w:val="21"/>
          <w14:ligatures w14:val="none"/>
        </w:rPr>
        <w:t>Approval Gate</w:t>
      </w:r>
      <w:r w:rsidRPr="00EB1524">
        <w:rPr>
          <w:rFonts w:ascii="Calibri" w:eastAsia="Times New Roman" w:hAnsi="Calibri" w:cs="Calibri"/>
          <w:color w:val="303030"/>
          <w:kern w:val="0"/>
          <w:sz w:val="21"/>
          <w:szCs w:val="21"/>
          <w14:ligatures w14:val="none"/>
        </w:rPr>
        <w:t xml:space="preserve"> that must be resolved by human governance authorities (e.g., a Security Professional) before the specification can advance to the Autonomous-Ready Level.</w:t>
      </w:r>
    </w:p>
    <w:p w14:paraId="305B687A" w14:textId="77777777" w:rsidR="00EB1524" w:rsidRPr="00EB1524" w:rsidRDefault="00EB1524" w:rsidP="00EB1524">
      <w:pPr>
        <w:numPr>
          <w:ilvl w:val="0"/>
          <w:numId w:val="18"/>
        </w:numPr>
        <w:shd w:val="clear" w:color="auto" w:fill="FFFFFF"/>
        <w:spacing w:after="0" w:line="240" w:lineRule="auto"/>
        <w:rPr>
          <w:rFonts w:ascii="Calibri" w:eastAsia="Times New Roman" w:hAnsi="Calibri" w:cs="Calibri"/>
          <w:color w:val="303030"/>
          <w:kern w:val="0"/>
          <w:sz w:val="21"/>
          <w:szCs w:val="21"/>
          <w14:ligatures w14:val="none"/>
        </w:rPr>
      </w:pPr>
      <w:r w:rsidRPr="00EB1524">
        <w:rPr>
          <w:rFonts w:ascii="Calibri" w:eastAsia="Times New Roman" w:hAnsi="Calibri" w:cs="Calibri"/>
          <w:b/>
          <w:bCs/>
          <w:color w:val="303030"/>
          <w:kern w:val="0"/>
          <w:sz w:val="21"/>
          <w:szCs w:val="21"/>
          <w14:ligatures w14:val="none"/>
        </w:rPr>
        <w:t>Strict Compliance Tiers:</w:t>
      </w:r>
      <w:r w:rsidRPr="00EB1524">
        <w:rPr>
          <w:rFonts w:ascii="Calibri" w:eastAsia="Times New Roman" w:hAnsi="Calibri" w:cs="Calibri"/>
          <w:color w:val="303030"/>
          <w:kern w:val="0"/>
          <w:sz w:val="21"/>
          <w:szCs w:val="21"/>
          <w14:ligatures w14:val="none"/>
        </w:rPr>
        <w:t xml:space="preserve"> Clearly demarcate compliance levels as </w:t>
      </w:r>
      <w:proofErr w:type="spellStart"/>
      <w:r w:rsidRPr="00EB1524">
        <w:rPr>
          <w:rFonts w:ascii="Calibri" w:eastAsia="Times New Roman" w:hAnsi="Calibri" w:cs="Calibri"/>
          <w:color w:val="303030"/>
          <w:kern w:val="0"/>
          <w:sz w:val="21"/>
          <w:szCs w:val="21"/>
          <w14:ligatures w14:val="none"/>
        </w:rPr>
        <w:t>parseable</w:t>
      </w:r>
      <w:proofErr w:type="spellEnd"/>
      <w:r w:rsidRPr="00EB1524">
        <w:rPr>
          <w:rFonts w:ascii="Calibri" w:eastAsia="Times New Roman" w:hAnsi="Calibri" w:cs="Calibri"/>
          <w:color w:val="303030"/>
          <w:kern w:val="0"/>
          <w:sz w:val="21"/>
          <w:szCs w:val="21"/>
          <w14:ligatures w14:val="none"/>
        </w:rPr>
        <w:t xml:space="preserve"> attributes (e.g., Mandatory, Recommended, Optional) so the Planning Engine knows which policies block autonomous execution if violated.</w:t>
      </w:r>
    </w:p>
    <w:p w14:paraId="704C1269" w14:textId="474D6F47" w:rsidR="00792E3E" w:rsidRPr="00792E3E" w:rsidRDefault="00792E3E" w:rsidP="00792E3E">
      <w:pPr>
        <w:pStyle w:val="Heading2"/>
        <w:rPr>
          <w:rFonts w:ascii="Calibri" w:hAnsi="Calibri" w:cs="Calibri"/>
        </w:rPr>
      </w:pPr>
      <w:r w:rsidRPr="00792E3E">
        <w:rPr>
          <w:rFonts w:ascii="Calibri" w:hAnsi="Calibri" w:cs="Calibri"/>
        </w:rPr>
        <w:t>4. Required Output Structure (Aligned with ISL Canonical Model)</w:t>
      </w:r>
    </w:p>
    <w:p w14:paraId="67789A85" w14:textId="77777777" w:rsidR="00343C2C" w:rsidRPr="00343C2C" w:rsidRDefault="00343C2C" w:rsidP="00343C2C">
      <w:pPr>
        <w:spacing w:after="120" w:line="240" w:lineRule="auto"/>
        <w:rPr>
          <w:rFonts w:ascii="Calibri" w:eastAsia="Times New Roman" w:hAnsi="Calibri" w:cs="Calibri"/>
          <w:kern w:val="0"/>
          <w14:ligatures w14:val="none"/>
        </w:rPr>
      </w:pPr>
      <w:r w:rsidRPr="00343C2C">
        <w:rPr>
          <w:rFonts w:ascii="Calibri" w:eastAsia="Times New Roman" w:hAnsi="Calibri" w:cs="Calibri"/>
          <w:kern w:val="0"/>
          <w14:ligatures w14:val="none"/>
        </w:rPr>
        <w:t>To ensure the generated specification can be parsed by the Specification Engine and utilized by ALETHEIA's autonomous construction pipeline, the output structure must abandon traditional business requirements outlines. Instead, it must strictly map to the Canonical Semantic Model.</w:t>
      </w:r>
    </w:p>
    <w:p w14:paraId="18CCCEC3" w14:textId="77777777" w:rsidR="00343C2C" w:rsidRPr="00343C2C" w:rsidRDefault="00343C2C" w:rsidP="00343C2C">
      <w:pPr>
        <w:spacing w:after="120" w:line="240" w:lineRule="auto"/>
        <w:rPr>
          <w:rFonts w:ascii="Calibri" w:eastAsia="Times New Roman" w:hAnsi="Calibri" w:cs="Calibri"/>
          <w:kern w:val="0"/>
          <w14:ligatures w14:val="none"/>
        </w:rPr>
      </w:pPr>
      <w:r w:rsidRPr="00343C2C">
        <w:rPr>
          <w:rFonts w:ascii="Calibri" w:eastAsia="Times New Roman" w:hAnsi="Calibri" w:cs="Calibri"/>
          <w:b/>
          <w:bCs/>
          <w:kern w:val="0"/>
          <w14:ligatures w14:val="none"/>
        </w:rPr>
        <w:t>The Architecture Planner agent</w:t>
      </w:r>
      <w:r w:rsidRPr="00343C2C">
        <w:rPr>
          <w:rFonts w:ascii="Calibri" w:eastAsia="Times New Roman" w:hAnsi="Calibri" w:cs="Calibri"/>
          <w:kern w:val="0"/>
          <w14:ligatures w14:val="none"/>
        </w:rPr>
        <w:t xml:space="preserve"> must format the ISL Markdown document using the canonical entities below. </w:t>
      </w:r>
      <w:r w:rsidRPr="00343C2C">
        <w:rPr>
          <w:rFonts w:ascii="Calibri" w:eastAsia="Times New Roman" w:hAnsi="Calibri" w:cs="Calibri"/>
          <w:b/>
          <w:bCs/>
          <w:kern w:val="0"/>
          <w14:ligatures w14:val="none"/>
        </w:rPr>
        <w:t>Crucially, the output must employ Strict Entity Demarcation:</w:t>
      </w:r>
      <w:r w:rsidRPr="00343C2C">
        <w:rPr>
          <w:rFonts w:ascii="Calibri" w:eastAsia="Times New Roman" w:hAnsi="Calibri" w:cs="Calibri"/>
          <w:kern w:val="0"/>
          <w14:ligatures w14:val="none"/>
        </w:rPr>
        <w:t xml:space="preserve"> beneath any headers, distinct sub-headers or YAML frontmatter blocks must be used to clearly separate individual canonical entities so the Specification Engine can extract them accurately during normalization.</w:t>
      </w:r>
    </w:p>
    <w:p w14:paraId="0E075AB7" w14:textId="77777777" w:rsidR="00B46547" w:rsidRPr="00B46547" w:rsidRDefault="00B46547" w:rsidP="00B46547">
      <w:pPr>
        <w:spacing w:after="120" w:line="240" w:lineRule="auto"/>
        <w:rPr>
          <w:rFonts w:ascii="Calibri" w:eastAsia="Times New Roman" w:hAnsi="Calibri" w:cs="Calibri"/>
          <w:kern w:val="0"/>
          <w14:ligatures w14:val="none"/>
        </w:rPr>
      </w:pPr>
      <w:r w:rsidRPr="00B46547">
        <w:rPr>
          <w:rFonts w:ascii="Calibri" w:eastAsia="Times New Roman" w:hAnsi="Calibri" w:cs="Calibri"/>
          <w:b/>
          <w:bCs/>
          <w:kern w:val="0"/>
          <w14:ligatures w14:val="none"/>
        </w:rPr>
        <w:t>Required ISL Outline (Strictly Ungrouped &amp; Canonical):</w:t>
      </w:r>
      <w:r w:rsidRPr="00B46547">
        <w:rPr>
          <w:rFonts w:ascii="Calibri" w:eastAsia="Times New Roman" w:hAnsi="Calibri" w:cs="Calibri"/>
          <w:kern w:val="0"/>
          <w14:ligatures w14:val="none"/>
        </w:rPr>
        <w:t xml:space="preserve"> </w:t>
      </w:r>
      <w:r w:rsidRPr="00B46547">
        <w:rPr>
          <w:rFonts w:ascii="Calibri" w:eastAsia="Times New Roman" w:hAnsi="Calibri" w:cs="Calibri"/>
          <w:i/>
          <w:iCs/>
          <w:kern w:val="0"/>
          <w14:ligatures w14:val="none"/>
        </w:rPr>
        <w:t>Per ISL v1.1, the headers must utilize these exact, singular canonical entity names to guarantee successful parser normalization:</w:t>
      </w:r>
    </w:p>
    <w:p w14:paraId="4B2FDA6C"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Project:</w:t>
      </w:r>
      <w:r w:rsidRPr="00B46547">
        <w:rPr>
          <w:rFonts w:ascii="Calibri" w:eastAsia="Times New Roman" w:hAnsi="Calibri" w:cs="Calibri"/>
          <w:color w:val="303030"/>
          <w:kern w:val="0"/>
          <w:sz w:val="21"/>
          <w:szCs w:val="21"/>
          <w14:ligatures w14:val="none"/>
        </w:rPr>
        <w:t xml:space="preserve"> The system's identity, domain, and highest-level business objectives.</w:t>
      </w:r>
    </w:p>
    <w:p w14:paraId="05DB4711"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Context:</w:t>
      </w:r>
      <w:r w:rsidRPr="00B46547">
        <w:rPr>
          <w:rFonts w:ascii="Calibri" w:eastAsia="Times New Roman" w:hAnsi="Calibri" w:cs="Calibri"/>
          <w:color w:val="303030"/>
          <w:kern w:val="0"/>
          <w:sz w:val="21"/>
          <w:szCs w:val="21"/>
          <w14:ligatures w14:val="none"/>
        </w:rPr>
        <w:t xml:space="preserve"> The external environment, existing systems, and operational boundaries in which it operates.</w:t>
      </w:r>
    </w:p>
    <w:p w14:paraId="484204E2"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Stakeholder:</w:t>
      </w:r>
      <w:r w:rsidRPr="00B46547">
        <w:rPr>
          <w:rFonts w:ascii="Calibri" w:eastAsia="Times New Roman" w:hAnsi="Calibri" w:cs="Calibri"/>
          <w:color w:val="303030"/>
          <w:kern w:val="0"/>
          <w:sz w:val="21"/>
          <w:szCs w:val="21"/>
          <w14:ligatures w14:val="none"/>
        </w:rPr>
        <w:t xml:space="preserve"> Human governance, oversight roles, and accountability structures.</w:t>
      </w:r>
    </w:p>
    <w:p w14:paraId="27C2244D"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Actor:</w:t>
      </w:r>
      <w:r w:rsidRPr="00B46547">
        <w:rPr>
          <w:rFonts w:ascii="Calibri" w:eastAsia="Times New Roman" w:hAnsi="Calibri" w:cs="Calibri"/>
          <w:color w:val="303030"/>
          <w:kern w:val="0"/>
          <w:sz w:val="21"/>
          <w:szCs w:val="21"/>
          <w14:ligatures w14:val="none"/>
        </w:rPr>
        <w:t xml:space="preserve"> Users, automated processes, and external systems interacting directly with the service.</w:t>
      </w:r>
    </w:p>
    <w:p w14:paraId="5DF75B6A"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Capability:</w:t>
      </w:r>
      <w:r w:rsidRPr="00B46547">
        <w:rPr>
          <w:rFonts w:ascii="Calibri" w:eastAsia="Times New Roman" w:hAnsi="Calibri" w:cs="Calibri"/>
          <w:color w:val="303030"/>
          <w:kern w:val="0"/>
          <w:sz w:val="21"/>
          <w:szCs w:val="21"/>
          <w14:ligatures w14:val="none"/>
        </w:rPr>
        <w:t xml:space="preserve"> High-level business functions or services provided by the system.</w:t>
      </w:r>
    </w:p>
    <w:p w14:paraId="757AC93F"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Requirement:</w:t>
      </w:r>
      <w:r w:rsidRPr="00B46547">
        <w:rPr>
          <w:rFonts w:ascii="Calibri" w:eastAsia="Times New Roman" w:hAnsi="Calibri" w:cs="Calibri"/>
          <w:color w:val="303030"/>
          <w:kern w:val="0"/>
          <w:sz w:val="21"/>
          <w:szCs w:val="21"/>
          <w14:ligatures w14:val="none"/>
        </w:rPr>
        <w:t xml:space="preserve"> Specific functional, non-functional, and operational rules, distinctly separated from the capabilities they support.</w:t>
      </w:r>
    </w:p>
    <w:p w14:paraId="02876AA1"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Service:</w:t>
      </w:r>
      <w:r w:rsidRPr="00B46547">
        <w:rPr>
          <w:rFonts w:ascii="Calibri" w:eastAsia="Times New Roman" w:hAnsi="Calibri" w:cs="Calibri"/>
          <w:color w:val="303030"/>
          <w:kern w:val="0"/>
          <w:sz w:val="21"/>
          <w:szCs w:val="21"/>
          <w14:ligatures w14:val="none"/>
        </w:rPr>
        <w:t xml:space="preserve"> The logical deployable subsystems to be generated (e.g., Intake REST Service).</w:t>
      </w:r>
    </w:p>
    <w:p w14:paraId="201255F7"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Interface:</w:t>
      </w:r>
      <w:r w:rsidRPr="00B46547">
        <w:rPr>
          <w:rFonts w:ascii="Calibri" w:eastAsia="Times New Roman" w:hAnsi="Calibri" w:cs="Calibri"/>
          <w:color w:val="303030"/>
          <w:kern w:val="0"/>
          <w:sz w:val="21"/>
          <w:szCs w:val="21"/>
          <w14:ligatures w14:val="none"/>
        </w:rPr>
        <w:t xml:space="preserve"> The specific communication boundaries (APIs, messaging endpoints).</w:t>
      </w:r>
    </w:p>
    <w:p w14:paraId="7A78B667"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proofErr w:type="spellStart"/>
      <w:r w:rsidRPr="00B46547">
        <w:rPr>
          <w:rFonts w:ascii="Calibri" w:eastAsia="Times New Roman" w:hAnsi="Calibri" w:cs="Calibri"/>
          <w:b/>
          <w:bCs/>
          <w:color w:val="303030"/>
          <w:kern w:val="0"/>
          <w:sz w:val="21"/>
          <w:szCs w:val="21"/>
          <w14:ligatures w14:val="none"/>
        </w:rPr>
        <w:t>DataEntity</w:t>
      </w:r>
      <w:proofErr w:type="spellEnd"/>
      <w:r w:rsidRPr="00B46547">
        <w:rPr>
          <w:rFonts w:ascii="Calibri" w:eastAsia="Times New Roman" w:hAnsi="Calibri" w:cs="Calibri"/>
          <w:b/>
          <w:bCs/>
          <w:color w:val="303030"/>
          <w:kern w:val="0"/>
          <w:sz w:val="21"/>
          <w:szCs w:val="21"/>
          <w14:ligatures w14:val="none"/>
        </w:rPr>
        <w:t>:</w:t>
      </w:r>
      <w:r w:rsidRPr="00B46547">
        <w:rPr>
          <w:rFonts w:ascii="Calibri" w:eastAsia="Times New Roman" w:hAnsi="Calibri" w:cs="Calibri"/>
          <w:color w:val="303030"/>
          <w:kern w:val="0"/>
          <w:sz w:val="21"/>
          <w:szCs w:val="21"/>
          <w14:ligatures w14:val="none"/>
        </w:rPr>
        <w:t xml:space="preserve"> Structured information models, attributes, and relationships (e.g., Case, Party, Charge).</w:t>
      </w:r>
    </w:p>
    <w:p w14:paraId="03FA7DD0"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Workflow:</w:t>
      </w:r>
      <w:r w:rsidRPr="00B46547">
        <w:rPr>
          <w:rFonts w:ascii="Calibri" w:eastAsia="Times New Roman" w:hAnsi="Calibri" w:cs="Calibri"/>
          <w:color w:val="303030"/>
          <w:kern w:val="0"/>
          <w:sz w:val="21"/>
          <w:szCs w:val="21"/>
          <w14:ligatures w14:val="none"/>
        </w:rPr>
        <w:t xml:space="preserve"> Step-by-step behavioral processes and state transitions the system must orchestrate.</w:t>
      </w:r>
    </w:p>
    <w:p w14:paraId="3BB959B9"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Policy:</w:t>
      </w:r>
      <w:r w:rsidRPr="00B46547">
        <w:rPr>
          <w:rFonts w:ascii="Calibri" w:eastAsia="Times New Roman" w:hAnsi="Calibri" w:cs="Calibri"/>
          <w:color w:val="303030"/>
          <w:kern w:val="0"/>
          <w:sz w:val="21"/>
          <w:szCs w:val="21"/>
          <w14:ligatures w14:val="none"/>
        </w:rPr>
        <w:t xml:space="preserve"> Strict security constraints, privacy rules, and access control mechanisms (CJIS/NIST).</w:t>
      </w:r>
    </w:p>
    <w:p w14:paraId="50B3DAC8"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lastRenderedPageBreak/>
        <w:t>Infrastructure:</w:t>
      </w:r>
      <w:r w:rsidRPr="00B46547">
        <w:rPr>
          <w:rFonts w:ascii="Calibri" w:eastAsia="Times New Roman" w:hAnsi="Calibri" w:cs="Calibri"/>
          <w:color w:val="303030"/>
          <w:kern w:val="0"/>
          <w:sz w:val="21"/>
          <w:szCs w:val="21"/>
          <w14:ligatures w14:val="none"/>
        </w:rPr>
        <w:t xml:space="preserve"> The deployment expectations, targeting a local-first, containerized .NET MACS runtime.</w:t>
      </w:r>
    </w:p>
    <w:p w14:paraId="1EDD1CED" w14:textId="77777777" w:rsidR="00B46547" w:rsidRPr="00B46547" w:rsidRDefault="00B46547" w:rsidP="00B46547">
      <w:pPr>
        <w:numPr>
          <w:ilvl w:val="0"/>
          <w:numId w:val="28"/>
        </w:numPr>
        <w:shd w:val="clear" w:color="auto" w:fill="FFFFFF"/>
        <w:spacing w:after="0" w:line="240" w:lineRule="auto"/>
        <w:rPr>
          <w:rFonts w:ascii="Calibri" w:eastAsia="Times New Roman" w:hAnsi="Calibri" w:cs="Calibri"/>
          <w:color w:val="303030"/>
          <w:kern w:val="0"/>
          <w:sz w:val="21"/>
          <w:szCs w:val="21"/>
          <w14:ligatures w14:val="none"/>
        </w:rPr>
      </w:pPr>
      <w:r w:rsidRPr="00B46547">
        <w:rPr>
          <w:rFonts w:ascii="Calibri" w:eastAsia="Times New Roman" w:hAnsi="Calibri" w:cs="Calibri"/>
          <w:b/>
          <w:bCs/>
          <w:color w:val="303030"/>
          <w:kern w:val="0"/>
          <w:sz w:val="21"/>
          <w:szCs w:val="21"/>
          <w14:ligatures w14:val="none"/>
        </w:rPr>
        <w:t>Validation:</w:t>
      </w:r>
      <w:r w:rsidRPr="00B46547">
        <w:rPr>
          <w:rFonts w:ascii="Calibri" w:eastAsia="Times New Roman" w:hAnsi="Calibri" w:cs="Calibri"/>
          <w:color w:val="303030"/>
          <w:kern w:val="0"/>
          <w:sz w:val="21"/>
          <w:szCs w:val="21"/>
          <w14:ligatures w14:val="none"/>
        </w:rPr>
        <w:t xml:space="preserve"> Deterministic rules and exact testing scenarios mapped to specific tools.</w:t>
      </w:r>
    </w:p>
    <w:p w14:paraId="203BE1AB" w14:textId="0437AF94" w:rsidR="00D0558F" w:rsidRPr="00710ABE" w:rsidRDefault="00D0558F" w:rsidP="00710ABE">
      <w:pPr>
        <w:pStyle w:val="Heading2"/>
      </w:pPr>
      <w:r w:rsidRPr="00710ABE">
        <w:t xml:space="preserve">5. </w:t>
      </w:r>
      <w:r w:rsidR="00710ABE" w:rsidRPr="00710ABE">
        <w:t>Model Interaction Protocol &amp; Negotiation Rules</w:t>
      </w:r>
    </w:p>
    <w:p w14:paraId="6D1E0C05" w14:textId="77777777" w:rsidR="00710ABE" w:rsidRPr="00710ABE" w:rsidRDefault="00710ABE" w:rsidP="00710ABE">
      <w:pPr>
        <w:spacing w:after="120" w:line="240" w:lineRule="auto"/>
        <w:rPr>
          <w:rFonts w:ascii="Calibri" w:eastAsia="Times New Roman" w:hAnsi="Calibri" w:cs="Calibri"/>
          <w:kern w:val="0"/>
          <w14:ligatures w14:val="none"/>
        </w:rPr>
      </w:pPr>
      <w:r w:rsidRPr="00710ABE">
        <w:rPr>
          <w:rFonts w:ascii="Calibri" w:eastAsia="Times New Roman" w:hAnsi="Calibri" w:cs="Calibri"/>
          <w:kern w:val="0"/>
          <w14:ligatures w14:val="none"/>
        </w:rPr>
        <w:t xml:space="preserve">In this early stage, you are acting as the platform's </w:t>
      </w:r>
      <w:r w:rsidRPr="00710ABE">
        <w:rPr>
          <w:rFonts w:ascii="Calibri" w:eastAsia="Times New Roman" w:hAnsi="Calibri" w:cs="Calibri"/>
          <w:b/>
          <w:bCs/>
          <w:kern w:val="0"/>
          <w14:ligatures w14:val="none"/>
        </w:rPr>
        <w:t>Specification Interpreter</w:t>
      </w:r>
      <w:r w:rsidRPr="00710ABE">
        <w:rPr>
          <w:rFonts w:ascii="Calibri" w:eastAsia="Times New Roman" w:hAnsi="Calibri" w:cs="Calibri"/>
          <w:kern w:val="0"/>
          <w14:ligatures w14:val="none"/>
        </w:rPr>
        <w:t xml:space="preserve"> and </w:t>
      </w:r>
      <w:r w:rsidRPr="00710ABE">
        <w:rPr>
          <w:rFonts w:ascii="Calibri" w:eastAsia="Times New Roman" w:hAnsi="Calibri" w:cs="Calibri"/>
          <w:b/>
          <w:bCs/>
          <w:kern w:val="0"/>
          <w14:ligatures w14:val="none"/>
        </w:rPr>
        <w:t>Architecture Planner</w:t>
      </w:r>
      <w:r w:rsidRPr="00710ABE">
        <w:rPr>
          <w:rFonts w:ascii="Calibri" w:eastAsia="Times New Roman" w:hAnsi="Calibri" w:cs="Calibri"/>
          <w:kern w:val="0"/>
          <w14:ligatures w14:val="none"/>
        </w:rPr>
        <w:t xml:space="preserve"> agents. Per the ALETHEIA Model Interaction Protocol (ISL v3.8), this interaction cannot be treated as an informal or conversational chat. It is a structured reasoning transaction.</w:t>
      </w:r>
    </w:p>
    <w:p w14:paraId="34C01055" w14:textId="77777777" w:rsidR="00710ABE" w:rsidRPr="00710ABE" w:rsidRDefault="00710ABE" w:rsidP="00710ABE">
      <w:pPr>
        <w:spacing w:after="120" w:line="240" w:lineRule="auto"/>
        <w:rPr>
          <w:rFonts w:ascii="Calibri" w:eastAsia="Times New Roman" w:hAnsi="Calibri" w:cs="Calibri"/>
          <w:kern w:val="0"/>
          <w14:ligatures w14:val="none"/>
        </w:rPr>
      </w:pPr>
      <w:r w:rsidRPr="00710ABE">
        <w:rPr>
          <w:rFonts w:ascii="Calibri" w:eastAsia="Times New Roman" w:hAnsi="Calibri" w:cs="Calibri"/>
          <w:b/>
          <w:bCs/>
          <w:kern w:val="0"/>
          <w14:ligatures w14:val="none"/>
        </w:rPr>
        <w:t>Interaction Rules:</w:t>
      </w:r>
    </w:p>
    <w:p w14:paraId="473F51BD"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Strict Output Contract:</w:t>
      </w:r>
      <w:r w:rsidRPr="00710ABE">
        <w:rPr>
          <w:rFonts w:ascii="Calibri" w:eastAsia="Times New Roman" w:hAnsi="Calibri" w:cs="Calibri"/>
          <w:color w:val="303030"/>
          <w:kern w:val="0"/>
          <w:sz w:val="21"/>
          <w:szCs w:val="21"/>
          <w14:ligatures w14:val="none"/>
        </w:rPr>
        <w:t xml:space="preserve"> You are governed by an output contract. Keep responses strictly formatted. Output must naturally map to ISL Markdown or JSON formats. Absolutely no conversational filler, preambles, or concluding remarks are permitted.</w:t>
      </w:r>
    </w:p>
    <w:p w14:paraId="632F96BA"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Provide Advisory Assistance:</w:t>
      </w:r>
      <w:r w:rsidRPr="00710ABE">
        <w:rPr>
          <w:rFonts w:ascii="Calibri" w:eastAsia="Times New Roman" w:hAnsi="Calibri" w:cs="Calibri"/>
          <w:color w:val="303030"/>
          <w:kern w:val="0"/>
          <w:sz w:val="21"/>
          <w:szCs w:val="21"/>
          <w14:ligatures w14:val="none"/>
        </w:rPr>
        <w:t xml:space="preserve"> Actively guide the human author by suggesting missing canonical elements (e.g., Actors, Services, Policies) using structured, bulleted lists.</w:t>
      </w:r>
    </w:p>
    <w:p w14:paraId="33B639F5" w14:textId="77777777" w:rsidR="00710ABE" w:rsidRPr="00710ABE" w:rsidRDefault="00710ABE" w:rsidP="00710ABE">
      <w:pPr>
        <w:numPr>
          <w:ilvl w:val="0"/>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Targeted Clarifications:</w:t>
      </w:r>
      <w:r w:rsidRPr="00710ABE">
        <w:rPr>
          <w:rFonts w:ascii="Calibri" w:eastAsia="Times New Roman" w:hAnsi="Calibri" w:cs="Calibri"/>
          <w:color w:val="303030"/>
          <w:kern w:val="0"/>
          <w:sz w:val="21"/>
          <w:szCs w:val="21"/>
          <w14:ligatures w14:val="none"/>
        </w:rPr>
        <w:t xml:space="preserve"> Ask clarification questions ONLY if:</w:t>
      </w:r>
    </w:p>
    <w:p w14:paraId="70DA446B"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A legal jurisdiction or operational boundary is undefined.</w:t>
      </w:r>
    </w:p>
    <w:p w14:paraId="007FA39A"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A mandatory standard choice is ambiguous.</w:t>
      </w:r>
    </w:p>
    <w:p w14:paraId="3BB3FF9F" w14:textId="77777777" w:rsidR="00710ABE" w:rsidRPr="00710ABE" w:rsidRDefault="00710ABE" w:rsidP="00710ABE">
      <w:pPr>
        <w:numPr>
          <w:ilvl w:val="1"/>
          <w:numId w:val="24"/>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color w:val="303030"/>
          <w:kern w:val="0"/>
          <w:sz w:val="21"/>
          <w:szCs w:val="21"/>
          <w14:ligatures w14:val="none"/>
        </w:rPr>
        <w:t>Deterministic Validation and Acceptance Criteria are missing.</w:t>
      </w:r>
    </w:p>
    <w:p w14:paraId="1F30612C" w14:textId="77777777" w:rsidR="00AC770D" w:rsidRPr="00AC770D" w:rsidRDefault="00AC770D" w:rsidP="00AC770D">
      <w:pPr>
        <w:pStyle w:val="Heading2"/>
      </w:pPr>
      <w:r w:rsidRPr="00AC770D">
        <w:t>6. Terminology &amp; Traceability Discipline</w:t>
      </w:r>
    </w:p>
    <w:p w14:paraId="4EE8D5F5" w14:textId="77777777" w:rsidR="003942BE" w:rsidRPr="003942BE" w:rsidRDefault="003942BE" w:rsidP="003942BE">
      <w:pPr>
        <w:spacing w:after="120" w:line="240" w:lineRule="auto"/>
        <w:rPr>
          <w:rFonts w:ascii="Calibri" w:eastAsia="Times New Roman" w:hAnsi="Calibri" w:cs="Calibri"/>
          <w:kern w:val="0"/>
          <w14:ligatures w14:val="none"/>
        </w:rPr>
      </w:pPr>
      <w:r w:rsidRPr="003942BE">
        <w:rPr>
          <w:rFonts w:ascii="Calibri" w:eastAsia="Times New Roman" w:hAnsi="Calibri" w:cs="Calibri"/>
          <w:kern w:val="0"/>
          <w14:ligatures w14:val="none"/>
        </w:rPr>
        <w:t>To ensure the ALETHEIA Specification Engine parses the document accurately without creating duplicate semantic entities, and to enable the platform's autonomous tracing and repair loops, strict discipline must be applied to both terminology and entity identification.</w:t>
      </w:r>
    </w:p>
    <w:p w14:paraId="5564E794" w14:textId="77777777" w:rsidR="003942BE" w:rsidRPr="003942BE" w:rsidRDefault="003942BE" w:rsidP="003942BE">
      <w:pPr>
        <w:spacing w:after="120" w:line="240" w:lineRule="auto"/>
        <w:rPr>
          <w:rFonts w:ascii="Calibri" w:eastAsia="Times New Roman" w:hAnsi="Calibri" w:cs="Calibri"/>
          <w:kern w:val="0"/>
          <w14:ligatures w14:val="none"/>
        </w:rPr>
      </w:pPr>
      <w:r w:rsidRPr="003942BE">
        <w:rPr>
          <w:rFonts w:ascii="Calibri" w:eastAsia="Times New Roman" w:hAnsi="Calibri" w:cs="Calibri"/>
          <w:b/>
          <w:bCs/>
          <w:kern w:val="0"/>
          <w14:ligatures w14:val="none"/>
        </w:rPr>
        <w:t>Terminology Rules:</w:t>
      </w:r>
    </w:p>
    <w:p w14:paraId="1B1505DD"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Consistent Vocabulary:</w:t>
      </w:r>
      <w:r w:rsidRPr="003942BE">
        <w:rPr>
          <w:rFonts w:ascii="Calibri" w:eastAsia="Times New Roman" w:hAnsi="Calibri" w:cs="Calibri"/>
          <w:color w:val="303030"/>
          <w:kern w:val="0"/>
          <w:sz w:val="21"/>
          <w:szCs w:val="21"/>
          <w14:ligatures w14:val="none"/>
        </w:rPr>
        <w:t xml:space="preserve"> Use consistent legal and technical terms.</w:t>
      </w:r>
    </w:p>
    <w:p w14:paraId="108EB4BF"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Strict Reuse:</w:t>
      </w:r>
      <w:r w:rsidRPr="003942BE">
        <w:rPr>
          <w:rFonts w:ascii="Calibri" w:eastAsia="Times New Roman" w:hAnsi="Calibri" w:cs="Calibri"/>
          <w:color w:val="303030"/>
          <w:kern w:val="0"/>
          <w:sz w:val="21"/>
          <w:szCs w:val="21"/>
          <w14:ligatures w14:val="none"/>
        </w:rPr>
        <w:t xml:space="preserve"> Define terms once, then reuse them verbatim throughout the document.</w:t>
      </w:r>
    </w:p>
    <w:p w14:paraId="4DB8C579"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No Synonyms:</w:t>
      </w:r>
      <w:r w:rsidRPr="003942BE">
        <w:rPr>
          <w:rFonts w:ascii="Calibri" w:eastAsia="Times New Roman" w:hAnsi="Calibri" w:cs="Calibri"/>
          <w:color w:val="303030"/>
          <w:kern w:val="0"/>
          <w:sz w:val="21"/>
          <w:szCs w:val="21"/>
          <w14:ligatures w14:val="none"/>
        </w:rPr>
        <w:t xml:space="preserve"> Avoid synonyms for core concepts (e.g., strictly use "Case", not "Matter" or "Docket" interchangeably).</w:t>
      </w:r>
    </w:p>
    <w:p w14:paraId="447C94BD" w14:textId="77777777" w:rsidR="003942BE" w:rsidRPr="003942BE" w:rsidRDefault="003942BE" w:rsidP="003942BE">
      <w:pPr>
        <w:numPr>
          <w:ilvl w:val="0"/>
          <w:numId w:val="22"/>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Capitalization:</w:t>
      </w:r>
      <w:r w:rsidRPr="003942BE">
        <w:rPr>
          <w:rFonts w:ascii="Calibri" w:eastAsia="Times New Roman" w:hAnsi="Calibri" w:cs="Calibri"/>
          <w:color w:val="303030"/>
          <w:kern w:val="0"/>
          <w:sz w:val="21"/>
          <w:szCs w:val="21"/>
          <w14:ligatures w14:val="none"/>
        </w:rPr>
        <w:t xml:space="preserve"> Capitalize all defined terms to clearly signal their status as formal semantic entities.</w:t>
      </w:r>
    </w:p>
    <w:p w14:paraId="7A62F212" w14:textId="77777777" w:rsidR="003942BE" w:rsidRPr="003942BE" w:rsidRDefault="003942BE" w:rsidP="003942BE">
      <w:pPr>
        <w:spacing w:before="120" w:after="120" w:line="240" w:lineRule="auto"/>
        <w:rPr>
          <w:rFonts w:ascii="Calibri" w:eastAsia="Times New Roman" w:hAnsi="Calibri" w:cs="Calibri"/>
          <w:kern w:val="0"/>
          <w14:ligatures w14:val="none"/>
        </w:rPr>
      </w:pPr>
      <w:r w:rsidRPr="003942BE">
        <w:rPr>
          <w:rFonts w:ascii="Calibri" w:eastAsia="Times New Roman" w:hAnsi="Calibri" w:cs="Calibri"/>
          <w:b/>
          <w:bCs/>
          <w:kern w:val="0"/>
          <w14:ligatures w14:val="none"/>
        </w:rPr>
        <w:t>Traceability Identification (The Traceability Graph):</w:t>
      </w:r>
    </w:p>
    <w:p w14:paraId="40ED8D75" w14:textId="77777777" w:rsidR="003942BE" w:rsidRPr="003942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Inherent Structural Property:</w:t>
      </w:r>
      <w:r w:rsidRPr="003942BE">
        <w:rPr>
          <w:rFonts w:ascii="Calibri" w:eastAsia="Times New Roman" w:hAnsi="Calibri" w:cs="Calibri"/>
          <w:color w:val="303030"/>
          <w:kern w:val="0"/>
          <w:sz w:val="21"/>
          <w:szCs w:val="21"/>
          <w14:ligatures w14:val="none"/>
        </w:rPr>
        <w:t xml:space="preserve"> Traceability in ALETHEIA is not a secondary external documentation layer; it is an inherent structural property that forms a bidirectional graph connecting intent to implementation.</w:t>
      </w:r>
    </w:p>
    <w:p w14:paraId="74589126" w14:textId="6BF674CF" w:rsidR="003942BE" w:rsidRPr="00710A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710ABE">
        <w:rPr>
          <w:rFonts w:ascii="Calibri" w:eastAsia="Times New Roman" w:hAnsi="Calibri" w:cs="Calibri"/>
          <w:b/>
          <w:bCs/>
          <w:color w:val="303030"/>
          <w:kern w:val="0"/>
          <w:sz w:val="21"/>
          <w:szCs w:val="21"/>
          <w14:ligatures w14:val="none"/>
        </w:rPr>
        <w:t xml:space="preserve">Assign Unique Identifiers: </w:t>
      </w:r>
      <w:r w:rsidR="00710ABE" w:rsidRPr="00710ABE">
        <w:rPr>
          <w:rFonts w:eastAsia="Times New Roman"/>
          <w:kern w:val="0"/>
          <w:sz w:val="21"/>
          <w:szCs w:val="21"/>
          <w14:ligatures w14:val="none"/>
        </w:rPr>
        <w:t xml:space="preserve">The </w:t>
      </w:r>
      <w:r w:rsidR="00710ABE" w:rsidRPr="00710ABE">
        <w:rPr>
          <w:rFonts w:ascii="Calibri" w:eastAsia="Times New Roman" w:hAnsi="Calibri" w:cs="Calibri"/>
          <w:color w:val="303030"/>
          <w:kern w:val="0"/>
          <w:sz w:val="21"/>
          <w:szCs w:val="21"/>
          <w14:ligatures w14:val="none"/>
        </w:rPr>
        <w:t>Specification Interpreter agent</w:t>
      </w:r>
      <w:r w:rsidR="00710ABE" w:rsidRPr="00710ABE">
        <w:rPr>
          <w:rFonts w:eastAsia="Times New Roman"/>
          <w:kern w:val="0"/>
          <w:sz w:val="21"/>
          <w:szCs w:val="21"/>
          <w14:ligatures w14:val="none"/>
        </w:rPr>
        <w:t xml:space="preserve"> must explicitly assign a persistent, unique Traceability Identifier to </w:t>
      </w:r>
      <w:r w:rsidR="00710ABE" w:rsidRPr="00710ABE">
        <w:rPr>
          <w:rFonts w:ascii="Calibri" w:eastAsia="Times New Roman" w:hAnsi="Calibri" w:cs="Calibri"/>
          <w:color w:val="303030"/>
          <w:kern w:val="0"/>
          <w:sz w:val="21"/>
          <w:szCs w:val="21"/>
          <w14:ligatures w14:val="none"/>
        </w:rPr>
        <w:t>every</w:t>
      </w:r>
      <w:r w:rsidR="00710ABE" w:rsidRPr="00710ABE">
        <w:rPr>
          <w:rFonts w:eastAsia="Times New Roman"/>
          <w:kern w:val="0"/>
          <w:sz w:val="21"/>
          <w:szCs w:val="21"/>
          <w14:ligatures w14:val="none"/>
        </w:rPr>
        <w:t xml:space="preserve"> declared canonical entity within the specification (e.g., REQ-001 for a Requirement, ENT-CASE-01 for a Data Entity, SRV-INTAKE-01 for a Service, VAL-001 for a Validation Rule)</w:t>
      </w:r>
      <w:r w:rsidRPr="00710ABE">
        <w:rPr>
          <w:rFonts w:ascii="Calibri" w:eastAsia="Times New Roman" w:hAnsi="Calibri" w:cs="Calibri"/>
          <w:color w:val="303030"/>
          <w:kern w:val="0"/>
          <w:sz w:val="21"/>
          <w:szCs w:val="21"/>
          <w14:ligatures w14:val="none"/>
        </w:rPr>
        <w:t>.</w:t>
      </w:r>
    </w:p>
    <w:p w14:paraId="04C5623C" w14:textId="77777777" w:rsidR="003942BE" w:rsidRPr="003942BE" w:rsidRDefault="003942BE" w:rsidP="003942BE">
      <w:pPr>
        <w:numPr>
          <w:ilvl w:val="0"/>
          <w:numId w:val="23"/>
        </w:numPr>
        <w:shd w:val="clear" w:color="auto" w:fill="FFFFFF"/>
        <w:spacing w:after="0" w:line="240" w:lineRule="auto"/>
        <w:rPr>
          <w:rFonts w:ascii="Calibri" w:eastAsia="Times New Roman" w:hAnsi="Calibri" w:cs="Calibri"/>
          <w:color w:val="303030"/>
          <w:kern w:val="0"/>
          <w:sz w:val="21"/>
          <w:szCs w:val="21"/>
          <w14:ligatures w14:val="none"/>
        </w:rPr>
      </w:pPr>
      <w:r w:rsidRPr="003942BE">
        <w:rPr>
          <w:rFonts w:ascii="Calibri" w:eastAsia="Times New Roman" w:hAnsi="Calibri" w:cs="Calibri"/>
          <w:b/>
          <w:bCs/>
          <w:color w:val="303030"/>
          <w:kern w:val="0"/>
          <w:sz w:val="21"/>
          <w:szCs w:val="21"/>
          <w14:ligatures w14:val="none"/>
        </w:rPr>
        <w:t>Mandate Cross-Referencing (Crucial for Automation):</w:t>
      </w:r>
      <w:r w:rsidRPr="003942BE">
        <w:rPr>
          <w:rFonts w:ascii="Calibri" w:eastAsia="Times New Roman" w:hAnsi="Calibri" w:cs="Calibri"/>
          <w:color w:val="303030"/>
          <w:kern w:val="0"/>
          <w:sz w:val="21"/>
          <w:szCs w:val="21"/>
          <w14:ligatures w14:val="none"/>
        </w:rPr>
        <w:t xml:space="preserve"> It is not enough to simply tag entities. Downstream entities must explicitly cross-reference the upstream entities they fulfill to establish relational edges. For example, a Service (</w:t>
      </w:r>
      <w:r w:rsidRPr="003942BE">
        <w:rPr>
          <w:rFonts w:ascii="Calibri" w:eastAsia="Times New Roman" w:hAnsi="Calibri" w:cs="Calibri"/>
          <w:color w:val="303030"/>
          <w:kern w:val="0"/>
          <w:sz w:val="20"/>
          <w:szCs w:val="20"/>
          <w14:ligatures w14:val="none"/>
        </w:rPr>
        <w:t>SRV-001</w:t>
      </w:r>
      <w:r w:rsidRPr="003942BE">
        <w:rPr>
          <w:rFonts w:ascii="Calibri" w:eastAsia="Times New Roman" w:hAnsi="Calibri" w:cs="Calibri"/>
          <w:color w:val="303030"/>
          <w:kern w:val="0"/>
          <w:sz w:val="21"/>
          <w:szCs w:val="21"/>
          <w14:ligatures w14:val="none"/>
        </w:rPr>
        <w:t>) must list the Data Entities it manipulates, and a Validation Rule (</w:t>
      </w:r>
      <w:r w:rsidRPr="003942BE">
        <w:rPr>
          <w:rFonts w:ascii="Calibri" w:eastAsia="Times New Roman" w:hAnsi="Calibri" w:cs="Calibri"/>
          <w:color w:val="303030"/>
          <w:kern w:val="0"/>
          <w:sz w:val="20"/>
          <w:szCs w:val="20"/>
          <w14:ligatures w14:val="none"/>
        </w:rPr>
        <w:t>VAL-001</w:t>
      </w:r>
      <w:r w:rsidRPr="003942BE">
        <w:rPr>
          <w:rFonts w:ascii="Calibri" w:eastAsia="Times New Roman" w:hAnsi="Calibri" w:cs="Calibri"/>
          <w:color w:val="303030"/>
          <w:kern w:val="0"/>
          <w:sz w:val="21"/>
          <w:szCs w:val="21"/>
          <w14:ligatures w14:val="none"/>
        </w:rPr>
        <w:t>) must explicitly cite the Requirement (</w:t>
      </w:r>
      <w:r w:rsidRPr="003942BE">
        <w:rPr>
          <w:rFonts w:ascii="Calibri" w:eastAsia="Times New Roman" w:hAnsi="Calibri" w:cs="Calibri"/>
          <w:color w:val="303030"/>
          <w:kern w:val="0"/>
          <w:sz w:val="20"/>
          <w:szCs w:val="20"/>
          <w14:ligatures w14:val="none"/>
        </w:rPr>
        <w:t>REQ-001</w:t>
      </w:r>
      <w:r w:rsidRPr="003942BE">
        <w:rPr>
          <w:rFonts w:ascii="Calibri" w:eastAsia="Times New Roman" w:hAnsi="Calibri" w:cs="Calibri"/>
          <w:color w:val="303030"/>
          <w:kern w:val="0"/>
          <w:sz w:val="21"/>
          <w:szCs w:val="21"/>
          <w14:ligatures w14:val="none"/>
        </w:rPr>
        <w:t>) or Policy (</w:t>
      </w:r>
      <w:r w:rsidRPr="003942BE">
        <w:rPr>
          <w:rFonts w:ascii="Calibri" w:eastAsia="Times New Roman" w:hAnsi="Calibri" w:cs="Calibri"/>
          <w:color w:val="303030"/>
          <w:kern w:val="0"/>
          <w:sz w:val="20"/>
          <w:szCs w:val="20"/>
          <w14:ligatures w14:val="none"/>
        </w:rPr>
        <w:t>POL-001</w:t>
      </w:r>
      <w:r w:rsidRPr="003942BE">
        <w:rPr>
          <w:rFonts w:ascii="Calibri" w:eastAsia="Times New Roman" w:hAnsi="Calibri" w:cs="Calibri"/>
          <w:color w:val="303030"/>
          <w:kern w:val="0"/>
          <w:sz w:val="21"/>
          <w:szCs w:val="21"/>
          <w14:ligatures w14:val="none"/>
        </w:rPr>
        <w:t>) it is deterministically verifying. This builds the exact execution and impact analysis edges required by the platform's Planning Engine.</w:t>
      </w:r>
    </w:p>
    <w:p w14:paraId="212AC73F" w14:textId="7516F822" w:rsidR="00792E3E" w:rsidRPr="00D3138C" w:rsidRDefault="00792E3E" w:rsidP="00D3138C">
      <w:pPr>
        <w:pStyle w:val="Heading2"/>
      </w:pPr>
      <w:r w:rsidRPr="00D3138C">
        <w:lastRenderedPageBreak/>
        <w:t xml:space="preserve">7. </w:t>
      </w:r>
      <w:r w:rsidR="00D3138C" w:rsidRPr="00D3138C">
        <w:t>Initial Model Request (Structured Reasoning Transaction)</w:t>
      </w:r>
    </w:p>
    <w:p w14:paraId="46A69129" w14:textId="77777777" w:rsidR="00B223BE" w:rsidRDefault="00B223BE" w:rsidP="00B223BE">
      <w:pPr>
        <w:pStyle w:val="NormalWeb"/>
        <w:spacing w:before="0" w:beforeAutospacing="0" w:after="120" w:afterAutospacing="0"/>
      </w:pPr>
      <w:r>
        <w:t xml:space="preserve">To successfully initiate the specification process for ALETHEIA, the initial request must abandon prose-based prompting. Per ISL v3.8, it must be submitted as a strict </w:t>
      </w:r>
      <w:r>
        <w:rPr>
          <w:rStyle w:val="Strong"/>
        </w:rPr>
        <w:t>Structured Reasoning Transaction</w:t>
      </w:r>
      <w:r>
        <w:t xml:space="preserve"> containing explicit task identifiers, contexts, constraints, and expected output contracts. The human author must supply any relevant domain context (e.g., state statutes, NIEM schemas) within the </w:t>
      </w:r>
      <w:r>
        <w:rPr>
          <w:rStyle w:val="HTMLCode"/>
        </w:rPr>
        <w:t>CONTEXT ASSEMBLY</w:t>
      </w:r>
      <w:r>
        <w:t xml:space="preserve"> block.</w:t>
      </w:r>
    </w:p>
    <w:p w14:paraId="7F1BA9EF" w14:textId="77777777" w:rsidR="00B223BE" w:rsidRDefault="00B223BE" w:rsidP="00B223BE">
      <w:pPr>
        <w:pStyle w:val="NormalWeb"/>
        <w:spacing w:before="0" w:beforeAutospacing="0" w:after="120" w:afterAutospacing="0"/>
      </w:pPr>
      <w:r>
        <w:rPr>
          <w:rStyle w:val="Strong"/>
        </w:rPr>
        <w:t>The Structured Transaction Payload:</w:t>
      </w:r>
    </w:p>
    <w:p w14:paraId="63532012" w14:textId="77777777" w:rsidR="00B223BE" w:rsidRDefault="00B223BE" w:rsidP="00B223BE">
      <w:pPr>
        <w:pStyle w:val="HTMLPreformatted"/>
        <w:rPr>
          <w:rStyle w:val="HTMLCode"/>
        </w:rPr>
      </w:pPr>
      <w:r>
        <w:rPr>
          <w:rStyle w:val="HTMLCode"/>
        </w:rPr>
        <w:t>---</w:t>
      </w:r>
    </w:p>
    <w:p w14:paraId="07024243" w14:textId="77777777" w:rsidR="00B223BE" w:rsidRDefault="00B223BE" w:rsidP="00B223BE">
      <w:pPr>
        <w:pStyle w:val="HTMLPreformatted"/>
        <w:rPr>
          <w:rStyle w:val="HTMLCode"/>
        </w:rPr>
      </w:pPr>
      <w:r>
        <w:rPr>
          <w:rStyle w:val="HTMLCode"/>
        </w:rPr>
        <w:t>TRANSACTION_ID: TASK-SPEC-INIT-001</w:t>
      </w:r>
    </w:p>
    <w:p w14:paraId="7CB4B125" w14:textId="77777777" w:rsidR="00B223BE" w:rsidRDefault="00B223BE" w:rsidP="00B223BE">
      <w:pPr>
        <w:pStyle w:val="HTMLPreformatted"/>
        <w:rPr>
          <w:rStyle w:val="HTMLCode"/>
        </w:rPr>
      </w:pPr>
      <w:r>
        <w:rPr>
          <w:rStyle w:val="HTMLCode"/>
        </w:rPr>
        <w:t>AGENT_ROLES: [Specification Interpreter, Architecture Planner, Security Validator, Test Generator]</w:t>
      </w:r>
    </w:p>
    <w:p w14:paraId="3AFCCA1C" w14:textId="77777777" w:rsidR="00B223BE" w:rsidRDefault="00B223BE" w:rsidP="00B223BE">
      <w:pPr>
        <w:pStyle w:val="HTMLPreformatted"/>
        <w:rPr>
          <w:rStyle w:val="HTMLCode"/>
        </w:rPr>
      </w:pPr>
      <w:r>
        <w:rPr>
          <w:rStyle w:val="HTMLCode"/>
        </w:rPr>
        <w:t>TARGET_ARCHITECTURE: Minimal Autonomous Construction System (MACS) .NET REST Service</w:t>
      </w:r>
    </w:p>
    <w:p w14:paraId="0EE25CC8" w14:textId="77777777" w:rsidR="00B223BE" w:rsidRDefault="00B223BE" w:rsidP="00B223BE">
      <w:pPr>
        <w:pStyle w:val="HTMLPreformatted"/>
        <w:rPr>
          <w:rStyle w:val="HTMLCode"/>
        </w:rPr>
      </w:pPr>
      <w:r>
        <w:rPr>
          <w:rStyle w:val="HTMLCode"/>
        </w:rPr>
        <w:t>---</w:t>
      </w:r>
    </w:p>
    <w:p w14:paraId="1D0E1882" w14:textId="77777777" w:rsidR="00B223BE" w:rsidRDefault="00B223BE" w:rsidP="00B223BE">
      <w:pPr>
        <w:pStyle w:val="HTMLPreformatted"/>
        <w:rPr>
          <w:rStyle w:val="HTMLCode"/>
        </w:rPr>
      </w:pPr>
    </w:p>
    <w:p w14:paraId="40CF0161" w14:textId="77777777" w:rsidR="00B223BE" w:rsidRDefault="00B223BE" w:rsidP="00B223BE">
      <w:pPr>
        <w:pStyle w:val="HTMLPreformatted"/>
        <w:rPr>
          <w:rStyle w:val="HTMLCode"/>
        </w:rPr>
      </w:pPr>
      <w:r>
        <w:rPr>
          <w:rStyle w:val="HTMLCode"/>
        </w:rPr>
        <w:t># CONTEXT ASSEMBLY:</w:t>
      </w:r>
    </w:p>
    <w:p w14:paraId="6074AB05" w14:textId="77777777" w:rsidR="00B223BE" w:rsidRDefault="00B223BE" w:rsidP="00B223BE">
      <w:pPr>
        <w:pStyle w:val="HTMLPreformatted"/>
        <w:rPr>
          <w:rStyle w:val="HTMLCode"/>
        </w:rPr>
      </w:pPr>
      <w:r>
        <w:rPr>
          <w:rStyle w:val="HTMLCode"/>
        </w:rPr>
        <w:t>Assume a U.S. state-level judiciary. Follow a standards-first approach using NCSC principles for case lifecycles, NIEM data structures for interoperability, and CJIS/NIST security policies. Assume a local-first, containerized .NET deployment target for the initial execution. [Insert actual state statutes / schemas here].</w:t>
      </w:r>
    </w:p>
    <w:p w14:paraId="76D1D546" w14:textId="77777777" w:rsidR="00B223BE" w:rsidRDefault="00B223BE" w:rsidP="00B223BE">
      <w:pPr>
        <w:pStyle w:val="HTMLPreformatted"/>
        <w:rPr>
          <w:rStyle w:val="HTMLCode"/>
        </w:rPr>
      </w:pPr>
    </w:p>
    <w:p w14:paraId="6AEFE54C" w14:textId="77777777" w:rsidR="00B223BE" w:rsidRDefault="00B223BE" w:rsidP="00B223BE">
      <w:pPr>
        <w:pStyle w:val="HTMLPreformatted"/>
        <w:rPr>
          <w:rStyle w:val="HTMLCode"/>
        </w:rPr>
      </w:pPr>
      <w:r>
        <w:rPr>
          <w:rStyle w:val="HTMLCode"/>
        </w:rPr>
        <w:t># OPERATIONAL CONSTRAINTS:</w:t>
      </w:r>
    </w:p>
    <w:p w14:paraId="103C9304" w14:textId="77777777" w:rsidR="00B223BE" w:rsidRDefault="00B223BE" w:rsidP="00B223BE">
      <w:pPr>
        <w:pStyle w:val="HTMLPreformatted"/>
        <w:rPr>
          <w:rStyle w:val="HTMLCode"/>
        </w:rPr>
      </w:pPr>
      <w:r>
        <w:rPr>
          <w:rStyle w:val="HTMLCode"/>
        </w:rPr>
        <w:t xml:space="preserve">You must establish a bidirectional Traceability Graph. Assign persistent, unique identifiers (e.g., REQ-001, SRV-INTAKE-01) to every defined entity, and explicitly cross-reference them across sections (e.g., a Service must cite the </w:t>
      </w:r>
      <w:proofErr w:type="spellStart"/>
      <w:r>
        <w:rPr>
          <w:rStyle w:val="HTMLCode"/>
        </w:rPr>
        <w:t>DataEntity</w:t>
      </w:r>
      <w:proofErr w:type="spellEnd"/>
      <w:r>
        <w:rPr>
          <w:rStyle w:val="HTMLCode"/>
        </w:rPr>
        <w:t xml:space="preserve"> it uses). Ensure the Validation section includes specific, deterministic rules mapped to testing tools.</w:t>
      </w:r>
    </w:p>
    <w:p w14:paraId="7EE0C469" w14:textId="77777777" w:rsidR="00B223BE" w:rsidRDefault="00B223BE" w:rsidP="00B223BE">
      <w:pPr>
        <w:pStyle w:val="HTMLPreformatted"/>
        <w:rPr>
          <w:rStyle w:val="HTMLCode"/>
        </w:rPr>
      </w:pPr>
    </w:p>
    <w:p w14:paraId="0FDBE6AF" w14:textId="77777777" w:rsidR="00B223BE" w:rsidRDefault="00B223BE" w:rsidP="00B223BE">
      <w:pPr>
        <w:pStyle w:val="HTMLPreformatted"/>
        <w:rPr>
          <w:rStyle w:val="HTMLCode"/>
        </w:rPr>
      </w:pPr>
      <w:r>
        <w:rPr>
          <w:rStyle w:val="HTMLCode"/>
        </w:rPr>
        <w:t># OUTPUT CONTRACT:</w:t>
      </w:r>
    </w:p>
    <w:p w14:paraId="022D88D7" w14:textId="77777777" w:rsidR="00B223BE" w:rsidRDefault="00B223BE" w:rsidP="00B223BE">
      <w:pPr>
        <w:pStyle w:val="HTMLPreformatted"/>
        <w:rPr>
          <w:rStyle w:val="HTMLCode"/>
        </w:rPr>
      </w:pPr>
      <w:r>
        <w:rPr>
          <w:rStyle w:val="HTMLCode"/>
        </w:rPr>
        <w:t xml:space="preserve">Output ONLY a strict ISL Markdown document. Do not include conversational preambles, acknowledgments, or concluding remarks so the output is immediately </w:t>
      </w:r>
      <w:proofErr w:type="gramStart"/>
      <w:r>
        <w:rPr>
          <w:rStyle w:val="HTMLCode"/>
        </w:rPr>
        <w:t>machine-</w:t>
      </w:r>
      <w:proofErr w:type="spellStart"/>
      <w:r>
        <w:rPr>
          <w:rStyle w:val="HTMLCode"/>
        </w:rPr>
        <w:t>parseable</w:t>
      </w:r>
      <w:proofErr w:type="spellEnd"/>
      <w:proofErr w:type="gramEnd"/>
      <w:r>
        <w:rPr>
          <w:rStyle w:val="HTMLCode"/>
        </w:rPr>
        <w:t xml:space="preserve">. Output the document utilizing the following 13 discrete canonical headers exactly: Project, Context, Stakeholder, Actor, Capability, Requirement, Service, Interface, </w:t>
      </w:r>
      <w:proofErr w:type="spellStart"/>
      <w:r>
        <w:rPr>
          <w:rStyle w:val="HTMLCode"/>
        </w:rPr>
        <w:t>DataEntity</w:t>
      </w:r>
      <w:proofErr w:type="spellEnd"/>
      <w:r>
        <w:rPr>
          <w:rStyle w:val="HTMLCode"/>
        </w:rPr>
        <w:t>, Workflow, Policy, Infrastructure, Validation.</w:t>
      </w:r>
    </w:p>
    <w:p w14:paraId="27E75B9A" w14:textId="77777777" w:rsidR="00B223BE" w:rsidRDefault="00B223BE" w:rsidP="00B223BE">
      <w:pPr>
        <w:pStyle w:val="HTMLPreformatted"/>
        <w:rPr>
          <w:rStyle w:val="HTMLCode"/>
        </w:rPr>
      </w:pPr>
    </w:p>
    <w:p w14:paraId="71B1DEF6" w14:textId="77777777" w:rsidR="00B223BE" w:rsidRDefault="00B223BE" w:rsidP="00B223BE">
      <w:pPr>
        <w:pStyle w:val="HTMLPreformatted"/>
        <w:rPr>
          <w:rStyle w:val="HTMLCode"/>
        </w:rPr>
      </w:pPr>
      <w:r>
        <w:rPr>
          <w:rStyle w:val="HTMLCode"/>
        </w:rPr>
        <w:t>If mandatory jurisdictional boundaries, compliance standards, or validation criteria are ambiguous, do not ask conversational questions. Instead, append a strictly formatted `### CLARIFICATIONS REQUIRED` markdown block at the very end of the document containing your structured questions.</w:t>
      </w:r>
    </w:p>
    <w:p w14:paraId="3A3C48D5" w14:textId="77777777" w:rsidR="00792E3E" w:rsidRPr="00792E3E" w:rsidRDefault="00792E3E" w:rsidP="00792E3E">
      <w:pPr>
        <w:pStyle w:val="Heading2"/>
        <w:rPr>
          <w:rFonts w:ascii="Calibri" w:hAnsi="Calibri" w:cs="Calibri"/>
        </w:rPr>
      </w:pPr>
      <w:r w:rsidRPr="00792E3E">
        <w:rPr>
          <w:rFonts w:ascii="Calibri" w:hAnsi="Calibri" w:cs="Calibri"/>
        </w:rPr>
        <w:t>8. Next Steps: Specification Readiness &amp; Governance Lifecycle</w:t>
      </w:r>
    </w:p>
    <w:p w14:paraId="1FA5FC06" w14:textId="77777777" w:rsidR="009C3DD6" w:rsidRPr="009C3DD6" w:rsidRDefault="009C3DD6" w:rsidP="009C3DD6">
      <w:pPr>
        <w:spacing w:after="0" w:line="240" w:lineRule="auto"/>
        <w:rPr>
          <w:rFonts w:ascii="Calibri" w:eastAsia="Times New Roman" w:hAnsi="Calibri" w:cs="Calibri"/>
          <w:kern w:val="0"/>
          <w14:ligatures w14:val="none"/>
        </w:rPr>
      </w:pPr>
      <w:r w:rsidRPr="009C3DD6">
        <w:rPr>
          <w:rFonts w:ascii="Calibri" w:eastAsia="Times New Roman" w:hAnsi="Calibri" w:cs="Calibri"/>
          <w:kern w:val="0"/>
          <w14:ligatures w14:val="none"/>
        </w:rPr>
        <w:t xml:space="preserve">To fully transition from a traditional requirements-gathering exercise into an ALETHEIA autonomous workflow, the "Next Steps" must move beyond simply refining business rules. The process must strictly follow the </w:t>
      </w:r>
      <w:r w:rsidRPr="009C3DD6">
        <w:rPr>
          <w:rFonts w:ascii="Calibri" w:eastAsia="Times New Roman" w:hAnsi="Calibri" w:cs="Calibri"/>
          <w:b/>
          <w:bCs/>
          <w:kern w:val="0"/>
          <w14:ligatures w14:val="none"/>
        </w:rPr>
        <w:t>ISL Specification Readiness Levels</w:t>
      </w:r>
      <w:r w:rsidRPr="009C3DD6">
        <w:rPr>
          <w:rFonts w:ascii="Calibri" w:eastAsia="Times New Roman" w:hAnsi="Calibri" w:cs="Calibri"/>
          <w:kern w:val="0"/>
          <w14:ligatures w14:val="none"/>
        </w:rPr>
        <w:t xml:space="preserve"> and enforce formal </w:t>
      </w:r>
      <w:r w:rsidRPr="009C3DD6">
        <w:rPr>
          <w:rFonts w:ascii="Calibri" w:eastAsia="Times New Roman" w:hAnsi="Calibri" w:cs="Calibri"/>
          <w:b/>
          <w:bCs/>
          <w:kern w:val="0"/>
          <w14:ligatures w14:val="none"/>
        </w:rPr>
        <w:t>Approval Gates</w:t>
      </w:r>
      <w:r w:rsidRPr="009C3DD6">
        <w:rPr>
          <w:rFonts w:ascii="Calibri" w:eastAsia="Times New Roman" w:hAnsi="Calibri" w:cs="Calibri"/>
          <w:kern w:val="0"/>
          <w14:ligatures w14:val="none"/>
        </w:rPr>
        <w:t xml:space="preserve"> to mature the blueprint from a conversational draft into an executable graph authorized for autonomous construction.</w:t>
      </w:r>
    </w:p>
    <w:p w14:paraId="3DC223C8" w14:textId="77777777" w:rsidR="009C3DD6" w:rsidRPr="009C3DD6" w:rsidRDefault="009C3DD6" w:rsidP="009C3DD6">
      <w:pPr>
        <w:spacing w:before="120" w:after="120" w:line="240" w:lineRule="auto"/>
        <w:rPr>
          <w:rFonts w:ascii="Calibri" w:eastAsia="Times New Roman" w:hAnsi="Calibri" w:cs="Calibri"/>
          <w:kern w:val="0"/>
          <w14:ligatures w14:val="none"/>
        </w:rPr>
      </w:pPr>
      <w:r w:rsidRPr="009C3DD6">
        <w:rPr>
          <w:rFonts w:ascii="Calibri" w:eastAsia="Times New Roman" w:hAnsi="Calibri" w:cs="Calibri"/>
          <w:b/>
          <w:bCs/>
          <w:kern w:val="0"/>
          <w14:ligatures w14:val="none"/>
        </w:rPr>
        <w:t>The Next Steps:</w:t>
      </w:r>
    </w:p>
    <w:p w14:paraId="5BE392EF"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lastRenderedPageBreak/>
        <w:t>Draft Level (Collaborative Refinement):</w:t>
      </w:r>
      <w:r w:rsidRPr="009C3DD6">
        <w:rPr>
          <w:rFonts w:ascii="Calibri" w:eastAsia="Times New Roman" w:hAnsi="Calibri" w:cs="Calibri"/>
          <w:color w:val="303030"/>
          <w:kern w:val="0"/>
          <w:sz w:val="21"/>
          <w:szCs w:val="21"/>
          <w14:ligatures w14:val="none"/>
        </w:rPr>
        <w:t xml:space="preserve"> Engage the </w:t>
      </w:r>
      <w:r w:rsidRPr="009C3DD6">
        <w:rPr>
          <w:rFonts w:ascii="Calibri" w:eastAsia="Times New Roman" w:hAnsi="Calibri" w:cs="Calibri"/>
          <w:b/>
          <w:bCs/>
          <w:color w:val="303030"/>
          <w:kern w:val="0"/>
          <w:sz w:val="21"/>
          <w:szCs w:val="21"/>
          <w14:ligatures w14:val="none"/>
        </w:rPr>
        <w:t>Specification Interpreter agent</w:t>
      </w:r>
      <w:r w:rsidRPr="009C3DD6">
        <w:rPr>
          <w:rFonts w:ascii="Calibri" w:eastAsia="Times New Roman" w:hAnsi="Calibri" w:cs="Calibri"/>
          <w:color w:val="303030"/>
          <w:kern w:val="0"/>
          <w:sz w:val="21"/>
          <w:szCs w:val="21"/>
          <w14:ligatures w14:val="none"/>
        </w:rPr>
        <w:t xml:space="preserve"> to iteratively refine the initial blueprint. Clarify missing jurisdiction-specific rules, case types, and data-sharing boundaries, ensuring they are mapped to the proper canonical entities and that all entities are assigned their mandatory </w:t>
      </w:r>
      <w:r w:rsidRPr="009C3DD6">
        <w:rPr>
          <w:rFonts w:ascii="Calibri" w:eastAsia="Times New Roman" w:hAnsi="Calibri" w:cs="Calibri"/>
          <w:b/>
          <w:bCs/>
          <w:color w:val="303030"/>
          <w:kern w:val="0"/>
          <w:sz w:val="21"/>
          <w:szCs w:val="21"/>
          <w14:ligatures w14:val="none"/>
        </w:rPr>
        <w:t>Traceability Identifiers</w:t>
      </w:r>
      <w:r w:rsidRPr="009C3DD6">
        <w:rPr>
          <w:rFonts w:ascii="Calibri" w:eastAsia="Times New Roman" w:hAnsi="Calibri" w:cs="Calibri"/>
          <w:color w:val="303030"/>
          <w:kern w:val="0"/>
          <w:sz w:val="21"/>
          <w:szCs w:val="21"/>
          <w14:ligatures w14:val="none"/>
        </w:rPr>
        <w:t>.</w:t>
      </w:r>
    </w:p>
    <w:p w14:paraId="4488CE83"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t>Reviewable Level (Formal Approval Gates):</w:t>
      </w:r>
      <w:r w:rsidRPr="009C3DD6">
        <w:rPr>
          <w:rFonts w:ascii="Calibri" w:eastAsia="Times New Roman" w:hAnsi="Calibri" w:cs="Calibri"/>
          <w:color w:val="303030"/>
          <w:kern w:val="0"/>
          <w:sz w:val="21"/>
          <w:szCs w:val="21"/>
          <w14:ligatures w14:val="none"/>
        </w:rPr>
        <w:t xml:space="preserve"> The completed ISL Markdown document is presented to human domain experts, architects, and compliance officers (Stakeholders). The document must pass explicitly defined </w:t>
      </w:r>
      <w:r w:rsidRPr="009C3DD6">
        <w:rPr>
          <w:rFonts w:ascii="Calibri" w:eastAsia="Times New Roman" w:hAnsi="Calibri" w:cs="Calibri"/>
          <w:b/>
          <w:bCs/>
          <w:color w:val="303030"/>
          <w:kern w:val="0"/>
          <w:sz w:val="21"/>
          <w:szCs w:val="21"/>
          <w14:ligatures w14:val="none"/>
        </w:rPr>
        <w:t>Approval Gates</w:t>
      </w:r>
      <w:r w:rsidRPr="009C3DD6">
        <w:rPr>
          <w:rFonts w:ascii="Calibri" w:eastAsia="Times New Roman" w:hAnsi="Calibri" w:cs="Calibri"/>
          <w:color w:val="303030"/>
          <w:kern w:val="0"/>
          <w:sz w:val="21"/>
          <w:szCs w:val="21"/>
          <w14:ligatures w14:val="none"/>
        </w:rPr>
        <w:t xml:space="preserve"> where designated roles verify the architecture.</w:t>
      </w:r>
    </w:p>
    <w:p w14:paraId="4F6762D0" w14:textId="77777777" w:rsidR="009C3DD6" w:rsidRPr="009C3DD6" w:rsidRDefault="009C3DD6" w:rsidP="009C3DD6">
      <w:pPr>
        <w:numPr>
          <w:ilvl w:val="0"/>
          <w:numId w:val="20"/>
        </w:numPr>
        <w:shd w:val="clear" w:color="auto" w:fill="FFFFFF"/>
        <w:spacing w:after="0" w:line="240" w:lineRule="auto"/>
        <w:rPr>
          <w:rFonts w:ascii="Calibri" w:eastAsia="Times New Roman" w:hAnsi="Calibri" w:cs="Calibri"/>
          <w:color w:val="303030"/>
          <w:kern w:val="0"/>
          <w:sz w:val="21"/>
          <w:szCs w:val="21"/>
          <w14:ligatures w14:val="none"/>
        </w:rPr>
      </w:pPr>
      <w:r w:rsidRPr="009C3DD6">
        <w:rPr>
          <w:rFonts w:ascii="Calibri" w:eastAsia="Times New Roman" w:hAnsi="Calibri" w:cs="Calibri"/>
          <w:b/>
          <w:bCs/>
          <w:color w:val="303030"/>
          <w:kern w:val="0"/>
          <w:sz w:val="21"/>
          <w:szCs w:val="21"/>
          <w14:ligatures w14:val="none"/>
        </w:rPr>
        <w:t>Machine-Valid Level (Platform Intake &amp; Version Control):</w:t>
      </w:r>
      <w:r w:rsidRPr="009C3DD6">
        <w:rPr>
          <w:rFonts w:ascii="Calibri" w:eastAsia="Times New Roman" w:hAnsi="Calibri" w:cs="Calibri"/>
          <w:color w:val="303030"/>
          <w:kern w:val="0"/>
          <w:sz w:val="21"/>
          <w:szCs w:val="21"/>
          <w14:ligatures w14:val="none"/>
        </w:rPr>
        <w:t xml:space="preserve"> The specification is submitted to the ALETHEIA </w:t>
      </w:r>
      <w:r w:rsidRPr="009C3DD6">
        <w:rPr>
          <w:rFonts w:ascii="Calibri" w:eastAsia="Times New Roman" w:hAnsi="Calibri" w:cs="Calibri"/>
          <w:b/>
          <w:bCs/>
          <w:color w:val="303030"/>
          <w:kern w:val="0"/>
          <w:sz w:val="21"/>
          <w:szCs w:val="21"/>
          <w14:ligatures w14:val="none"/>
        </w:rPr>
        <w:t>Specification Engine</w:t>
      </w:r>
      <w:r w:rsidRPr="009C3DD6">
        <w:rPr>
          <w:rFonts w:ascii="Calibri" w:eastAsia="Times New Roman" w:hAnsi="Calibri" w:cs="Calibri"/>
          <w:color w:val="303030"/>
          <w:kern w:val="0"/>
          <w:sz w:val="21"/>
          <w:szCs w:val="21"/>
          <w14:ligatures w14:val="none"/>
        </w:rPr>
        <w:t xml:space="preserve">, which parses the strictly demarcated Markdown document into the internal </w:t>
      </w:r>
      <w:r w:rsidRPr="009C3DD6">
        <w:rPr>
          <w:rFonts w:ascii="Calibri" w:eastAsia="Times New Roman" w:hAnsi="Calibri" w:cs="Calibri"/>
          <w:b/>
          <w:bCs/>
          <w:color w:val="303030"/>
          <w:kern w:val="0"/>
          <w:sz w:val="21"/>
          <w:szCs w:val="21"/>
          <w14:ligatures w14:val="none"/>
        </w:rPr>
        <w:t>Canonical Semantic Model</w:t>
      </w:r>
      <w:r w:rsidRPr="009C3DD6">
        <w:rPr>
          <w:rFonts w:ascii="Calibri" w:eastAsia="Times New Roman" w:hAnsi="Calibri" w:cs="Calibri"/>
          <w:color w:val="303030"/>
          <w:kern w:val="0"/>
          <w:sz w:val="21"/>
          <w:szCs w:val="21"/>
          <w14:ligatures w14:val="none"/>
        </w:rPr>
        <w:t>. The parsed specification is then committed to a version-controlled Artifact Repository to establish the authoritative baseline for traceability before construction begins.</w:t>
      </w:r>
    </w:p>
    <w:p w14:paraId="4FD3A873" w14:textId="77777777" w:rsidR="00343C2C" w:rsidRPr="00343C2C" w:rsidRDefault="00343C2C" w:rsidP="00343C2C">
      <w:pPr>
        <w:pStyle w:val="paragraph"/>
        <w:numPr>
          <w:ilvl w:val="0"/>
          <w:numId w:val="20"/>
        </w:numPr>
        <w:shd w:val="clear" w:color="auto" w:fill="FFFFFF"/>
        <w:rPr>
          <w:rFonts w:ascii="Calibri" w:hAnsi="Calibri" w:cs="Calibri"/>
          <w:color w:val="303030"/>
          <w:sz w:val="21"/>
          <w:szCs w:val="21"/>
        </w:rPr>
      </w:pPr>
      <w:r w:rsidRPr="00343C2C">
        <w:rPr>
          <w:rFonts w:ascii="Calibri" w:hAnsi="Calibri" w:cs="Calibri"/>
          <w:b/>
          <w:bCs/>
          <w:color w:val="303030"/>
          <w:sz w:val="21"/>
          <w:szCs w:val="21"/>
        </w:rPr>
        <w:t>Autonomous-Ready Level (Execution &amp; Convergence):</w:t>
      </w:r>
      <w:r w:rsidRPr="00343C2C">
        <w:rPr>
          <w:rStyle w:val="ng-star-inserted"/>
          <w:rFonts w:ascii="Calibri" w:hAnsi="Calibri" w:cs="Calibri"/>
          <w:color w:val="303030"/>
          <w:sz w:val="21"/>
          <w:szCs w:val="21"/>
        </w:rPr>
        <w:t xml:space="preserve"> Once the machine-valid model passes all human governance Approval Gates, the specification reaches the Autonomous-Ready level. The platform's </w:t>
      </w:r>
      <w:r w:rsidRPr="00343C2C">
        <w:rPr>
          <w:rFonts w:ascii="Calibri" w:hAnsi="Calibri" w:cs="Calibri"/>
          <w:b/>
          <w:bCs/>
          <w:color w:val="303030"/>
          <w:sz w:val="21"/>
          <w:szCs w:val="21"/>
        </w:rPr>
        <w:t>Planning Engine</w:t>
      </w:r>
      <w:r w:rsidRPr="00343C2C">
        <w:rPr>
          <w:rStyle w:val="ng-star-inserted"/>
          <w:rFonts w:ascii="Calibri" w:hAnsi="Calibri" w:cs="Calibri"/>
          <w:color w:val="303030"/>
          <w:sz w:val="21"/>
          <w:szCs w:val="21"/>
        </w:rPr>
        <w:t xml:space="preserve"> generates a construction task graph, maps the validation criteria to the correct </w:t>
      </w:r>
      <w:r w:rsidRPr="00343C2C">
        <w:rPr>
          <w:rFonts w:ascii="Calibri" w:hAnsi="Calibri" w:cs="Calibri"/>
          <w:b/>
          <w:bCs/>
          <w:color w:val="303030"/>
          <w:sz w:val="21"/>
          <w:szCs w:val="21"/>
        </w:rPr>
        <w:t>Tool Plugins</w:t>
      </w:r>
      <w:r w:rsidRPr="00343C2C">
        <w:rPr>
          <w:rStyle w:val="ng-star-inserted"/>
          <w:rFonts w:ascii="Calibri" w:hAnsi="Calibri" w:cs="Calibri"/>
          <w:color w:val="303030"/>
          <w:sz w:val="21"/>
          <w:szCs w:val="21"/>
        </w:rPr>
        <w:t xml:space="preserve">, and authorizes the </w:t>
      </w:r>
      <w:r w:rsidRPr="00343C2C">
        <w:rPr>
          <w:rFonts w:ascii="Calibri" w:hAnsi="Calibri" w:cs="Calibri"/>
          <w:b/>
          <w:bCs/>
          <w:color w:val="303030"/>
          <w:sz w:val="21"/>
          <w:szCs w:val="21"/>
        </w:rPr>
        <w:t>Agent Orchestrator</w:t>
      </w:r>
      <w:r w:rsidRPr="00343C2C">
        <w:rPr>
          <w:rStyle w:val="ng-star-inserted"/>
          <w:rFonts w:ascii="Calibri" w:hAnsi="Calibri" w:cs="Calibri"/>
          <w:color w:val="303030"/>
          <w:sz w:val="21"/>
          <w:szCs w:val="21"/>
        </w:rPr>
        <w:t xml:space="preserve"> to autonomously begin execution. </w:t>
      </w:r>
      <w:r w:rsidRPr="00343C2C">
        <w:rPr>
          <w:rFonts w:ascii="Calibri" w:hAnsi="Calibri" w:cs="Calibri"/>
          <w:i/>
          <w:iCs/>
          <w:color w:val="303030"/>
          <w:sz w:val="21"/>
          <w:szCs w:val="21"/>
        </w:rPr>
        <w:t xml:space="preserve">Crucially, if generated code fails deterministic validation, the runtime will autonomously invoke the </w:t>
      </w:r>
      <w:r w:rsidRPr="00343C2C">
        <w:rPr>
          <w:rFonts w:ascii="Calibri" w:hAnsi="Calibri" w:cs="Calibri"/>
          <w:b/>
          <w:bCs/>
          <w:i/>
          <w:iCs/>
          <w:color w:val="303030"/>
          <w:sz w:val="21"/>
          <w:szCs w:val="21"/>
        </w:rPr>
        <w:t>Repair Analyst</w:t>
      </w:r>
      <w:r w:rsidRPr="00343C2C">
        <w:rPr>
          <w:rFonts w:ascii="Calibri" w:hAnsi="Calibri" w:cs="Calibri"/>
          <w:i/>
          <w:iCs/>
          <w:color w:val="303030"/>
          <w:sz w:val="21"/>
          <w:szCs w:val="21"/>
        </w:rPr>
        <w:t xml:space="preserve"> agent to execute </w:t>
      </w:r>
      <w:r w:rsidRPr="00343C2C">
        <w:rPr>
          <w:rFonts w:ascii="Calibri" w:hAnsi="Calibri" w:cs="Calibri"/>
          <w:b/>
          <w:bCs/>
          <w:i/>
          <w:iCs/>
          <w:color w:val="303030"/>
          <w:sz w:val="21"/>
          <w:szCs w:val="21"/>
        </w:rPr>
        <w:t>Automated Repair Cycles</w:t>
      </w:r>
      <w:r w:rsidRPr="00343C2C">
        <w:rPr>
          <w:rFonts w:ascii="Calibri" w:hAnsi="Calibri" w:cs="Calibri"/>
          <w:i/>
          <w:iCs/>
          <w:color w:val="303030"/>
          <w:sz w:val="21"/>
          <w:szCs w:val="21"/>
        </w:rPr>
        <w:t xml:space="preserve"> until the implementation converges into a stable, verified system. The entire history of task execution, agent decisions, and repair logic is preserved within the platform's </w:t>
      </w:r>
      <w:r w:rsidRPr="00343C2C">
        <w:rPr>
          <w:rFonts w:ascii="Calibri" w:hAnsi="Calibri" w:cs="Calibri"/>
          <w:b/>
          <w:bCs/>
          <w:i/>
          <w:iCs/>
          <w:color w:val="303030"/>
          <w:sz w:val="21"/>
          <w:szCs w:val="21"/>
        </w:rPr>
        <w:t>State and Memory Model</w:t>
      </w:r>
      <w:r w:rsidRPr="00343C2C">
        <w:rPr>
          <w:rFonts w:ascii="Calibri" w:hAnsi="Calibri" w:cs="Calibri"/>
          <w:i/>
          <w:iCs/>
          <w:color w:val="303030"/>
          <w:sz w:val="21"/>
          <w:szCs w:val="21"/>
        </w:rPr>
        <w:t xml:space="preserve"> to guarantee observability and support future system evolution.</w:t>
      </w:r>
    </w:p>
    <w:p w14:paraId="706552DA" w14:textId="77777777" w:rsidR="003E544C" w:rsidRPr="00343C2C" w:rsidRDefault="003E544C">
      <w:pPr>
        <w:rPr>
          <w:rFonts w:ascii="Calibri" w:eastAsia="Times New Roman" w:hAnsi="Calibri" w:cs="Calibri"/>
          <w:kern w:val="0"/>
          <w14:ligatures w14:val="none"/>
        </w:rPr>
      </w:pPr>
    </w:p>
    <w:p w14:paraId="60D750AE" w14:textId="77777777" w:rsidR="00135596" w:rsidRPr="00792E3E" w:rsidRDefault="00135596">
      <w:pPr>
        <w:rPr>
          <w:rFonts w:ascii="Calibri" w:hAnsi="Calibri" w:cs="Calibri"/>
        </w:rPr>
      </w:pPr>
    </w:p>
    <w:p w14:paraId="7AF09576" w14:textId="77777777" w:rsidR="003E544C" w:rsidRPr="00792E3E" w:rsidRDefault="003E544C">
      <w:pPr>
        <w:rPr>
          <w:rFonts w:ascii="Calibri" w:hAnsi="Calibri" w:cs="Calibri"/>
        </w:rPr>
      </w:pPr>
    </w:p>
    <w:sectPr w:rsidR="003E544C" w:rsidRPr="00792E3E"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997"/>
    <w:multiLevelType w:val="multilevel"/>
    <w:tmpl w:val="CDB0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52C5"/>
    <w:multiLevelType w:val="multilevel"/>
    <w:tmpl w:val="25E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D9F"/>
    <w:multiLevelType w:val="multilevel"/>
    <w:tmpl w:val="D1C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403E"/>
    <w:multiLevelType w:val="multilevel"/>
    <w:tmpl w:val="766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7AE"/>
    <w:multiLevelType w:val="multilevel"/>
    <w:tmpl w:val="40B0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065C2"/>
    <w:multiLevelType w:val="multilevel"/>
    <w:tmpl w:val="280A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D568F"/>
    <w:multiLevelType w:val="multilevel"/>
    <w:tmpl w:val="E0663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029C"/>
    <w:multiLevelType w:val="multilevel"/>
    <w:tmpl w:val="7036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21504"/>
    <w:multiLevelType w:val="multilevel"/>
    <w:tmpl w:val="FC8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81D48"/>
    <w:multiLevelType w:val="multilevel"/>
    <w:tmpl w:val="0C2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523A"/>
    <w:multiLevelType w:val="multilevel"/>
    <w:tmpl w:val="A50C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1777"/>
    <w:multiLevelType w:val="multilevel"/>
    <w:tmpl w:val="BD08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16D14"/>
    <w:multiLevelType w:val="multilevel"/>
    <w:tmpl w:val="B62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D782C"/>
    <w:multiLevelType w:val="multilevel"/>
    <w:tmpl w:val="FB2C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21C07"/>
    <w:multiLevelType w:val="multilevel"/>
    <w:tmpl w:val="CA86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73C99"/>
    <w:multiLevelType w:val="multilevel"/>
    <w:tmpl w:val="0FF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6080"/>
    <w:multiLevelType w:val="multilevel"/>
    <w:tmpl w:val="A564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9662C"/>
    <w:multiLevelType w:val="multilevel"/>
    <w:tmpl w:val="E38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2057"/>
    <w:multiLevelType w:val="multilevel"/>
    <w:tmpl w:val="D128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01AAA"/>
    <w:multiLevelType w:val="multilevel"/>
    <w:tmpl w:val="68F0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4E47C2"/>
    <w:multiLevelType w:val="multilevel"/>
    <w:tmpl w:val="331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E0D2F"/>
    <w:multiLevelType w:val="multilevel"/>
    <w:tmpl w:val="F048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A58BD"/>
    <w:multiLevelType w:val="multilevel"/>
    <w:tmpl w:val="3F10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C29C7"/>
    <w:multiLevelType w:val="multilevel"/>
    <w:tmpl w:val="F31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3520A"/>
    <w:multiLevelType w:val="multilevel"/>
    <w:tmpl w:val="34E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610E2"/>
    <w:multiLevelType w:val="multilevel"/>
    <w:tmpl w:val="B51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26B6E"/>
    <w:multiLevelType w:val="multilevel"/>
    <w:tmpl w:val="6D8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2EC"/>
    <w:multiLevelType w:val="multilevel"/>
    <w:tmpl w:val="F0F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432F03"/>
    <w:multiLevelType w:val="multilevel"/>
    <w:tmpl w:val="861EB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879723">
    <w:abstractNumId w:val="2"/>
  </w:num>
  <w:num w:numId="2" w16cid:durableId="1504320877">
    <w:abstractNumId w:val="15"/>
  </w:num>
  <w:num w:numId="3" w16cid:durableId="1000039232">
    <w:abstractNumId w:val="6"/>
  </w:num>
  <w:num w:numId="4" w16cid:durableId="464978037">
    <w:abstractNumId w:val="21"/>
  </w:num>
  <w:num w:numId="5" w16cid:durableId="1228110333">
    <w:abstractNumId w:val="16"/>
  </w:num>
  <w:num w:numId="6" w16cid:durableId="502863572">
    <w:abstractNumId w:val="8"/>
  </w:num>
  <w:num w:numId="7" w16cid:durableId="1334453863">
    <w:abstractNumId w:val="24"/>
  </w:num>
  <w:num w:numId="8" w16cid:durableId="1106534298">
    <w:abstractNumId w:val="0"/>
  </w:num>
  <w:num w:numId="9" w16cid:durableId="746683266">
    <w:abstractNumId w:val="27"/>
  </w:num>
  <w:num w:numId="10" w16cid:durableId="404572551">
    <w:abstractNumId w:val="18"/>
  </w:num>
  <w:num w:numId="11" w16cid:durableId="80873990">
    <w:abstractNumId w:val="25"/>
  </w:num>
  <w:num w:numId="12" w16cid:durableId="2084837388">
    <w:abstractNumId w:val="19"/>
  </w:num>
  <w:num w:numId="13" w16cid:durableId="880478652">
    <w:abstractNumId w:val="3"/>
  </w:num>
  <w:num w:numId="14" w16cid:durableId="1602955802">
    <w:abstractNumId w:val="12"/>
  </w:num>
  <w:num w:numId="15" w16cid:durableId="214781888">
    <w:abstractNumId w:val="20"/>
  </w:num>
  <w:num w:numId="16" w16cid:durableId="910848662">
    <w:abstractNumId w:val="13"/>
  </w:num>
  <w:num w:numId="17" w16cid:durableId="1947224164">
    <w:abstractNumId w:val="10"/>
  </w:num>
  <w:num w:numId="18" w16cid:durableId="705064913">
    <w:abstractNumId w:val="22"/>
  </w:num>
  <w:num w:numId="19" w16cid:durableId="1719930890">
    <w:abstractNumId w:val="14"/>
  </w:num>
  <w:num w:numId="20" w16cid:durableId="333265728">
    <w:abstractNumId w:val="17"/>
  </w:num>
  <w:num w:numId="21" w16cid:durableId="1738820292">
    <w:abstractNumId w:val="5"/>
  </w:num>
  <w:num w:numId="22" w16cid:durableId="676467785">
    <w:abstractNumId w:val="9"/>
  </w:num>
  <w:num w:numId="23" w16cid:durableId="1408696539">
    <w:abstractNumId w:val="26"/>
  </w:num>
  <w:num w:numId="24" w16cid:durableId="869949599">
    <w:abstractNumId w:val="28"/>
  </w:num>
  <w:num w:numId="25" w16cid:durableId="579757012">
    <w:abstractNumId w:val="1"/>
  </w:num>
  <w:num w:numId="26" w16cid:durableId="2026515632">
    <w:abstractNumId w:val="4"/>
  </w:num>
  <w:num w:numId="27" w16cid:durableId="185751309">
    <w:abstractNumId w:val="23"/>
  </w:num>
  <w:num w:numId="28" w16cid:durableId="466165361">
    <w:abstractNumId w:val="7"/>
  </w:num>
  <w:num w:numId="29" w16cid:durableId="10759298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4C"/>
    <w:rsid w:val="00082BB6"/>
    <w:rsid w:val="00135596"/>
    <w:rsid w:val="00171736"/>
    <w:rsid w:val="00223A5B"/>
    <w:rsid w:val="00343C2C"/>
    <w:rsid w:val="00344501"/>
    <w:rsid w:val="00375F84"/>
    <w:rsid w:val="003942BE"/>
    <w:rsid w:val="003E544C"/>
    <w:rsid w:val="005F714F"/>
    <w:rsid w:val="006A7C31"/>
    <w:rsid w:val="006E7BFE"/>
    <w:rsid w:val="006F4208"/>
    <w:rsid w:val="00710ABE"/>
    <w:rsid w:val="00792E3E"/>
    <w:rsid w:val="00945AF9"/>
    <w:rsid w:val="00984106"/>
    <w:rsid w:val="00997A3E"/>
    <w:rsid w:val="009C3DD6"/>
    <w:rsid w:val="009D78F3"/>
    <w:rsid w:val="00A528B2"/>
    <w:rsid w:val="00A6058E"/>
    <w:rsid w:val="00A64498"/>
    <w:rsid w:val="00AC770D"/>
    <w:rsid w:val="00B223BE"/>
    <w:rsid w:val="00B46547"/>
    <w:rsid w:val="00B81B2C"/>
    <w:rsid w:val="00BF5830"/>
    <w:rsid w:val="00C17FA7"/>
    <w:rsid w:val="00C2250B"/>
    <w:rsid w:val="00CA38A3"/>
    <w:rsid w:val="00D0558F"/>
    <w:rsid w:val="00D07FD4"/>
    <w:rsid w:val="00D3138C"/>
    <w:rsid w:val="00E3765F"/>
    <w:rsid w:val="00E77B10"/>
    <w:rsid w:val="00EB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96C8"/>
  <w15:chartTrackingRefBased/>
  <w15:docId w15:val="{37143BC0-898D-394C-B0E8-66C5D93D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44C"/>
    <w:rPr>
      <w:rFonts w:eastAsiaTheme="majorEastAsia" w:cstheme="majorBidi"/>
      <w:color w:val="272727" w:themeColor="text1" w:themeTint="D8"/>
    </w:rPr>
  </w:style>
  <w:style w:type="paragraph" w:styleId="Title">
    <w:name w:val="Title"/>
    <w:basedOn w:val="Normal"/>
    <w:next w:val="Normal"/>
    <w:link w:val="TitleChar"/>
    <w:uiPriority w:val="10"/>
    <w:qFormat/>
    <w:rsid w:val="003E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44C"/>
    <w:pPr>
      <w:spacing w:before="160"/>
      <w:jc w:val="center"/>
    </w:pPr>
    <w:rPr>
      <w:i/>
      <w:iCs/>
      <w:color w:val="404040" w:themeColor="text1" w:themeTint="BF"/>
    </w:rPr>
  </w:style>
  <w:style w:type="character" w:customStyle="1" w:styleId="QuoteChar">
    <w:name w:val="Quote Char"/>
    <w:basedOn w:val="DefaultParagraphFont"/>
    <w:link w:val="Quote"/>
    <w:uiPriority w:val="29"/>
    <w:rsid w:val="003E544C"/>
    <w:rPr>
      <w:i/>
      <w:iCs/>
      <w:color w:val="404040" w:themeColor="text1" w:themeTint="BF"/>
    </w:rPr>
  </w:style>
  <w:style w:type="paragraph" w:styleId="ListParagraph">
    <w:name w:val="List Paragraph"/>
    <w:basedOn w:val="Normal"/>
    <w:uiPriority w:val="34"/>
    <w:qFormat/>
    <w:rsid w:val="003E544C"/>
    <w:pPr>
      <w:ind w:left="720"/>
      <w:contextualSpacing/>
    </w:pPr>
  </w:style>
  <w:style w:type="character" w:styleId="IntenseEmphasis">
    <w:name w:val="Intense Emphasis"/>
    <w:basedOn w:val="DefaultParagraphFont"/>
    <w:uiPriority w:val="21"/>
    <w:qFormat/>
    <w:rsid w:val="003E544C"/>
    <w:rPr>
      <w:i/>
      <w:iCs/>
      <w:color w:val="0F4761" w:themeColor="accent1" w:themeShade="BF"/>
    </w:rPr>
  </w:style>
  <w:style w:type="paragraph" w:styleId="IntenseQuote">
    <w:name w:val="Intense Quote"/>
    <w:basedOn w:val="Normal"/>
    <w:next w:val="Normal"/>
    <w:link w:val="IntenseQuoteChar"/>
    <w:uiPriority w:val="30"/>
    <w:qFormat/>
    <w:rsid w:val="003E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44C"/>
    <w:rPr>
      <w:i/>
      <w:iCs/>
      <w:color w:val="0F4761" w:themeColor="accent1" w:themeShade="BF"/>
    </w:rPr>
  </w:style>
  <w:style w:type="character" w:styleId="IntenseReference">
    <w:name w:val="Intense Reference"/>
    <w:basedOn w:val="DefaultParagraphFont"/>
    <w:uiPriority w:val="32"/>
    <w:qFormat/>
    <w:rsid w:val="003E544C"/>
    <w:rPr>
      <w:b/>
      <w:bCs/>
      <w:smallCaps/>
      <w:color w:val="0F4761" w:themeColor="accent1" w:themeShade="BF"/>
      <w:spacing w:val="5"/>
    </w:rPr>
  </w:style>
  <w:style w:type="paragraph" w:styleId="NormalWeb">
    <w:name w:val="Normal (Web)"/>
    <w:basedOn w:val="Normal"/>
    <w:uiPriority w:val="99"/>
    <w:semiHidden/>
    <w:unhideWhenUsed/>
    <w:rsid w:val="003E54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544C"/>
    <w:rPr>
      <w:b/>
      <w:bCs/>
    </w:rPr>
  </w:style>
  <w:style w:type="character" w:styleId="Emphasis">
    <w:name w:val="Emphasis"/>
    <w:basedOn w:val="DefaultParagraphFont"/>
    <w:uiPriority w:val="20"/>
    <w:qFormat/>
    <w:rsid w:val="003E544C"/>
    <w:rPr>
      <w:i/>
      <w:iCs/>
    </w:rPr>
  </w:style>
  <w:style w:type="paragraph" w:styleId="HTMLPreformatted">
    <w:name w:val="HTML Preformatted"/>
    <w:basedOn w:val="Normal"/>
    <w:link w:val="HTMLPreformattedChar"/>
    <w:uiPriority w:val="99"/>
    <w:semiHidden/>
    <w:unhideWhenUsed/>
    <w:rsid w:val="003E5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54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544C"/>
    <w:rPr>
      <w:rFonts w:ascii="Courier New" w:eastAsia="Times New Roman" w:hAnsi="Courier New" w:cs="Courier New"/>
      <w:sz w:val="20"/>
      <w:szCs w:val="20"/>
    </w:rPr>
  </w:style>
  <w:style w:type="character" w:customStyle="1" w:styleId="ng-star-inserted">
    <w:name w:val="ng-star-inserted"/>
    <w:basedOn w:val="DefaultParagraphFont"/>
    <w:rsid w:val="00D0558F"/>
  </w:style>
  <w:style w:type="paragraph" w:customStyle="1" w:styleId="paragraph">
    <w:name w:val="paragraph"/>
    <w:basedOn w:val="Normal"/>
    <w:rsid w:val="00D055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9819C-0D0F-E840-858B-25EF40792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22</cp:revision>
  <dcterms:created xsi:type="dcterms:W3CDTF">2026-03-20T18:26:00Z</dcterms:created>
  <dcterms:modified xsi:type="dcterms:W3CDTF">2026-03-20T21:51:00Z</dcterms:modified>
</cp:coreProperties>
</file>