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69DEC" w14:textId="77777777" w:rsidR="008936F3" w:rsidRPr="000B1AE7" w:rsidRDefault="008936F3" w:rsidP="008936F3">
      <w:pPr>
        <w:pStyle w:val="Title"/>
        <w:rPr>
          <w:sz w:val="44"/>
          <w:szCs w:val="44"/>
        </w:rPr>
      </w:pPr>
      <w:r w:rsidRPr="000B1AE7">
        <w:rPr>
          <w:sz w:val="44"/>
          <w:szCs w:val="44"/>
        </w:rPr>
        <w:t>ALETHEIA Specification Language (ISL) v1.2</w:t>
      </w:r>
    </w:p>
    <w:p w14:paraId="42056BA8" w14:textId="77777777" w:rsidR="008936F3" w:rsidRPr="000B1AE7" w:rsidRDefault="008936F3" w:rsidP="008936F3">
      <w:pPr>
        <w:pStyle w:val="Heading1"/>
      </w:pPr>
      <w:r>
        <w:t xml:space="preserve">ISL v1.2 </w:t>
      </w:r>
      <w:r w:rsidRPr="000B1AE7">
        <w:t>Execution Model for Autonomous Software Construction</w:t>
      </w:r>
    </w:p>
    <w:p w14:paraId="64FFEEDC" w14:textId="77777777" w:rsidR="008936F3" w:rsidRPr="000B1AE7" w:rsidRDefault="008936F3" w:rsidP="008936F3">
      <w:pPr>
        <w:pStyle w:val="Heading2"/>
      </w:pPr>
      <w:r w:rsidRPr="000B1AE7">
        <w:t>1.0 Purpose of the Execution Model</w:t>
      </w:r>
    </w:p>
    <w:p w14:paraId="497B5E2A"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execution model defines how the ALETHEIA platform interprets a validated specification and transforms it into a constructed software system. While the canonical semantic model defines the structure of the blueprint, the execution model defines the sequence of actions through which the system is planned, constructed, verified, and delivered.</w:t>
      </w:r>
    </w:p>
    <w:p w14:paraId="1CD84ED9"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execution model serves as the operational bridge between human-authored specifications and the autonomous development processes that generate working software. It describes how the ALETHEIA platform analyzes the specification graph, derives construction tasks, orchestrates reasoning components, and interacts with deterministic engineering tools to produce reliable software artifacts.</w:t>
      </w:r>
    </w:p>
    <w:p w14:paraId="3155894A"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 xml:space="preserve">In effect, the execution model represents the </w:t>
      </w:r>
      <w:r w:rsidRPr="000B1AE7">
        <w:rPr>
          <w:rStyle w:val="Strong"/>
          <w:rFonts w:ascii="Arial" w:hAnsi="Arial" w:cs="Arial"/>
        </w:rPr>
        <w:t>construction process that follows the blueprint defined by the specification language</w:t>
      </w:r>
      <w:r w:rsidRPr="000B1AE7">
        <w:rPr>
          <w:rFonts w:ascii="Arial" w:hAnsi="Arial" w:cs="Arial"/>
        </w:rPr>
        <w:t>.</w:t>
      </w:r>
    </w:p>
    <w:p w14:paraId="3980A709" w14:textId="77777777" w:rsidR="008936F3" w:rsidRPr="000B1AE7" w:rsidRDefault="008936F3" w:rsidP="008936F3">
      <w:pPr>
        <w:pStyle w:val="Heading2"/>
      </w:pPr>
      <w:r w:rsidRPr="000B1AE7">
        <w:t>2.0 Interpretation of the Canonical Model</w:t>
      </w:r>
    </w:p>
    <w:p w14:paraId="1794E53B"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Execution begins once a specification has been normalized into the canonical semantic model. The ALETHEIA engine interprets this model as a graph of interconnected entities representing the structure and behavior of the system.</w:t>
      </w:r>
    </w:p>
    <w:p w14:paraId="462ABD8F"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 xml:space="preserve">The platform analyzes the relationships between requirements, capabilities, services, workflows, and policies </w:t>
      </w:r>
      <w:proofErr w:type="gramStart"/>
      <w:r w:rsidRPr="000B1AE7">
        <w:rPr>
          <w:rFonts w:ascii="Arial" w:hAnsi="Arial" w:cs="Arial"/>
        </w:rPr>
        <w:t>in order to</w:t>
      </w:r>
      <w:proofErr w:type="gramEnd"/>
      <w:r w:rsidRPr="000B1AE7">
        <w:rPr>
          <w:rFonts w:ascii="Arial" w:hAnsi="Arial" w:cs="Arial"/>
        </w:rPr>
        <w:t xml:space="preserve"> derive the architectural structure of the system. This analysis allows the engine to determine which components must be created, how they must interact, and which constraints must guide their implementation.</w:t>
      </w:r>
    </w:p>
    <w:p w14:paraId="70B6E878"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Through this interpretation stage the specification is transformed from a static architectural description into a dynamic construction plan.</w:t>
      </w:r>
    </w:p>
    <w:p w14:paraId="34013569" w14:textId="77777777" w:rsidR="008936F3" w:rsidRPr="000B1AE7" w:rsidRDefault="008936F3" w:rsidP="008936F3">
      <w:pPr>
        <w:pStyle w:val="Heading2"/>
      </w:pPr>
      <w:r w:rsidRPr="000B1AE7">
        <w:t>3.0 Construction Planning</w:t>
      </w:r>
    </w:p>
    <w:p w14:paraId="2D6AD3B0"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 xml:space="preserve">Once the specification graph has been interpreted, the platform generates a </w:t>
      </w:r>
      <w:r w:rsidRPr="000B1AE7">
        <w:rPr>
          <w:rStyle w:val="Strong"/>
          <w:rFonts w:ascii="Arial" w:hAnsi="Arial" w:cs="Arial"/>
        </w:rPr>
        <w:t>construction plan</w:t>
      </w:r>
      <w:r w:rsidRPr="000B1AE7">
        <w:rPr>
          <w:rFonts w:ascii="Arial" w:hAnsi="Arial" w:cs="Arial"/>
        </w:rPr>
        <w:t>. This plan identifies the tasks required to transform the specification into a working system.</w:t>
      </w:r>
    </w:p>
    <w:p w14:paraId="7647D8E8"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construction plan decomposes the system into a set of development tasks that correspond to the structural elements defined in the specification. Tasks may involve creating services, defining data models, implementing workflows, generating interfaces, configuring infrastructure, or establishing security policies.</w:t>
      </w:r>
    </w:p>
    <w:p w14:paraId="3D59318B"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lastRenderedPageBreak/>
        <w:t>The plan also establishes dependencies between tasks. Some tasks cannot begin until others have completed successfully. For example, service implementations depend on the existence of data models, while workflows depend on the availability of service interfaces.</w:t>
      </w:r>
    </w:p>
    <w:p w14:paraId="21CE85AD"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This planning stage ensures that the construction process follows a coherent sequence aligned with the architecture defined in the specification.</w:t>
      </w:r>
    </w:p>
    <w:p w14:paraId="0AEB1212" w14:textId="77777777" w:rsidR="008936F3" w:rsidRPr="000B1AE7" w:rsidRDefault="008936F3" w:rsidP="008936F3">
      <w:pPr>
        <w:pStyle w:val="Heading2"/>
      </w:pPr>
      <w:r w:rsidRPr="000B1AE7">
        <w:t>4.0 Agent Roles in the Execution Model</w:t>
      </w:r>
    </w:p>
    <w:p w14:paraId="7720F64E"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ALETHEIA execution model relies on coordinated reasoning components that perform specialized roles within the construction process. These reasoning components function as collaborative agents responsible for different aspects of system development.</w:t>
      </w:r>
    </w:p>
    <w:p w14:paraId="46961043"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Although their implementation may vary depending on the environment and model providers available, the conceptual roles remain consistent within the execution model.</w:t>
      </w:r>
    </w:p>
    <w:p w14:paraId="05FAB2FC"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Typical reasoning roles include:</w:t>
      </w:r>
    </w:p>
    <w:p w14:paraId="7DB11C73" w14:textId="77777777" w:rsidR="008936F3" w:rsidRPr="000B1AE7" w:rsidRDefault="008936F3" w:rsidP="008936F3">
      <w:pPr>
        <w:pStyle w:val="NormalWeb"/>
        <w:numPr>
          <w:ilvl w:val="0"/>
          <w:numId w:val="1"/>
        </w:numPr>
        <w:spacing w:before="0" w:beforeAutospacing="0" w:after="0" w:afterAutospacing="0"/>
        <w:rPr>
          <w:rFonts w:ascii="Arial" w:hAnsi="Arial" w:cs="Arial"/>
        </w:rPr>
      </w:pPr>
      <w:r w:rsidRPr="000B1AE7">
        <w:rPr>
          <w:rFonts w:ascii="Arial" w:hAnsi="Arial" w:cs="Arial"/>
        </w:rPr>
        <w:t>specification interpreter</w:t>
      </w:r>
    </w:p>
    <w:p w14:paraId="0E9D5CBE" w14:textId="77777777" w:rsidR="008936F3" w:rsidRPr="000B1AE7" w:rsidRDefault="008936F3" w:rsidP="008936F3">
      <w:pPr>
        <w:pStyle w:val="NormalWeb"/>
        <w:numPr>
          <w:ilvl w:val="0"/>
          <w:numId w:val="1"/>
        </w:numPr>
        <w:spacing w:before="0" w:beforeAutospacing="0" w:after="0" w:afterAutospacing="0"/>
        <w:rPr>
          <w:rFonts w:ascii="Arial" w:hAnsi="Arial" w:cs="Arial"/>
        </w:rPr>
      </w:pPr>
      <w:r w:rsidRPr="000B1AE7">
        <w:rPr>
          <w:rFonts w:ascii="Arial" w:hAnsi="Arial" w:cs="Arial"/>
        </w:rPr>
        <w:t>architecture planner</w:t>
      </w:r>
    </w:p>
    <w:p w14:paraId="45FBAD54" w14:textId="77777777" w:rsidR="008936F3" w:rsidRPr="000B1AE7" w:rsidRDefault="008936F3" w:rsidP="008936F3">
      <w:pPr>
        <w:pStyle w:val="NormalWeb"/>
        <w:numPr>
          <w:ilvl w:val="0"/>
          <w:numId w:val="1"/>
        </w:numPr>
        <w:spacing w:before="0" w:beforeAutospacing="0" w:after="0" w:afterAutospacing="0"/>
        <w:rPr>
          <w:rFonts w:ascii="Arial" w:hAnsi="Arial" w:cs="Arial"/>
        </w:rPr>
      </w:pPr>
      <w:r w:rsidRPr="000B1AE7">
        <w:rPr>
          <w:rFonts w:ascii="Arial" w:hAnsi="Arial" w:cs="Arial"/>
        </w:rPr>
        <w:t>implementation generator</w:t>
      </w:r>
    </w:p>
    <w:p w14:paraId="63355438" w14:textId="77777777" w:rsidR="008936F3" w:rsidRPr="000B1AE7" w:rsidRDefault="008936F3" w:rsidP="008936F3">
      <w:pPr>
        <w:pStyle w:val="NormalWeb"/>
        <w:numPr>
          <w:ilvl w:val="0"/>
          <w:numId w:val="1"/>
        </w:numPr>
        <w:spacing w:before="0" w:beforeAutospacing="0" w:after="0" w:afterAutospacing="0"/>
        <w:rPr>
          <w:rFonts w:ascii="Arial" w:hAnsi="Arial" w:cs="Arial"/>
        </w:rPr>
      </w:pPr>
      <w:r w:rsidRPr="000B1AE7">
        <w:rPr>
          <w:rFonts w:ascii="Arial" w:hAnsi="Arial" w:cs="Arial"/>
        </w:rPr>
        <w:t>code reviewer</w:t>
      </w:r>
    </w:p>
    <w:p w14:paraId="0FECC6FB" w14:textId="77777777" w:rsidR="008936F3" w:rsidRPr="000B1AE7" w:rsidRDefault="008936F3" w:rsidP="008936F3">
      <w:pPr>
        <w:pStyle w:val="NormalWeb"/>
        <w:numPr>
          <w:ilvl w:val="0"/>
          <w:numId w:val="1"/>
        </w:numPr>
        <w:spacing w:before="0" w:beforeAutospacing="0" w:after="0" w:afterAutospacing="0"/>
        <w:rPr>
          <w:rFonts w:ascii="Arial" w:hAnsi="Arial" w:cs="Arial"/>
        </w:rPr>
      </w:pPr>
      <w:r w:rsidRPr="000B1AE7">
        <w:rPr>
          <w:rFonts w:ascii="Arial" w:hAnsi="Arial" w:cs="Arial"/>
        </w:rPr>
        <w:t>repair analyst</w:t>
      </w:r>
    </w:p>
    <w:p w14:paraId="099A4E79" w14:textId="77777777" w:rsidR="008936F3" w:rsidRPr="000B1AE7" w:rsidRDefault="008936F3" w:rsidP="008936F3">
      <w:pPr>
        <w:pStyle w:val="NormalWeb"/>
        <w:numPr>
          <w:ilvl w:val="0"/>
          <w:numId w:val="1"/>
        </w:numPr>
        <w:spacing w:before="0" w:beforeAutospacing="0" w:after="0" w:afterAutospacing="0"/>
        <w:rPr>
          <w:rFonts w:ascii="Arial" w:hAnsi="Arial" w:cs="Arial"/>
        </w:rPr>
      </w:pPr>
      <w:r w:rsidRPr="000B1AE7">
        <w:rPr>
          <w:rFonts w:ascii="Arial" w:hAnsi="Arial" w:cs="Arial"/>
        </w:rPr>
        <w:t>test generator</w:t>
      </w:r>
    </w:p>
    <w:p w14:paraId="7FC12FC6" w14:textId="77777777" w:rsidR="008936F3" w:rsidRPr="000B1AE7" w:rsidRDefault="008936F3" w:rsidP="008936F3">
      <w:pPr>
        <w:pStyle w:val="NormalWeb"/>
        <w:numPr>
          <w:ilvl w:val="0"/>
          <w:numId w:val="1"/>
        </w:numPr>
        <w:spacing w:before="0" w:beforeAutospacing="0" w:after="120" w:afterAutospacing="0"/>
        <w:rPr>
          <w:rFonts w:ascii="Arial" w:hAnsi="Arial" w:cs="Arial"/>
        </w:rPr>
      </w:pPr>
      <w:r w:rsidRPr="000B1AE7">
        <w:rPr>
          <w:rFonts w:ascii="Arial" w:hAnsi="Arial" w:cs="Arial"/>
        </w:rPr>
        <w:t>security validator</w:t>
      </w:r>
    </w:p>
    <w:p w14:paraId="3152CB7F"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Each role contributes to a different stage of the construction process, ensuring that the system evolves in alignment with the specification.</w:t>
      </w:r>
    </w:p>
    <w:p w14:paraId="505597AF" w14:textId="77777777" w:rsidR="008936F3" w:rsidRPr="000B1AE7" w:rsidRDefault="008936F3" w:rsidP="008936F3">
      <w:pPr>
        <w:pStyle w:val="Heading2"/>
      </w:pPr>
      <w:r w:rsidRPr="000B1AE7">
        <w:t>5.0 Task Execution and Artifact Generation</w:t>
      </w:r>
    </w:p>
    <w:p w14:paraId="7EA8F886"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Following the creation of the construction plan, the ALETHEIA platform begins executing tasks in the order defined by their dependencies. During this stage the platform generates the artifacts required to implement the system.</w:t>
      </w:r>
    </w:p>
    <w:p w14:paraId="335338B9"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Artifacts produced during this stage may include source code files, configuration files, data schema definitions, infrastructure definitions, and documentation.</w:t>
      </w:r>
    </w:p>
    <w:p w14:paraId="1AB3D76B"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generation process is guided by the specification entities from which each artifact originates. For example, service definitions are derived from capability and service entities, while database schemas originate from data entity specifications.</w:t>
      </w:r>
    </w:p>
    <w:p w14:paraId="005BDEEB"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Each artifact is linked to the portion of the specification that generated it, allowing the platform to maintain traceability between the blueprint and the constructed system.</w:t>
      </w:r>
    </w:p>
    <w:p w14:paraId="5F8395F1" w14:textId="77777777" w:rsidR="008936F3" w:rsidRPr="000B1AE7" w:rsidRDefault="008936F3" w:rsidP="008936F3">
      <w:pPr>
        <w:pStyle w:val="Heading2"/>
      </w:pPr>
      <w:r w:rsidRPr="000B1AE7">
        <w:t>6.0 Build and Verification Loops</w:t>
      </w:r>
    </w:p>
    <w:p w14:paraId="561C1DB6"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Autonomous construction must incorporate mechanisms that verify the correctness of generated artifacts. The ALETHEIA execution model therefore integrates deterministic build and verification loops into the construction process.</w:t>
      </w:r>
    </w:p>
    <w:p w14:paraId="0FACAB35"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lastRenderedPageBreak/>
        <w:t>Once artifacts are generated, they are compiled, executed, or otherwise validated using appropriate development tools. If the validation process reveals errors or inconsistencies, the platform analyzes the failure and modifies the implementation accordingly.</w:t>
      </w:r>
    </w:p>
    <w:p w14:paraId="6E30CCCB"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This iterative process continues until the system reaches a stable state in which all validation checks pass successfully.</w:t>
      </w:r>
    </w:p>
    <w:p w14:paraId="612D7EF5"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build and verification loop ensures that the resulting system is structurally sound and consistent with the specification.</w:t>
      </w:r>
    </w:p>
    <w:p w14:paraId="296C568B" w14:textId="77777777" w:rsidR="008936F3" w:rsidRPr="000B1AE7" w:rsidRDefault="008936F3" w:rsidP="008936F3">
      <w:pPr>
        <w:pStyle w:val="Heading2"/>
      </w:pPr>
      <w:r w:rsidRPr="000B1AE7">
        <w:t>7.0 Test Generation and Validation</w:t>
      </w:r>
    </w:p>
    <w:p w14:paraId="3C40EEA9"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Testing plays a critical role in ensuring that the system behaves as expected. The execution model therefore includes mechanisms for generating automated tests based on the requirements and workflows described in the specification.</w:t>
      </w:r>
    </w:p>
    <w:p w14:paraId="22108CE8"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Generated tests may include unit tests, integration tests, and behavioral scenarios derived from functional requirements.</w:t>
      </w:r>
    </w:p>
    <w:p w14:paraId="6FFA6D01"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Once generated, these tests are executed as part of the verification process. The results provide objective evidence that the system satisfies the expectations defined in the blueprint.</w:t>
      </w:r>
    </w:p>
    <w:p w14:paraId="7534BF90" w14:textId="77777777" w:rsidR="008936F3" w:rsidRPr="000B1AE7" w:rsidRDefault="008936F3" w:rsidP="008936F3">
      <w:pPr>
        <w:pStyle w:val="Heading2"/>
      </w:pPr>
      <w:r w:rsidRPr="000B1AE7">
        <w:t>8.0 Security and Policy Enforcement</w:t>
      </w:r>
    </w:p>
    <w:p w14:paraId="03A5EF6D"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Security policies and governance rules defined in the specification are enforced during the execution process. The platform evaluates generated artifacts against the security constraints defined in the policy entities of the canonical model.</w:t>
      </w:r>
    </w:p>
    <w:p w14:paraId="0FDEE2AC"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Security validation may include analysis of authentication mechanisms, data protection strategies, dependency vulnerabilities, and access control rules.</w:t>
      </w:r>
    </w:p>
    <w:p w14:paraId="74AA8B31"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If security issues are detected, the platform modifies the implementation to ensure compliance with the defined policies.</w:t>
      </w:r>
    </w:p>
    <w:p w14:paraId="4DAAC52B"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This integration ensures that security becomes an inherent part of the construction process.</w:t>
      </w:r>
    </w:p>
    <w:p w14:paraId="2B5AF1E4" w14:textId="77777777" w:rsidR="008936F3" w:rsidRPr="000B1AE7" w:rsidRDefault="008936F3" w:rsidP="008936F3">
      <w:pPr>
        <w:pStyle w:val="Heading2"/>
      </w:pPr>
      <w:r w:rsidRPr="000B1AE7">
        <w:t>9.0 Continuous Refinement</w:t>
      </w:r>
    </w:p>
    <w:p w14:paraId="5AFE878D"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During execution, the platform continuously evaluates the evolving system against the original specification. When inconsistencies or ambiguities are detected, the platform may request clarification, adjust implementation strategies, or refine intermediate artifacts.</w:t>
      </w:r>
    </w:p>
    <w:p w14:paraId="71A31040"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This continuous refinement process allows the system to converge toward a stable architecture that satisfies all defined requirements and constraints.</w:t>
      </w:r>
    </w:p>
    <w:p w14:paraId="17B353E6"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refinement loop reflects the iterative nature of construction, where structural adjustments are made until the system reaches the desired level of completeness and stability.</w:t>
      </w:r>
    </w:p>
    <w:p w14:paraId="55A660B7" w14:textId="77777777" w:rsidR="008936F3" w:rsidRPr="000B1AE7" w:rsidRDefault="008936F3" w:rsidP="008936F3">
      <w:pPr>
        <w:pStyle w:val="Heading2"/>
      </w:pPr>
      <w:r w:rsidRPr="000B1AE7">
        <w:lastRenderedPageBreak/>
        <w:t>10.0 Artifact Consolidation and Packaging</w:t>
      </w:r>
    </w:p>
    <w:p w14:paraId="6AD9353A"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Once all verification stages have been completed successfully, the platform consolidates the generated artifacts into a structured software project. This may include repository organization, dependency configuration, build scripts, and documentation.</w:t>
      </w:r>
    </w:p>
    <w:p w14:paraId="29DBEFBA"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resulting project represents a complete implementation of the specification and can be executed, tested, or deployed using standard development tools.</w:t>
      </w:r>
    </w:p>
    <w:p w14:paraId="75887D92"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This consolidation stage transforms the output of the autonomous construction process into a conventional software artifact that can be managed through existing development workflows.</w:t>
      </w:r>
    </w:p>
    <w:p w14:paraId="1046436D" w14:textId="77777777" w:rsidR="008936F3" w:rsidRPr="000B1AE7" w:rsidRDefault="008936F3" w:rsidP="008936F3">
      <w:pPr>
        <w:pStyle w:val="Heading2"/>
      </w:pPr>
      <w:r w:rsidRPr="000B1AE7">
        <w:t>11.0 Deployment Preparation</w:t>
      </w:r>
    </w:p>
    <w:p w14:paraId="729569F6"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Before deployment, the platform prepares the system for execution in its intended environment. Deployment preparation includes generating infrastructure definitions, configuring runtime environments, and establishing monitoring and logging mechanisms.</w:t>
      </w:r>
    </w:p>
    <w:p w14:paraId="690EF980"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platform ensures that deployment artifacts reflect the operational expectations defined in the specification's infrastructure and policy entities.</w:t>
      </w:r>
    </w:p>
    <w:p w14:paraId="7E869C81"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This stage bridges the gap between software construction and operational deployment.</w:t>
      </w:r>
    </w:p>
    <w:p w14:paraId="0D2F0E7B" w14:textId="77777777" w:rsidR="008936F3" w:rsidRPr="000B1AE7" w:rsidRDefault="008936F3" w:rsidP="008936F3">
      <w:pPr>
        <w:pStyle w:val="Heading2"/>
      </w:pPr>
      <w:r w:rsidRPr="000B1AE7">
        <w:t>12.0 Traceability and Observability</w:t>
      </w:r>
    </w:p>
    <w:p w14:paraId="614B43D9"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Throughout the execution process, the ALETHEIA platform maintains traceability between the specification and the artifacts it generates. Each component of the constructed system is linked to the specification elements that defined it.</w:t>
      </w:r>
    </w:p>
    <w:p w14:paraId="1F76BA65"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This traceability enables developers, auditors, and operators to understand how the system was derived from the original blueprint.</w:t>
      </w:r>
    </w:p>
    <w:p w14:paraId="28D97103"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Observability mechanisms also record the decisions made during construction, providing insight into the reasoning processes used by the platform.</w:t>
      </w:r>
    </w:p>
    <w:p w14:paraId="38D13C09" w14:textId="77777777" w:rsidR="008936F3" w:rsidRPr="000B1AE7" w:rsidRDefault="008936F3" w:rsidP="008936F3">
      <w:pPr>
        <w:pStyle w:val="Heading2"/>
      </w:pPr>
      <w:r w:rsidRPr="000B1AE7">
        <w:t>13.0 Execution Graph</w:t>
      </w:r>
    </w:p>
    <w:p w14:paraId="4DF8E4BC"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 xml:space="preserve">The entire construction process can be represented as an </w:t>
      </w:r>
      <w:r w:rsidRPr="000B1AE7">
        <w:rPr>
          <w:rStyle w:val="Strong"/>
          <w:rFonts w:ascii="Arial" w:hAnsi="Arial" w:cs="Arial"/>
        </w:rPr>
        <w:t>execution graph</w:t>
      </w:r>
      <w:r w:rsidRPr="000B1AE7">
        <w:rPr>
          <w:rFonts w:ascii="Arial" w:hAnsi="Arial" w:cs="Arial"/>
        </w:rPr>
        <w:t xml:space="preserve"> derived from the canonical specification model. Nodes within this graph represent construction tasks, while edges represent dependencies between tasks.</w:t>
      </w:r>
    </w:p>
    <w:p w14:paraId="606BD45D"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execution graph allows the platform to coordinate complex development processes, schedule tasks efficiently, and parallelize independent activities where possible.</w:t>
      </w:r>
    </w:p>
    <w:p w14:paraId="23BEEC59"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By organizing execution as a graph, the platform ensures that large and complex systems can be constructed in a scalable and manageable manner.</w:t>
      </w:r>
    </w:p>
    <w:p w14:paraId="6E7DCFC5" w14:textId="77777777" w:rsidR="008936F3" w:rsidRPr="000B1AE7" w:rsidRDefault="008936F3" w:rsidP="008936F3">
      <w:pPr>
        <w:pStyle w:val="Heading2"/>
      </w:pPr>
      <w:r w:rsidRPr="000B1AE7">
        <w:lastRenderedPageBreak/>
        <w:t>14.0 Lifecycle Evolution</w:t>
      </w:r>
    </w:p>
    <w:p w14:paraId="6B98B6AB"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Once the system has been constructed and deployed, the execution model remains active throughout the lifecycle of the software. When the specification changes, the platform analyzes the differences between the previous and updated specifications.</w:t>
      </w:r>
    </w:p>
    <w:p w14:paraId="5CA4B2EF"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platform then determines which components of the system must be modified and executes the necessary construction tasks to bring the implementation back into alignment with the updated blueprint.</w:t>
      </w:r>
    </w:p>
    <w:p w14:paraId="35715B8F"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In this way, the ALETHEIA platform supports continuous evolution of software systems while preserving the alignment between specification and implementation.</w:t>
      </w:r>
    </w:p>
    <w:p w14:paraId="58D24388" w14:textId="77777777" w:rsidR="008936F3" w:rsidRPr="000B1AE7" w:rsidRDefault="008936F3" w:rsidP="008936F3">
      <w:pPr>
        <w:pStyle w:val="Heading2"/>
      </w:pPr>
      <w:r w:rsidRPr="000B1AE7">
        <w:t>15.0 The Execution Model as the Engine of ALETHEIA</w:t>
      </w:r>
    </w:p>
    <w:p w14:paraId="1575964B"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execution model transforms the ALETHEIA specification language from a descriptive framework into an operational system capable of constructing software autonomously.</w:t>
      </w:r>
    </w:p>
    <w:p w14:paraId="5B138593"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By combining specification interpretation, construction planning, artifact generation, verification loops, and deployment preparation, the platform creates a closed development cycle driven entirely by structured specifications.</w:t>
      </w:r>
    </w:p>
    <w:p w14:paraId="16F83970"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This execution model represents the mechanism through which the architectural blueprints defined by ISL are transformed into working software systems.</w:t>
      </w:r>
    </w:p>
    <w:p w14:paraId="4BC039C8" w14:textId="77777777" w:rsidR="008936F3" w:rsidRDefault="008936F3" w:rsidP="008936F3">
      <w:pPr>
        <w:pStyle w:val="NormalWeb"/>
        <w:spacing w:before="0" w:beforeAutospacing="0" w:after="120" w:afterAutospacing="0"/>
        <w:rPr>
          <w:rFonts w:ascii="Arial" w:hAnsi="Arial" w:cs="Arial"/>
        </w:rPr>
      </w:pPr>
    </w:p>
    <w:p w14:paraId="28757B0F" w14:textId="77777777" w:rsidR="008936F3" w:rsidRDefault="008936F3" w:rsidP="008936F3">
      <w:pPr>
        <w:pStyle w:val="NormalWeb"/>
        <w:spacing w:before="0" w:beforeAutospacing="0" w:after="120" w:afterAutospacing="0"/>
        <w:rPr>
          <w:rFonts w:ascii="Arial" w:hAnsi="Arial" w:cs="Arial"/>
        </w:rPr>
      </w:pPr>
    </w:p>
    <w:p w14:paraId="3DFEBA47" w14:textId="77777777" w:rsidR="008936F3" w:rsidRDefault="008936F3" w:rsidP="008936F3">
      <w:pPr>
        <w:pStyle w:val="NormalWeb"/>
        <w:spacing w:before="0" w:beforeAutospacing="0" w:after="120" w:afterAutospacing="0"/>
        <w:rPr>
          <w:rFonts w:ascii="Arial" w:hAnsi="Arial" w:cs="Arial"/>
        </w:rPr>
      </w:pPr>
    </w:p>
    <w:p w14:paraId="703D08BC" w14:textId="77777777" w:rsidR="008936F3" w:rsidRDefault="008936F3" w:rsidP="008936F3">
      <w:pPr>
        <w:pStyle w:val="NormalWeb"/>
        <w:spacing w:before="0" w:beforeAutospacing="0" w:after="120" w:afterAutospacing="0"/>
        <w:rPr>
          <w:rFonts w:ascii="Arial" w:hAnsi="Arial" w:cs="Arial"/>
        </w:rPr>
      </w:pPr>
    </w:p>
    <w:p w14:paraId="2B03E2EE"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45B4B"/>
    <w:multiLevelType w:val="multilevel"/>
    <w:tmpl w:val="1DFC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957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6F3"/>
    <w:rsid w:val="00223A5B"/>
    <w:rsid w:val="005F714F"/>
    <w:rsid w:val="006A7C31"/>
    <w:rsid w:val="006F4208"/>
    <w:rsid w:val="008936F3"/>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9EEB242"/>
  <w15:chartTrackingRefBased/>
  <w15:docId w15:val="{9ECD63D7-5C46-1B46-92EB-6D4A84DB5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6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36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6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6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6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6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36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6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6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6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6F3"/>
    <w:rPr>
      <w:rFonts w:eastAsiaTheme="majorEastAsia" w:cstheme="majorBidi"/>
      <w:color w:val="272727" w:themeColor="text1" w:themeTint="D8"/>
    </w:rPr>
  </w:style>
  <w:style w:type="paragraph" w:styleId="Title">
    <w:name w:val="Title"/>
    <w:basedOn w:val="Normal"/>
    <w:next w:val="Normal"/>
    <w:link w:val="TitleChar"/>
    <w:uiPriority w:val="10"/>
    <w:qFormat/>
    <w:rsid w:val="00893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6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6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6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6F3"/>
    <w:pPr>
      <w:spacing w:before="160"/>
      <w:jc w:val="center"/>
    </w:pPr>
    <w:rPr>
      <w:i/>
      <w:iCs/>
      <w:color w:val="404040" w:themeColor="text1" w:themeTint="BF"/>
    </w:rPr>
  </w:style>
  <w:style w:type="character" w:customStyle="1" w:styleId="QuoteChar">
    <w:name w:val="Quote Char"/>
    <w:basedOn w:val="DefaultParagraphFont"/>
    <w:link w:val="Quote"/>
    <w:uiPriority w:val="29"/>
    <w:rsid w:val="008936F3"/>
    <w:rPr>
      <w:i/>
      <w:iCs/>
      <w:color w:val="404040" w:themeColor="text1" w:themeTint="BF"/>
    </w:rPr>
  </w:style>
  <w:style w:type="paragraph" w:styleId="ListParagraph">
    <w:name w:val="List Paragraph"/>
    <w:basedOn w:val="Normal"/>
    <w:uiPriority w:val="34"/>
    <w:qFormat/>
    <w:rsid w:val="008936F3"/>
    <w:pPr>
      <w:ind w:left="720"/>
      <w:contextualSpacing/>
    </w:pPr>
  </w:style>
  <w:style w:type="character" w:styleId="IntenseEmphasis">
    <w:name w:val="Intense Emphasis"/>
    <w:basedOn w:val="DefaultParagraphFont"/>
    <w:uiPriority w:val="21"/>
    <w:qFormat/>
    <w:rsid w:val="008936F3"/>
    <w:rPr>
      <w:i/>
      <w:iCs/>
      <w:color w:val="0F4761" w:themeColor="accent1" w:themeShade="BF"/>
    </w:rPr>
  </w:style>
  <w:style w:type="paragraph" w:styleId="IntenseQuote">
    <w:name w:val="Intense Quote"/>
    <w:basedOn w:val="Normal"/>
    <w:next w:val="Normal"/>
    <w:link w:val="IntenseQuoteChar"/>
    <w:uiPriority w:val="30"/>
    <w:qFormat/>
    <w:rsid w:val="008936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6F3"/>
    <w:rPr>
      <w:i/>
      <w:iCs/>
      <w:color w:val="0F4761" w:themeColor="accent1" w:themeShade="BF"/>
    </w:rPr>
  </w:style>
  <w:style w:type="character" w:styleId="IntenseReference">
    <w:name w:val="Intense Reference"/>
    <w:basedOn w:val="DefaultParagraphFont"/>
    <w:uiPriority w:val="32"/>
    <w:qFormat/>
    <w:rsid w:val="008936F3"/>
    <w:rPr>
      <w:b/>
      <w:bCs/>
      <w:smallCaps/>
      <w:color w:val="0F4761" w:themeColor="accent1" w:themeShade="BF"/>
      <w:spacing w:val="5"/>
    </w:rPr>
  </w:style>
  <w:style w:type="paragraph" w:styleId="NormalWeb">
    <w:name w:val="Normal (Web)"/>
    <w:basedOn w:val="Normal"/>
    <w:uiPriority w:val="99"/>
    <w:semiHidden/>
    <w:unhideWhenUsed/>
    <w:rsid w:val="008936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936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1554</Words>
  <Characters>8858</Characters>
  <Application>Microsoft Office Word</Application>
  <DocSecurity>0</DocSecurity>
  <Lines>73</Lines>
  <Paragraphs>20</Paragraphs>
  <ScaleCrop>false</ScaleCrop>
  <Company/>
  <LinksUpToDate>false</LinksUpToDate>
  <CharactersWithSpaces>10392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2026-03-18T18:51:00Z</dcterms:created>
  <dcterms:modified xsi:type="dcterms:W3CDTF">2026-03-18T18:52:00Z</dcterms:modified>
</cp:coreProperties>
</file>