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03B4" w14:textId="77777777" w:rsidR="00BE680B" w:rsidRPr="00834EA4" w:rsidRDefault="00BE680B" w:rsidP="00BE680B">
      <w:pPr>
        <w:pStyle w:val="Title"/>
        <w:rPr>
          <w:sz w:val="44"/>
          <w:szCs w:val="44"/>
        </w:rPr>
      </w:pPr>
      <w:r w:rsidRPr="00834EA4">
        <w:rPr>
          <w:sz w:val="44"/>
          <w:szCs w:val="44"/>
        </w:rPr>
        <w:t>ALETHEIA Specification Language (ISL) v2.0</w:t>
      </w:r>
    </w:p>
    <w:p w14:paraId="6F7AE189" w14:textId="77777777" w:rsidR="00BE680B" w:rsidRPr="00834EA4" w:rsidRDefault="00BE680B" w:rsidP="00BE680B">
      <w:pPr>
        <w:pStyle w:val="Heading1"/>
        <w:spacing w:before="120" w:after="0"/>
        <w:rPr>
          <w:rFonts w:ascii="Arial" w:hAnsi="Arial" w:cs="Arial"/>
        </w:rPr>
      </w:pPr>
      <w:r>
        <w:rPr>
          <w:rFonts w:ascii="Arial" w:hAnsi="Arial" w:cs="Arial"/>
        </w:rPr>
        <w:t xml:space="preserve">ISL v2.0 </w:t>
      </w:r>
      <w:r w:rsidRPr="00834EA4">
        <w:rPr>
          <w:rFonts w:ascii="Arial" w:hAnsi="Arial" w:cs="Arial"/>
        </w:rPr>
        <w:t>The ALETHEIA Platform Architecture Model</w:t>
      </w:r>
    </w:p>
    <w:p w14:paraId="582B3A1B" w14:textId="77777777" w:rsidR="00BE680B" w:rsidRPr="00834EA4" w:rsidRDefault="00BE680B" w:rsidP="00BE680B">
      <w:pPr>
        <w:pStyle w:val="Heading2"/>
        <w:spacing w:before="120" w:after="0"/>
        <w:rPr>
          <w:rFonts w:ascii="Arial" w:hAnsi="Arial" w:cs="Arial"/>
        </w:rPr>
      </w:pPr>
      <w:r w:rsidRPr="00834EA4">
        <w:rPr>
          <w:rFonts w:ascii="Arial" w:hAnsi="Arial" w:cs="Arial"/>
        </w:rPr>
        <w:t>1.0 Purpose of the Platform Architecture Model</w:t>
      </w:r>
    </w:p>
    <w:p w14:paraId="0D610909"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Platform Architecture Model defines the structural organization of the ALETHEIA system itself. While the earlier sections of the ALETHEIA Specification Language describe how software systems are specified, governed, and constructed, the platform architecture model describes the system responsible for performing those activities.</w:t>
      </w:r>
    </w:p>
    <w:p w14:paraId="5EA44EF9"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ALETHEIA platform functions as an autonomous software construction environment capable of interpreting structured specifications, planning development tasks, orchestrating reasoning agents, executing construction workflows, interacting with deterministic engineering tools, and producing deployable software systems.</w:t>
      </w:r>
    </w:p>
    <w:p w14:paraId="607682D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purpose of this section is to define the internal subsystems of the ALETHEIA platform and the relationships between them. These subsystems collectively form the operational infrastructure that transforms specifications into working software.</w:t>
      </w:r>
    </w:p>
    <w:p w14:paraId="3D8670E2" w14:textId="77777777" w:rsidR="00BE680B" w:rsidRPr="00834EA4" w:rsidRDefault="00BE680B" w:rsidP="00BE680B">
      <w:pPr>
        <w:pStyle w:val="Heading2"/>
        <w:spacing w:before="120" w:after="0"/>
        <w:rPr>
          <w:rFonts w:ascii="Arial" w:hAnsi="Arial" w:cs="Arial"/>
        </w:rPr>
      </w:pPr>
      <w:r w:rsidRPr="00834EA4">
        <w:rPr>
          <w:rFonts w:ascii="Arial" w:hAnsi="Arial" w:cs="Arial"/>
        </w:rPr>
        <w:t>2.0 Architectural Design Principles</w:t>
      </w:r>
    </w:p>
    <w:p w14:paraId="69A574D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architecture of the ALETHEIA platform follows several design principles that ensure the system remains scalable, adaptable, and suitable for enterprise environments.</w:t>
      </w:r>
    </w:p>
    <w:p w14:paraId="0B7FC3F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First, the platform is designed as a </w:t>
      </w:r>
      <w:r w:rsidRPr="00834EA4">
        <w:rPr>
          <w:rStyle w:val="Strong"/>
          <w:rFonts w:ascii="Arial" w:hAnsi="Arial" w:cs="Arial"/>
        </w:rPr>
        <w:t>layered architecture</w:t>
      </w:r>
      <w:r w:rsidRPr="00834EA4">
        <w:rPr>
          <w:rFonts w:ascii="Arial" w:hAnsi="Arial" w:cs="Arial"/>
        </w:rPr>
        <w:t xml:space="preserve"> in which each subsystem performs a distinct function within the autonomous development lifecycle. Clear boundaries between subsystems allow the platform to evolve without destabilizing its core capabilities.</w:t>
      </w:r>
    </w:p>
    <w:p w14:paraId="3F8E3B4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Second, the platform adopts a </w:t>
      </w:r>
      <w:r w:rsidRPr="00834EA4">
        <w:rPr>
          <w:rStyle w:val="Strong"/>
          <w:rFonts w:ascii="Arial" w:hAnsi="Arial" w:cs="Arial"/>
        </w:rPr>
        <w:t>local-first execution model</w:t>
      </w:r>
      <w:r w:rsidRPr="00834EA4">
        <w:rPr>
          <w:rFonts w:ascii="Arial" w:hAnsi="Arial" w:cs="Arial"/>
        </w:rPr>
        <w:t xml:space="preserve">. All core </w:t>
      </w:r>
      <w:proofErr w:type="gramStart"/>
      <w:r w:rsidRPr="00834EA4">
        <w:rPr>
          <w:rFonts w:ascii="Arial" w:hAnsi="Arial" w:cs="Arial"/>
        </w:rPr>
        <w:t>functionality</w:t>
      </w:r>
      <w:proofErr w:type="gramEnd"/>
      <w:r w:rsidRPr="00834EA4">
        <w:rPr>
          <w:rFonts w:ascii="Arial" w:hAnsi="Arial" w:cs="Arial"/>
        </w:rPr>
        <w:t xml:space="preserve"> must be capable of operating entirely within a local environment using locally hosted AI models and development tools. This approach ensures that organizations can operate the platform independently of external services while retaining the option to integrate remote models or cloud infrastructure when appropriate.</w:t>
      </w:r>
    </w:p>
    <w:p w14:paraId="4E856E2F"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Third, the architecture relies on </w:t>
      </w:r>
      <w:r w:rsidRPr="00834EA4">
        <w:rPr>
          <w:rStyle w:val="Strong"/>
          <w:rFonts w:ascii="Arial" w:hAnsi="Arial" w:cs="Arial"/>
        </w:rPr>
        <w:t>abstraction layers</w:t>
      </w:r>
      <w:r w:rsidRPr="00834EA4">
        <w:rPr>
          <w:rFonts w:ascii="Arial" w:hAnsi="Arial" w:cs="Arial"/>
        </w:rPr>
        <w:t xml:space="preserve"> that isolate external dependencies such as model providers, toolchains, and infrastructure platforms. These abstractions ensure that the platform remains adaptable as technologies evolve.</w:t>
      </w:r>
    </w:p>
    <w:p w14:paraId="6FE0D4E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Finally, the platform emphasizes </w:t>
      </w:r>
      <w:r w:rsidRPr="00834EA4">
        <w:rPr>
          <w:rStyle w:val="Strong"/>
          <w:rFonts w:ascii="Arial" w:hAnsi="Arial" w:cs="Arial"/>
        </w:rPr>
        <w:t>traceability, observability, and governance</w:t>
      </w:r>
      <w:r w:rsidRPr="00834EA4">
        <w:rPr>
          <w:rFonts w:ascii="Arial" w:hAnsi="Arial" w:cs="Arial"/>
        </w:rPr>
        <w:t>, ensuring that every action performed by the system remains transparent and accountable.</w:t>
      </w:r>
    </w:p>
    <w:p w14:paraId="1F551F07" w14:textId="77777777" w:rsidR="00BE680B" w:rsidRPr="00834EA4" w:rsidRDefault="00BE680B" w:rsidP="00BE680B">
      <w:pPr>
        <w:pStyle w:val="Heading2"/>
        <w:spacing w:before="120" w:after="0"/>
        <w:rPr>
          <w:rFonts w:ascii="Arial" w:hAnsi="Arial" w:cs="Arial"/>
        </w:rPr>
      </w:pPr>
      <w:r w:rsidRPr="00834EA4">
        <w:rPr>
          <w:rFonts w:ascii="Arial" w:hAnsi="Arial" w:cs="Arial"/>
        </w:rPr>
        <w:t>3.0 Core Subsystems of the ALETHEIA Platform</w:t>
      </w:r>
    </w:p>
    <w:p w14:paraId="1F941980"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ALETHEIA platform is composed of several core subsystems that collectively implement the autonomous construction process defined by the specification language. Each subsystem corresponds to a distinct stage of the development lifecycle.</w:t>
      </w:r>
    </w:p>
    <w:p w14:paraId="0FA301B2" w14:textId="77777777" w:rsidR="00BE680B" w:rsidRPr="00834EA4" w:rsidRDefault="00BE680B" w:rsidP="00BE680B">
      <w:pPr>
        <w:pStyle w:val="NormalWeb"/>
        <w:spacing w:before="120" w:beforeAutospacing="0" w:after="120" w:afterAutospacing="0"/>
        <w:rPr>
          <w:rFonts w:ascii="Arial" w:hAnsi="Arial" w:cs="Arial"/>
        </w:rPr>
      </w:pPr>
      <w:r w:rsidRPr="00834EA4">
        <w:rPr>
          <w:rFonts w:ascii="Arial" w:hAnsi="Arial" w:cs="Arial"/>
        </w:rPr>
        <w:t>The principal subsystems of the platform include:</w:t>
      </w:r>
    </w:p>
    <w:p w14:paraId="7B84B3FF"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lastRenderedPageBreak/>
        <w:t>the Specification Engine</w:t>
      </w:r>
    </w:p>
    <w:p w14:paraId="2CFA2F87"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Semantic Model Engine</w:t>
      </w:r>
    </w:p>
    <w:p w14:paraId="14FE2B7B"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Planning Engine</w:t>
      </w:r>
    </w:p>
    <w:p w14:paraId="75D6D490"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Agent Orchestrator</w:t>
      </w:r>
    </w:p>
    <w:p w14:paraId="4DA59212"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Construction Engine</w:t>
      </w:r>
    </w:p>
    <w:p w14:paraId="63E19CD2"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Tool Integration Layer</w:t>
      </w:r>
    </w:p>
    <w:p w14:paraId="614A0DC9"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Traceability Engine</w:t>
      </w:r>
    </w:p>
    <w:p w14:paraId="70FFCEA1"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Governance Engine</w:t>
      </w:r>
    </w:p>
    <w:p w14:paraId="20A6E4EF"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Execution Monitor</w:t>
      </w:r>
    </w:p>
    <w:p w14:paraId="3DA974C6"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Artifact Repository</w:t>
      </w:r>
    </w:p>
    <w:p w14:paraId="28F1A281"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Together these subsystems form the operational core of the ALETHEIA platform.</w:t>
      </w:r>
    </w:p>
    <w:p w14:paraId="58F3E8C8" w14:textId="77777777" w:rsidR="00BE680B" w:rsidRPr="00834EA4" w:rsidRDefault="00BE680B" w:rsidP="00BE680B">
      <w:pPr>
        <w:pStyle w:val="Heading2"/>
        <w:spacing w:before="120" w:after="0"/>
        <w:rPr>
          <w:rFonts w:ascii="Arial" w:hAnsi="Arial" w:cs="Arial"/>
        </w:rPr>
      </w:pPr>
      <w:r w:rsidRPr="00834EA4">
        <w:rPr>
          <w:rFonts w:ascii="Arial" w:hAnsi="Arial" w:cs="Arial"/>
        </w:rPr>
        <w:t>4.0 The Specification Engine</w:t>
      </w:r>
    </w:p>
    <w:p w14:paraId="20362A2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Specification Engine is responsible for receiving, parsing, and managing system specifications authored using the ALETHEIA Specification Language. This engine accepts specifications in supported formats such as structured Markdown, JSON, or YAML and converts them into the canonical semantic model defined in ISL v1.1.</w:t>
      </w:r>
    </w:p>
    <w:p w14:paraId="58FC10C7"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During this process the engine validates the structure of the specification and identifies missing or inconsistent elements. It also determines the current readiness level of the specification as defined in ISL v1.3.</w:t>
      </w:r>
    </w:p>
    <w:p w14:paraId="591C90BC"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Specification Engine therefore acts as the entry point through which human-authored blueprints enter the autonomous construction system.</w:t>
      </w:r>
    </w:p>
    <w:p w14:paraId="37E97276" w14:textId="77777777" w:rsidR="00BE680B" w:rsidRPr="00834EA4" w:rsidRDefault="00BE680B" w:rsidP="00BE680B">
      <w:pPr>
        <w:pStyle w:val="Heading2"/>
        <w:spacing w:before="120" w:after="0"/>
        <w:rPr>
          <w:rFonts w:ascii="Arial" w:hAnsi="Arial" w:cs="Arial"/>
        </w:rPr>
      </w:pPr>
      <w:r w:rsidRPr="00834EA4">
        <w:rPr>
          <w:rFonts w:ascii="Arial" w:hAnsi="Arial" w:cs="Arial"/>
        </w:rPr>
        <w:t>5.0 The Semantic Model Engine</w:t>
      </w:r>
    </w:p>
    <w:p w14:paraId="11D8DD81"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Once a specification has been parsed, the Semantic Model Engine maintains the canonical representation of the system blueprint. This engine stores and manages the graph of specification entities and their relationships.</w:t>
      </w:r>
    </w:p>
    <w:p w14:paraId="47B66006"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semantic model serves as the authoritative representation of the system's architecture, capabilities, requirements, and constraints. All subsequent planning and construction activities are derived from this model.</w:t>
      </w:r>
    </w:p>
    <w:p w14:paraId="3A8EAEEE"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maintaining a consistent semantic representation, the platform ensures that all components of the system operate on a shared understanding of the specification.</w:t>
      </w:r>
    </w:p>
    <w:p w14:paraId="0ED9B7C1" w14:textId="77777777" w:rsidR="00BE680B" w:rsidRPr="00834EA4" w:rsidRDefault="00BE680B" w:rsidP="00BE680B">
      <w:pPr>
        <w:pStyle w:val="Heading2"/>
        <w:spacing w:before="120" w:after="0"/>
        <w:rPr>
          <w:rFonts w:ascii="Arial" w:hAnsi="Arial" w:cs="Arial"/>
        </w:rPr>
      </w:pPr>
      <w:r w:rsidRPr="00834EA4">
        <w:rPr>
          <w:rFonts w:ascii="Arial" w:hAnsi="Arial" w:cs="Arial"/>
        </w:rPr>
        <w:t>6.0 The Planning Engine</w:t>
      </w:r>
    </w:p>
    <w:p w14:paraId="516B320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The Planning Engine is responsible for transforming the semantic specification graph into a construction task graph as described in ISL v1.5. It analyzes the relationships between requirements, services, data entities, workflows, and policies </w:t>
      </w:r>
      <w:proofErr w:type="gramStart"/>
      <w:r w:rsidRPr="00834EA4">
        <w:rPr>
          <w:rFonts w:ascii="Arial" w:hAnsi="Arial" w:cs="Arial"/>
        </w:rPr>
        <w:t>in order to</w:t>
      </w:r>
      <w:proofErr w:type="gramEnd"/>
      <w:r w:rsidRPr="00834EA4">
        <w:rPr>
          <w:rFonts w:ascii="Arial" w:hAnsi="Arial" w:cs="Arial"/>
        </w:rPr>
        <w:t xml:space="preserve"> determine the sequence of tasks required to build the system.</w:t>
      </w:r>
    </w:p>
    <w:p w14:paraId="186B9C0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engine identifies dependencies between tasks, determines opportunities for parallel execution, and generates the initial construction plan that will guide the autonomous development process.</w:t>
      </w:r>
    </w:p>
    <w:p w14:paraId="734E6035"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lastRenderedPageBreak/>
        <w:t>This subsystem performs the role of the architectural planner within the ALETHEIA platform.</w:t>
      </w:r>
    </w:p>
    <w:p w14:paraId="20CDC804" w14:textId="77777777" w:rsidR="00BE680B" w:rsidRPr="00834EA4" w:rsidRDefault="00BE680B" w:rsidP="00BE680B">
      <w:pPr>
        <w:pStyle w:val="Heading2"/>
        <w:spacing w:before="120" w:after="0"/>
        <w:rPr>
          <w:rFonts w:ascii="Arial" w:hAnsi="Arial" w:cs="Arial"/>
        </w:rPr>
      </w:pPr>
      <w:r w:rsidRPr="00834EA4">
        <w:rPr>
          <w:rFonts w:ascii="Arial" w:hAnsi="Arial" w:cs="Arial"/>
        </w:rPr>
        <w:t>7.0 The Agent Orchestrator</w:t>
      </w:r>
    </w:p>
    <w:p w14:paraId="117F178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Agent Orchestrator coordinates the reasoning components that perform specialized development activities during the construction process. These reasoning components may include agents responsible for architecture planning, code generation, testing, security validation, and repair analysis.</w:t>
      </w:r>
    </w:p>
    <w:p w14:paraId="53B72462"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orchestrator manages communication between these agents and determines which agent should perform a given task based on the needs of the construction plan.</w:t>
      </w:r>
    </w:p>
    <w:p w14:paraId="33FBAB3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subsystem provides the collaborative intelligence layer that enables the platform to perform complex development activities autonomously.</w:t>
      </w:r>
    </w:p>
    <w:p w14:paraId="58E4B1ED" w14:textId="77777777" w:rsidR="00BE680B" w:rsidRPr="00834EA4" w:rsidRDefault="00BE680B" w:rsidP="00BE680B">
      <w:pPr>
        <w:pStyle w:val="Heading2"/>
        <w:spacing w:before="120" w:after="0"/>
        <w:rPr>
          <w:rFonts w:ascii="Arial" w:hAnsi="Arial" w:cs="Arial"/>
        </w:rPr>
      </w:pPr>
      <w:r w:rsidRPr="00834EA4">
        <w:rPr>
          <w:rFonts w:ascii="Arial" w:hAnsi="Arial" w:cs="Arial"/>
        </w:rPr>
        <w:t>8.0 The Construction Engine</w:t>
      </w:r>
    </w:p>
    <w:p w14:paraId="588AB37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Construction Engine executes the tasks defined in the construction plan. It coordinates the generation of artifacts, invocation of development tools, execution of verification tasks, and management of repair cycles.</w:t>
      </w:r>
    </w:p>
    <w:p w14:paraId="5C143C1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engine is responsible for maintaining the task graph, tracking task progress, and updating the construction plan as tasks are completed or modified.</w:t>
      </w:r>
    </w:p>
    <w:p w14:paraId="0F531AD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Through this subsystem the ALETHEIA platform performs the actual construction of the software system described in the specification.</w:t>
      </w:r>
    </w:p>
    <w:p w14:paraId="0239C968" w14:textId="77777777" w:rsidR="00BE680B" w:rsidRPr="00834EA4" w:rsidRDefault="00BE680B" w:rsidP="00BE680B">
      <w:pPr>
        <w:pStyle w:val="Heading2"/>
        <w:spacing w:before="120" w:after="0"/>
        <w:rPr>
          <w:rFonts w:ascii="Arial" w:hAnsi="Arial" w:cs="Arial"/>
        </w:rPr>
      </w:pPr>
      <w:r w:rsidRPr="00834EA4">
        <w:rPr>
          <w:rFonts w:ascii="Arial" w:hAnsi="Arial" w:cs="Arial"/>
        </w:rPr>
        <w:t>9.0 The Tool Integration Layer</w:t>
      </w:r>
    </w:p>
    <w:p w14:paraId="7DF054B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Tool Integration Layer implements the abstraction mechanisms defined in ISL v1.6. It provides standardized interfaces through which the platform interacts with external development tools.</w:t>
      </w:r>
    </w:p>
    <w:p w14:paraId="07EE408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layer connects the Construction Engine with compilers, testing frameworks, analysis tools, infrastructure managers, and deployment systems.</w:t>
      </w:r>
    </w:p>
    <w:p w14:paraId="5A2E625E"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isolating these integrations behind a consistent interface, the platform ensures that different development environments and toolchains can be supported without modifying the core architecture.</w:t>
      </w:r>
    </w:p>
    <w:p w14:paraId="40809C7F" w14:textId="77777777" w:rsidR="00BE680B" w:rsidRPr="00834EA4" w:rsidRDefault="00BE680B" w:rsidP="00BE680B">
      <w:pPr>
        <w:pStyle w:val="Heading2"/>
        <w:spacing w:before="120" w:after="0"/>
        <w:rPr>
          <w:rFonts w:ascii="Arial" w:hAnsi="Arial" w:cs="Arial"/>
        </w:rPr>
      </w:pPr>
      <w:r w:rsidRPr="00834EA4">
        <w:rPr>
          <w:rFonts w:ascii="Arial" w:hAnsi="Arial" w:cs="Arial"/>
        </w:rPr>
        <w:t>10.0 The Traceability Engine</w:t>
      </w:r>
    </w:p>
    <w:p w14:paraId="210080A4"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Traceability Engine implements the traceability model defined in ISL v1.4. It maintains the relationships between specification entities, construction tasks, generated artifacts, and deployment artifacts.</w:t>
      </w:r>
    </w:p>
    <w:p w14:paraId="2B53D884"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engine records the derivation history of every artifact produced by the platform and allows users to navigate the traceability graph connecting requirements, architecture, and implementation.</w:t>
      </w:r>
    </w:p>
    <w:p w14:paraId="4AA5F7A0"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traceability engine therefore provides the historical memory of the system and enables impact analysis when specifications change.</w:t>
      </w:r>
    </w:p>
    <w:p w14:paraId="5C198D64" w14:textId="77777777" w:rsidR="00BE680B" w:rsidRPr="00834EA4" w:rsidRDefault="00BE680B" w:rsidP="00BE680B">
      <w:pPr>
        <w:pStyle w:val="Heading2"/>
        <w:spacing w:before="120" w:after="0"/>
        <w:rPr>
          <w:rFonts w:ascii="Arial" w:hAnsi="Arial" w:cs="Arial"/>
        </w:rPr>
      </w:pPr>
      <w:r w:rsidRPr="00834EA4">
        <w:rPr>
          <w:rFonts w:ascii="Arial" w:hAnsi="Arial" w:cs="Arial"/>
        </w:rPr>
        <w:lastRenderedPageBreak/>
        <w:t>11.0 The Governance Engine</w:t>
      </w:r>
    </w:p>
    <w:p w14:paraId="5B520E1E"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Governance Engine enforces the policies and approval processes defined in ISL v1.7. It evaluates construction tasks and generated artifacts against governance rules and determines whether certain actions require approval before proceeding.</w:t>
      </w:r>
    </w:p>
    <w:p w14:paraId="75F4781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engine also manages approval gates associated with specification readiness levels and deployment authorization.</w:t>
      </w:r>
    </w:p>
    <w:p w14:paraId="3EB06A2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integrating governance into the platform architecture, ALETHEIA ensures that autonomous development operates within the oversight framework required by enterprise organizations.</w:t>
      </w:r>
    </w:p>
    <w:p w14:paraId="10E5BCAE" w14:textId="77777777" w:rsidR="00BE680B" w:rsidRPr="00834EA4" w:rsidRDefault="00BE680B" w:rsidP="00BE680B">
      <w:pPr>
        <w:pStyle w:val="Heading2"/>
        <w:spacing w:before="120" w:after="0"/>
        <w:rPr>
          <w:rFonts w:ascii="Arial" w:hAnsi="Arial" w:cs="Arial"/>
        </w:rPr>
      </w:pPr>
      <w:r w:rsidRPr="00834EA4">
        <w:rPr>
          <w:rFonts w:ascii="Arial" w:hAnsi="Arial" w:cs="Arial"/>
        </w:rPr>
        <w:t>12.0 The Execution Monitor</w:t>
      </w:r>
    </w:p>
    <w:p w14:paraId="58841682"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Execution Monitor provides visibility into the operation of the ALETHEIA platform. It tracks the progress of construction tasks, records reasoning decisions, and monitors interactions with external tools.</w:t>
      </w:r>
    </w:p>
    <w:p w14:paraId="5E60550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subsystem provides dashboards, logs, and operational telemetry that allow administrators to observe the behavior of the platform and intervene when necessary.</w:t>
      </w:r>
    </w:p>
    <w:p w14:paraId="30AA417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Execution Monitor ensures that autonomous development processes remain observable and manageable.</w:t>
      </w:r>
    </w:p>
    <w:p w14:paraId="0E9F1362" w14:textId="77777777" w:rsidR="00BE680B" w:rsidRPr="00834EA4" w:rsidRDefault="00BE680B" w:rsidP="00BE680B">
      <w:pPr>
        <w:pStyle w:val="Heading2"/>
        <w:spacing w:before="120" w:after="0"/>
        <w:rPr>
          <w:rFonts w:ascii="Arial" w:hAnsi="Arial" w:cs="Arial"/>
        </w:rPr>
      </w:pPr>
      <w:r w:rsidRPr="00834EA4">
        <w:rPr>
          <w:rFonts w:ascii="Arial" w:hAnsi="Arial" w:cs="Arial"/>
        </w:rPr>
        <w:t>13.0 The Artifact Repository</w:t>
      </w:r>
    </w:p>
    <w:p w14:paraId="07B74835"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Artifact Repository stores all artifacts generated during the construction process. These artifacts may include source code, configuration files, infrastructure definitions, documentation, and deployment packages.</w:t>
      </w:r>
    </w:p>
    <w:p w14:paraId="1D59D62C"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repository also stores version histories that reflect the evolution of the system as the specification changes over time.</w:t>
      </w:r>
    </w:p>
    <w:p w14:paraId="1A7A2350"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maintaining these artifacts within a structured repository, the platform ensures that generated systems can be managed using standard software engineering practices.</w:t>
      </w:r>
    </w:p>
    <w:p w14:paraId="5AA978EC" w14:textId="77777777" w:rsidR="00BE680B" w:rsidRPr="00834EA4" w:rsidRDefault="00BE680B" w:rsidP="00BE680B">
      <w:pPr>
        <w:pStyle w:val="Heading2"/>
        <w:spacing w:before="120" w:after="0"/>
        <w:rPr>
          <w:rFonts w:ascii="Arial" w:hAnsi="Arial" w:cs="Arial"/>
        </w:rPr>
      </w:pPr>
      <w:r w:rsidRPr="00834EA4">
        <w:rPr>
          <w:rFonts w:ascii="Arial" w:hAnsi="Arial" w:cs="Arial"/>
        </w:rPr>
        <w:t>14.0 Platform Workflow</w:t>
      </w:r>
    </w:p>
    <w:p w14:paraId="3290CCCD" w14:textId="77777777" w:rsidR="00BE680B" w:rsidRPr="00834EA4" w:rsidRDefault="00BE680B" w:rsidP="00BE680B">
      <w:pPr>
        <w:pStyle w:val="NormalWeb"/>
        <w:spacing w:before="120" w:beforeAutospacing="0" w:after="120" w:afterAutospacing="0"/>
        <w:rPr>
          <w:rFonts w:ascii="Arial" w:hAnsi="Arial" w:cs="Arial"/>
        </w:rPr>
      </w:pPr>
      <w:r w:rsidRPr="00834EA4">
        <w:rPr>
          <w:rFonts w:ascii="Arial" w:hAnsi="Arial" w:cs="Arial"/>
        </w:rPr>
        <w:t>When operating as a complete system, the ALETHEIA platform executes the following high-level workflow:</w:t>
      </w:r>
    </w:p>
    <w:p w14:paraId="780DB0DB"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A specification is submitted to the Specification Engine.</w:t>
      </w:r>
    </w:p>
    <w:p w14:paraId="4046C056"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specification is parsed and normalized into the canonical semantic model.</w:t>
      </w:r>
    </w:p>
    <w:p w14:paraId="754D89F7"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Planning Engine generates a construction task graph.</w:t>
      </w:r>
    </w:p>
    <w:p w14:paraId="3AB2CA0F"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Agent Orchestrator assigns reasoning tasks to specialized agents.</w:t>
      </w:r>
    </w:p>
    <w:p w14:paraId="77FE68B4"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Construction Engine executes tasks and generates artifacts.</w:t>
      </w:r>
    </w:p>
    <w:p w14:paraId="7603B7A0"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External tools validate generated artifacts through the Tool Integration Layer.</w:t>
      </w:r>
    </w:p>
    <w:p w14:paraId="07A8673F"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Traceability Engine records relationships between specifications and artifacts.</w:t>
      </w:r>
    </w:p>
    <w:p w14:paraId="628D8193"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Governance Engine evaluates policy compliance.</w:t>
      </w:r>
    </w:p>
    <w:p w14:paraId="69B0CC40"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Execution Monitor tracks the construction process.</w:t>
      </w:r>
    </w:p>
    <w:p w14:paraId="3E98AA03"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lastRenderedPageBreak/>
        <w:t>The completed artifacts are stored in the Artifact Repository and prepared for deployment.</w:t>
      </w:r>
    </w:p>
    <w:p w14:paraId="01BF0B1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workflow represents the operational lifecycle of the ALETHEIA platform.</w:t>
      </w:r>
    </w:p>
    <w:p w14:paraId="1919F8BB" w14:textId="77777777" w:rsidR="00BE680B" w:rsidRPr="00834EA4" w:rsidRDefault="00BE680B" w:rsidP="00BE680B">
      <w:pPr>
        <w:pStyle w:val="Heading2"/>
        <w:spacing w:before="120" w:after="0"/>
        <w:rPr>
          <w:rFonts w:ascii="Arial" w:hAnsi="Arial" w:cs="Arial"/>
        </w:rPr>
      </w:pPr>
      <w:r w:rsidRPr="00834EA4">
        <w:rPr>
          <w:rFonts w:ascii="Arial" w:hAnsi="Arial" w:cs="Arial"/>
        </w:rPr>
        <w:t>15.0 The Platform as the Digital Master Builder</w:t>
      </w:r>
    </w:p>
    <w:p w14:paraId="1467E35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Within the architectural metaphor that inspires the ALETHEIA project, the platform architecture can be understood as the master builder responsible for coordinating the many activities required to construct a complex structure.</w:t>
      </w:r>
    </w:p>
    <w:p w14:paraId="708892E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specification language provides the blueprint, the planning engine organizes the construction process, the agent orchestrator coordinates the workforce of reasoning components, and the construction engine performs the work of assembling the system.</w:t>
      </w:r>
    </w:p>
    <w:p w14:paraId="4278D17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Together these components create an autonomous environment capable of transforming structured specifications into reliable and scalable software systems.</w:t>
      </w:r>
    </w:p>
    <w:p w14:paraId="3009379F" w14:textId="77777777" w:rsidR="00BE680B" w:rsidRDefault="00BE680B" w:rsidP="00BE680B">
      <w:pPr>
        <w:pStyle w:val="NormalWeb"/>
        <w:spacing w:before="0" w:beforeAutospacing="0" w:after="120" w:afterAutospacing="0"/>
        <w:rPr>
          <w:rFonts w:ascii="Arial" w:hAnsi="Arial" w:cs="Arial"/>
        </w:rPr>
      </w:pPr>
    </w:p>
    <w:p w14:paraId="7CFA8944"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4BC6"/>
    <w:multiLevelType w:val="multilevel"/>
    <w:tmpl w:val="3A40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6054B"/>
    <w:multiLevelType w:val="multilevel"/>
    <w:tmpl w:val="7E5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890950">
    <w:abstractNumId w:val="1"/>
  </w:num>
  <w:num w:numId="2" w16cid:durableId="192145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0B"/>
    <w:rsid w:val="00223A5B"/>
    <w:rsid w:val="005F714F"/>
    <w:rsid w:val="006A7C31"/>
    <w:rsid w:val="006F4208"/>
    <w:rsid w:val="00984106"/>
    <w:rsid w:val="00997A3E"/>
    <w:rsid w:val="00BE680B"/>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F96A24"/>
  <w15:chartTrackingRefBased/>
  <w15:docId w15:val="{01C7C34E-01E5-034B-A04B-5608586D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6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0B"/>
    <w:rPr>
      <w:rFonts w:eastAsiaTheme="majorEastAsia" w:cstheme="majorBidi"/>
      <w:color w:val="272727" w:themeColor="text1" w:themeTint="D8"/>
    </w:rPr>
  </w:style>
  <w:style w:type="paragraph" w:styleId="Title">
    <w:name w:val="Title"/>
    <w:basedOn w:val="Normal"/>
    <w:next w:val="Normal"/>
    <w:link w:val="TitleChar"/>
    <w:uiPriority w:val="10"/>
    <w:qFormat/>
    <w:rsid w:val="00BE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0B"/>
    <w:pPr>
      <w:spacing w:before="160"/>
      <w:jc w:val="center"/>
    </w:pPr>
    <w:rPr>
      <w:i/>
      <w:iCs/>
      <w:color w:val="404040" w:themeColor="text1" w:themeTint="BF"/>
    </w:rPr>
  </w:style>
  <w:style w:type="character" w:customStyle="1" w:styleId="QuoteChar">
    <w:name w:val="Quote Char"/>
    <w:basedOn w:val="DefaultParagraphFont"/>
    <w:link w:val="Quote"/>
    <w:uiPriority w:val="29"/>
    <w:rsid w:val="00BE680B"/>
    <w:rPr>
      <w:i/>
      <w:iCs/>
      <w:color w:val="404040" w:themeColor="text1" w:themeTint="BF"/>
    </w:rPr>
  </w:style>
  <w:style w:type="paragraph" w:styleId="ListParagraph">
    <w:name w:val="List Paragraph"/>
    <w:basedOn w:val="Normal"/>
    <w:uiPriority w:val="34"/>
    <w:qFormat/>
    <w:rsid w:val="00BE680B"/>
    <w:pPr>
      <w:ind w:left="720"/>
      <w:contextualSpacing/>
    </w:pPr>
  </w:style>
  <w:style w:type="character" w:styleId="IntenseEmphasis">
    <w:name w:val="Intense Emphasis"/>
    <w:basedOn w:val="DefaultParagraphFont"/>
    <w:uiPriority w:val="21"/>
    <w:qFormat/>
    <w:rsid w:val="00BE680B"/>
    <w:rPr>
      <w:i/>
      <w:iCs/>
      <w:color w:val="0F4761" w:themeColor="accent1" w:themeShade="BF"/>
    </w:rPr>
  </w:style>
  <w:style w:type="paragraph" w:styleId="IntenseQuote">
    <w:name w:val="Intense Quote"/>
    <w:basedOn w:val="Normal"/>
    <w:next w:val="Normal"/>
    <w:link w:val="IntenseQuoteChar"/>
    <w:uiPriority w:val="30"/>
    <w:qFormat/>
    <w:rsid w:val="00BE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0B"/>
    <w:rPr>
      <w:i/>
      <w:iCs/>
      <w:color w:val="0F4761" w:themeColor="accent1" w:themeShade="BF"/>
    </w:rPr>
  </w:style>
  <w:style w:type="character" w:styleId="IntenseReference">
    <w:name w:val="Intense Reference"/>
    <w:basedOn w:val="DefaultParagraphFont"/>
    <w:uiPriority w:val="32"/>
    <w:qFormat/>
    <w:rsid w:val="00BE680B"/>
    <w:rPr>
      <w:b/>
      <w:bCs/>
      <w:smallCaps/>
      <w:color w:val="0F4761" w:themeColor="accent1" w:themeShade="BF"/>
      <w:spacing w:val="5"/>
    </w:rPr>
  </w:style>
  <w:style w:type="paragraph" w:styleId="NormalWeb">
    <w:name w:val="Normal (Web)"/>
    <w:basedOn w:val="Normal"/>
    <w:uiPriority w:val="99"/>
    <w:semiHidden/>
    <w:unhideWhenUsed/>
    <w:rsid w:val="00BE68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6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1552</Words>
  <Characters>8853</Characters>
  <Application>Microsoft Office Word</Application>
  <DocSecurity>0</DocSecurity>
  <Lines>73</Lines>
  <Paragraphs>20</Paragraphs>
  <ScaleCrop>false</ScaleCrop>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2026-03-18T19:22:00Z</dcterms:created>
  <dcterms:modified xsi:type="dcterms:W3CDTF">2026-03-18T19:23:00Z</dcterms:modified>
</cp:coreProperties>
</file>